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版本号：SXLX-HW-2026-015.1.2B120260601001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一次性垫单、一次性奶瓶、奶嘴采购项目(二次)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SXLX-HW-2026-015.1.2B1</w:t>
      </w:r>
      <w:r>
        <w:br/>
      </w:r>
      <w:r>
        <w:br/>
      </w:r>
      <w:r>
        <w:br/>
      </w:r>
    </w:p>
    <w:p>
      <w:pPr>
        <w:pStyle w:val="null3"/>
        <w:jc w:val="center"/>
        <w:outlineLvl w:val="2"/>
      </w:pPr>
      <w:r>
        <w:rPr>
          <w:rFonts w:ascii="仿宋_GB2312" w:hAnsi="仿宋_GB2312" w:cs="仿宋_GB2312" w:eastAsia="仿宋_GB2312"/>
          <w:sz w:val="28"/>
          <w:b/>
        </w:rPr>
        <w:t>西安市儿童医院</w:t>
      </w:r>
    </w:p>
    <w:p>
      <w:pPr>
        <w:pStyle w:val="null3"/>
        <w:jc w:val="center"/>
        <w:outlineLvl w:val="2"/>
      </w:pPr>
      <w:r>
        <w:rPr>
          <w:rFonts w:ascii="仿宋_GB2312" w:hAnsi="仿宋_GB2312" w:cs="仿宋_GB2312" w:eastAsia="仿宋_GB2312"/>
          <w:sz w:val="28"/>
          <w:b/>
        </w:rPr>
        <w:t>陕西立信工程项目管理有限公司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陕西立信工程项目管理有限公司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西安市儿童医院</w:t>
      </w:r>
      <w:r>
        <w:rPr>
          <w:rFonts w:ascii="仿宋_GB2312" w:hAnsi="仿宋_GB2312" w:cs="仿宋_GB2312" w:eastAsia="仿宋_GB2312"/>
        </w:rPr>
        <w:t>委托，拟对</w:t>
      </w:r>
      <w:r>
        <w:rPr>
          <w:rFonts w:ascii="仿宋_GB2312" w:hAnsi="仿宋_GB2312" w:cs="仿宋_GB2312" w:eastAsia="仿宋_GB2312"/>
        </w:rPr>
        <w:t>一次性垫单、一次性奶瓶、奶嘴采购项目(二次)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SXLX-HW-2026-015.1.2B1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一次性垫单、一次性奶瓶、奶嘴采购项目(二次)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一次性垫单、一次性奶瓶、奶嘴采购项目，分别为采购包1：一次性垫单采购；采购包2：一次性奶瓶、奶嘴采购；具体详见采购文件第三章。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采购包1（一次性垫单、一次性奶瓶、奶嘴采购项目（包1））：属于专门面向中小企业采购。</w:t>
      </w:r>
    </w:p>
    <w:p>
      <w:pPr>
        <w:pStyle w:val="null3"/>
      </w:pPr>
      <w:r>
        <w:rPr>
          <w:rFonts w:ascii="仿宋_GB2312" w:hAnsi="仿宋_GB2312" w:cs="仿宋_GB2312" w:eastAsia="仿宋_GB2312"/>
        </w:rPr>
        <w:t>采购包2（一次性垫单、一次性奶瓶、奶嘴采购项目（包2））：属于专门面向中小企业采购。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2、法定代表人授权书/法定代表人身份证明：法定代表人参加谈判的，须出具法定代表人身份证明书及身份证。法定代表人授权委托人参加谈判的，须出具法定代表人授权委托书及授权委托人身份证；</w:t>
      </w:r>
    </w:p>
    <w:p>
      <w:pPr>
        <w:pStyle w:val="null3"/>
      </w:pPr>
      <w:r>
        <w:rPr>
          <w:rFonts w:ascii="仿宋_GB2312" w:hAnsi="仿宋_GB2312" w:cs="仿宋_GB2312" w:eastAsia="仿宋_GB2312"/>
        </w:rPr>
        <w:t>3、财务状况报告：提供2024或2025年度经审计的财务审计报告或提供本项目谈判前三个月内基本开户银行出具的资信良好的证明或提供政府采购专业担保机构出具的投标担保函（提供银行资信证明的需同时附基本存款账户开户许可证（或基本存款账户信息）；</w:t>
      </w:r>
    </w:p>
    <w:p>
      <w:pPr>
        <w:pStyle w:val="null3"/>
      </w:pPr>
      <w:r>
        <w:rPr>
          <w:rFonts w:ascii="仿宋_GB2312" w:hAnsi="仿宋_GB2312" w:cs="仿宋_GB2312" w:eastAsia="仿宋_GB2312"/>
        </w:rPr>
        <w:t>4、税收缴纳证明：提供递交响应文件截止之日前一年内至少一个月的依法缴纳税收的相关凭据（时间以税款所属日期为准），依法免税或无须缴纳税收的供应商应提供相应证明文件；</w:t>
      </w:r>
    </w:p>
    <w:p>
      <w:pPr>
        <w:pStyle w:val="null3"/>
      </w:pPr>
      <w:r>
        <w:rPr>
          <w:rFonts w:ascii="仿宋_GB2312" w:hAnsi="仿宋_GB2312" w:cs="仿宋_GB2312" w:eastAsia="仿宋_GB2312"/>
        </w:rPr>
        <w:t>5、社会保障资金缴纳证明：提供递交响应文件截止之日前一年内至少一个月的社会保障资金缴纳证明，依法不需要缴纳社会保障资金的供应商应提供相关文件证明；</w:t>
      </w:r>
    </w:p>
    <w:p>
      <w:pPr>
        <w:pStyle w:val="null3"/>
      </w:pPr>
      <w:r>
        <w:rPr>
          <w:rFonts w:ascii="仿宋_GB2312" w:hAnsi="仿宋_GB2312" w:cs="仿宋_GB2312" w:eastAsia="仿宋_GB2312"/>
        </w:rPr>
        <w:t>6、履行合同所必需的设备和专业技术能力：具备履行合同所必需的设备和专业技术能力的承诺；</w:t>
      </w:r>
    </w:p>
    <w:p>
      <w:pPr>
        <w:pStyle w:val="null3"/>
      </w:pPr>
      <w:r>
        <w:rPr>
          <w:rFonts w:ascii="仿宋_GB2312" w:hAnsi="仿宋_GB2312" w:cs="仿宋_GB2312" w:eastAsia="仿宋_GB2312"/>
        </w:rPr>
        <w:t>7、信用查询：供应商未被列入“中国执行信息公开网”（http://zxgk.court.gov.cn/shixin/）失信被执行人名单，未被列入“信用中国”网站（https://www.creditchina.gov.cn/xinyongfuwu/zhongdashuishouweifaanjian/）重大税收违法失信主体，未被列入“中国政府采购网”（www.ccgp.gov.cn）政府采购严重违法失信行为记录名单； 以评标现场查询结果为准。</w:t>
      </w:r>
    </w:p>
    <w:p>
      <w:pPr>
        <w:pStyle w:val="null3"/>
      </w:pPr>
      <w:r>
        <w:rPr>
          <w:rFonts w:ascii="仿宋_GB2312" w:hAnsi="仿宋_GB2312" w:cs="仿宋_GB2312" w:eastAsia="仿宋_GB2312"/>
        </w:rPr>
        <w:t>8、前三年无重大违法记录声明：参加政府采购活动前3年内在经营活动中没有重大违法记录的书面声明；</w:t>
      </w:r>
    </w:p>
    <w:p>
      <w:pPr>
        <w:pStyle w:val="null3"/>
      </w:pPr>
      <w:r>
        <w:rPr>
          <w:rFonts w:ascii="仿宋_GB2312" w:hAnsi="仿宋_GB2312" w:cs="仿宋_GB2312" w:eastAsia="仿宋_GB2312"/>
        </w:rPr>
        <w:t>9、企业关联关系：单位负责人为同一人或者存在直接控股、管理关系的不同供应商，不得参加同一合同项下的采购活动；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10、本项目不接受联合体谈判：本项目不接受联合体谈判</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企业资质：供应商为生产厂家的需提供《全国工业产品生产许可证》（包含食品用塑料包装容器相关内容）；供应商为经销商的需须提供其生产厂家的《全国工业产品生产许可证》（包含食品用塑料包装容器相关内容）及其生产厂家营业执照;</w:t>
      </w:r>
    </w:p>
    <w:p>
      <w:pPr>
        <w:pStyle w:val="null3"/>
      </w:pPr>
      <w:r>
        <w:rPr>
          <w:rFonts w:ascii="仿宋_GB2312" w:hAnsi="仿宋_GB2312" w:cs="仿宋_GB2312" w:eastAsia="仿宋_GB2312"/>
        </w:rPr>
        <w:t>3、法定代表人授权书/法定代表人身份证明：法定代表人参加谈判的，须出具法定代表人身份证明书及身份证。法定代表人授权委托人参加谈判的，须出具法定代表人授权委托书及授权委托人身份证；</w:t>
      </w:r>
    </w:p>
    <w:p>
      <w:pPr>
        <w:pStyle w:val="null3"/>
      </w:pPr>
      <w:r>
        <w:rPr>
          <w:rFonts w:ascii="仿宋_GB2312" w:hAnsi="仿宋_GB2312" w:cs="仿宋_GB2312" w:eastAsia="仿宋_GB2312"/>
        </w:rPr>
        <w:t>4、财务状况报告：提供2024或2025年度经审计的财务审计报告或提供本项目谈判前三个月内基本开户银行出具的资信良好的证明或提供政府采购专业担保机构出具的投标担保函（提供银行资信证明的需同时附基本存款账户开户许可证（或基本存款账户信息）；</w:t>
      </w:r>
    </w:p>
    <w:p>
      <w:pPr>
        <w:pStyle w:val="null3"/>
      </w:pPr>
      <w:r>
        <w:rPr>
          <w:rFonts w:ascii="仿宋_GB2312" w:hAnsi="仿宋_GB2312" w:cs="仿宋_GB2312" w:eastAsia="仿宋_GB2312"/>
        </w:rPr>
        <w:t>5、税收缴纳证明：提供递交响应文件截止之日前一年内至少一个月的依法缴纳税收的相关凭据（时间以税款所属日期为准），依法免税或无须缴纳税收的供应商应提供相应证明文件；</w:t>
      </w:r>
    </w:p>
    <w:p>
      <w:pPr>
        <w:pStyle w:val="null3"/>
      </w:pPr>
      <w:r>
        <w:rPr>
          <w:rFonts w:ascii="仿宋_GB2312" w:hAnsi="仿宋_GB2312" w:cs="仿宋_GB2312" w:eastAsia="仿宋_GB2312"/>
        </w:rPr>
        <w:t>6、社会保障资金缴纳证明：提供递交响应文件截止之日前一年内至少一个月的社会保障资金缴纳证明，依法不需要缴纳社会保障资金的供应商应提供相关文件证明；</w:t>
      </w:r>
    </w:p>
    <w:p>
      <w:pPr>
        <w:pStyle w:val="null3"/>
      </w:pPr>
      <w:r>
        <w:rPr>
          <w:rFonts w:ascii="仿宋_GB2312" w:hAnsi="仿宋_GB2312" w:cs="仿宋_GB2312" w:eastAsia="仿宋_GB2312"/>
        </w:rPr>
        <w:t>7、履行合同所必需的设备和专业技术能力：具备履行合同所必需的设备和专业技术能力的承诺；</w:t>
      </w:r>
    </w:p>
    <w:p>
      <w:pPr>
        <w:pStyle w:val="null3"/>
      </w:pPr>
      <w:r>
        <w:rPr>
          <w:rFonts w:ascii="仿宋_GB2312" w:hAnsi="仿宋_GB2312" w:cs="仿宋_GB2312" w:eastAsia="仿宋_GB2312"/>
        </w:rPr>
        <w:t>8、信用查询：供应商未被列入“中国执行信息公开网”（http://zxgk.court.gov.cn/shixin/）失信被执行人名单，未被列入“信用中国”网站（https://www.creditchina.gov.cn/xinyongfuwu/zhongdashuishouweifaanjian/）重大税收违法失信主体，未被列入“中国政府采购网”（www.ccgp.gov.cn）政府采购严重违法失信行为记录名单； 以评标现场查询结果为准。</w:t>
      </w:r>
    </w:p>
    <w:p>
      <w:pPr>
        <w:pStyle w:val="null3"/>
      </w:pPr>
      <w:r>
        <w:rPr>
          <w:rFonts w:ascii="仿宋_GB2312" w:hAnsi="仿宋_GB2312" w:cs="仿宋_GB2312" w:eastAsia="仿宋_GB2312"/>
        </w:rPr>
        <w:t>9、前三年无重大违法记录声明：参加政府采购活动前3年内在经营活动中没有重大违法记录的书面声明；</w:t>
      </w:r>
    </w:p>
    <w:p>
      <w:pPr>
        <w:pStyle w:val="null3"/>
      </w:pPr>
      <w:r>
        <w:rPr>
          <w:rFonts w:ascii="仿宋_GB2312" w:hAnsi="仿宋_GB2312" w:cs="仿宋_GB2312" w:eastAsia="仿宋_GB2312"/>
        </w:rPr>
        <w:t>10、企业关联关系：单位负责人为同一人或者存在直接控股、管理关系的不同供应商，不得参加同一合同项下的采购活动；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11、本项目不接受联合体谈判：本项目不接受联合体谈判</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西安市莲湖区西举院巷69号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西安市儿童医院经办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029-87692082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陕西立信工程项目管理有限公司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西安市雁塔区太白南路39号金石柏朗大厦12层1201室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孔祥妍、解东、李娇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029-87519950-809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采购包2：200,000.00元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和国家发改委办公厅颁发的《关于招标代理服务收费有关问题的通知》（发改办价格〔2003〕857号）文件规定下浮20%计取。成交单位在领取成交通知书时向代理机构支付代理服务费。 缴纳账户如下： 户名：陕西立信工程项目管理有限公司 账号：129903881810301 开户行：招商银行西安朝阳门支行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西安市儿童医院</w:t>
      </w:r>
      <w:r>
        <w:rPr>
          <w:rFonts w:ascii="仿宋_GB2312" w:hAnsi="仿宋_GB2312" w:cs="仿宋_GB2312" w:eastAsia="仿宋_GB2312"/>
        </w:rPr>
        <w:t>和</w:t>
      </w:r>
      <w:r>
        <w:rPr>
          <w:rFonts w:ascii="仿宋_GB2312" w:hAnsi="仿宋_GB2312" w:cs="仿宋_GB2312" w:eastAsia="仿宋_GB2312"/>
        </w:rPr>
        <w:t>陕西立信工程项目管理有限公司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西安市儿童医院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陕西立信工程项目管理有限公司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陕西立信工程项目管理有限公司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现行的国家标准或国家行政部门颁布的法律法规、规章制度等，没有国家标准的，参考行业标准。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现行的国家标准或国家行政部门颁布的法律法规、规章制度等，没有国家标准的，参考行业标准。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陕西立信工程项目管理有限公司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联系人：孔祥妍、解东、李娇</w:t>
      </w:r>
    </w:p>
    <w:p>
      <w:pPr>
        <w:pStyle w:val="null3"/>
      </w:pPr>
      <w:r>
        <w:rPr>
          <w:rFonts w:ascii="仿宋_GB2312" w:hAnsi="仿宋_GB2312" w:cs="仿宋_GB2312" w:eastAsia="仿宋_GB2312"/>
        </w:rPr>
        <w:t>联系电话：029-87519950-809</w:t>
      </w:r>
    </w:p>
    <w:p>
      <w:pPr>
        <w:pStyle w:val="null3"/>
      </w:pPr>
      <w:r>
        <w:rPr>
          <w:rFonts w:ascii="仿宋_GB2312" w:hAnsi="仿宋_GB2312" w:cs="仿宋_GB2312" w:eastAsia="仿宋_GB2312"/>
        </w:rPr>
        <w:t>地址：西安市雁塔区太白南路39号金石柏朗大厦12层1201室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一次性垫单、一次性奶瓶、奶嘴采购项目，分别为采购包1：一次性垫单采购；采购包2：一次性奶瓶、奶嘴采购。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（标段一）1.垫单（医用）2.扫床套</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（标段二）1.一次性奶瓶 2.奶嘴</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标的名称：（标段一）1.垫单（医用）2.扫床套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采购项目：一次性垫单采购</w:t>
            </w:r>
          </w:p>
          <w:p>
            <w:pPr>
              <w:pStyle w:val="null3"/>
              <w:jc w:val="both"/>
            </w:pPr>
            <w:r>
              <w:rPr>
                <w:rFonts w:ascii="仿宋_GB2312" w:hAnsi="仿宋_GB2312" w:cs="仿宋_GB2312" w:eastAsia="仿宋_GB2312"/>
                <w:sz w:val="20"/>
                <w:b/>
              </w:rPr>
              <w:t>一、项目概况</w:t>
            </w:r>
          </w:p>
          <w:p>
            <w:pPr>
              <w:pStyle w:val="null3"/>
              <w:ind w:firstLine="400"/>
              <w:jc w:val="both"/>
            </w:pPr>
            <w:r>
              <w:rPr>
                <w:rFonts w:ascii="仿宋_GB2312" w:hAnsi="仿宋_GB2312" w:cs="仿宋_GB2312" w:eastAsia="仿宋_GB2312"/>
                <w:sz w:val="20"/>
              </w:rPr>
              <w:t>主要用于医疗过程中的检查、治疗、手术、急救、病人转运、传染病隔离及日常护理等，以保持医疗环境的清洁和无菌，降低交叉感染风险，提高工作效率，保障患者和医护人员的健康。</w:t>
            </w:r>
          </w:p>
          <w:p>
            <w:pPr>
              <w:pStyle w:val="null3"/>
              <w:jc w:val="both"/>
            </w:pPr>
            <w:r>
              <w:rPr>
                <w:rFonts w:ascii="仿宋_GB2312" w:hAnsi="仿宋_GB2312" w:cs="仿宋_GB2312" w:eastAsia="仿宋_GB2312"/>
                <w:sz w:val="20"/>
                <w:b/>
              </w:rPr>
              <w:t>二、采购内容</w:t>
            </w:r>
          </w:p>
          <w:p>
            <w:pPr>
              <w:pStyle w:val="null3"/>
              <w:ind w:firstLine="400"/>
              <w:jc w:val="both"/>
            </w:pPr>
            <w:r>
              <w:rPr>
                <w:rFonts w:ascii="仿宋_GB2312" w:hAnsi="仿宋_GB2312" w:cs="仿宋_GB2312" w:eastAsia="仿宋_GB2312"/>
                <w:sz w:val="20"/>
              </w:rPr>
              <w:t>1、一次性使用医用垫单；</w:t>
            </w:r>
          </w:p>
          <w:p>
            <w:pPr>
              <w:pStyle w:val="null3"/>
              <w:ind w:firstLine="400"/>
              <w:jc w:val="both"/>
            </w:pPr>
            <w:r>
              <w:rPr>
                <w:rFonts w:ascii="仿宋_GB2312" w:hAnsi="仿宋_GB2312" w:cs="仿宋_GB2312" w:eastAsia="仿宋_GB2312"/>
                <w:sz w:val="20"/>
              </w:rPr>
              <w:t>2、一次性使用医用扫床套；</w:t>
            </w:r>
          </w:p>
          <w:p>
            <w:pPr>
              <w:pStyle w:val="null3"/>
              <w:jc w:val="both"/>
            </w:pPr>
            <w:r>
              <w:rPr>
                <w:rFonts w:ascii="仿宋_GB2312" w:hAnsi="仿宋_GB2312" w:cs="仿宋_GB2312" w:eastAsia="仿宋_GB2312"/>
                <w:sz w:val="20"/>
                <w:b/>
              </w:rPr>
              <w:t>三、技术要求</w:t>
            </w:r>
          </w:p>
          <w:p>
            <w:pPr>
              <w:pStyle w:val="null3"/>
              <w:ind w:firstLine="400"/>
              <w:jc w:val="both"/>
            </w:pPr>
            <w:r>
              <w:rPr>
                <w:rFonts w:ascii="仿宋_GB2312" w:hAnsi="仿宋_GB2312" w:cs="仿宋_GB2312" w:eastAsia="仿宋_GB2312"/>
                <w:sz w:val="20"/>
              </w:rPr>
              <w:t>（一）、一次性使用医用垫单：</w:t>
            </w:r>
          </w:p>
          <w:p>
            <w:pPr>
              <w:pStyle w:val="null3"/>
              <w:ind w:firstLine="400"/>
              <w:jc w:val="both"/>
            </w:pPr>
            <w:r>
              <w:rPr>
                <w:rFonts w:ascii="仿宋_GB2312" w:hAnsi="仿宋_GB2312" w:cs="仿宋_GB2312" w:eastAsia="仿宋_GB2312"/>
                <w:sz w:val="20"/>
              </w:rPr>
              <w:t>1、规格： 50cm*60cm、80cm*120cm、100cm*150cm、120cm*220cm；</w:t>
            </w:r>
          </w:p>
          <w:p>
            <w:pPr>
              <w:pStyle w:val="null3"/>
              <w:ind w:firstLine="400"/>
              <w:jc w:val="both"/>
            </w:pPr>
            <w:r>
              <w:rPr>
                <w:rFonts w:ascii="仿宋_GB2312" w:hAnsi="仿宋_GB2312" w:cs="仿宋_GB2312" w:eastAsia="仿宋_GB2312"/>
                <w:sz w:val="20"/>
              </w:rPr>
              <w:t>2、包装：独立包装；</w:t>
            </w:r>
          </w:p>
          <w:p>
            <w:pPr>
              <w:pStyle w:val="null3"/>
              <w:ind w:firstLine="400"/>
              <w:jc w:val="both"/>
            </w:pPr>
            <w:r>
              <w:rPr>
                <w:rFonts w:ascii="仿宋_GB2312" w:hAnsi="仿宋_GB2312" w:cs="仿宋_GB2312" w:eastAsia="仿宋_GB2312"/>
                <w:sz w:val="20"/>
              </w:rPr>
              <w:t>3、包装内容：产品名称，规格，数量，合格证，消毒方式，有效期，生产日期及标签，制造商名称及相关信息；</w:t>
            </w:r>
          </w:p>
          <w:p>
            <w:pPr>
              <w:pStyle w:val="null3"/>
              <w:ind w:firstLine="400"/>
              <w:jc w:val="both"/>
            </w:pPr>
            <w:r>
              <w:rPr>
                <w:rFonts w:ascii="仿宋_GB2312" w:hAnsi="仿宋_GB2312" w:cs="仿宋_GB2312" w:eastAsia="仿宋_GB2312"/>
                <w:sz w:val="20"/>
              </w:rPr>
              <w:t>4、材质：由非织造布制成；</w:t>
            </w:r>
          </w:p>
          <w:p>
            <w:pPr>
              <w:pStyle w:val="null3"/>
              <w:ind w:firstLine="400"/>
              <w:jc w:val="both"/>
            </w:pPr>
            <w:r>
              <w:rPr>
                <w:rFonts w:ascii="仿宋_GB2312" w:hAnsi="仿宋_GB2312" w:cs="仿宋_GB2312" w:eastAsia="仿宋_GB2312"/>
                <w:sz w:val="20"/>
              </w:rPr>
              <w:t>5、产品性能：</w:t>
            </w:r>
          </w:p>
          <w:p>
            <w:pPr>
              <w:pStyle w:val="null3"/>
              <w:ind w:firstLine="400"/>
              <w:jc w:val="both"/>
            </w:pPr>
            <w:r>
              <w:rPr>
                <w:rFonts w:ascii="仿宋_GB2312" w:hAnsi="仿宋_GB2312" w:cs="仿宋_GB2312" w:eastAsia="仿宋_GB2312"/>
                <w:sz w:val="20"/>
              </w:rPr>
              <w:t>（1）外观：垫单表面清洁、平整，无破洞、无污渍；</w:t>
            </w:r>
          </w:p>
          <w:p>
            <w:pPr>
              <w:pStyle w:val="null3"/>
              <w:ind w:firstLine="400"/>
              <w:jc w:val="both"/>
            </w:pPr>
            <w:r>
              <w:rPr>
                <w:rFonts w:ascii="仿宋_GB2312" w:hAnsi="仿宋_GB2312" w:cs="仿宋_GB2312" w:eastAsia="仿宋_GB2312"/>
                <w:sz w:val="20"/>
              </w:rPr>
              <w:t>（2）克重：≥40g/㎡；</w:t>
            </w:r>
            <w:r>
              <w:rPr>
                <w:rFonts w:ascii="仿宋_GB2312" w:hAnsi="仿宋_GB2312" w:cs="仿宋_GB2312" w:eastAsia="仿宋_GB2312"/>
                <w:sz w:val="20"/>
                <w:b/>
              </w:rPr>
              <w:t>（提供证明材料）</w:t>
            </w:r>
          </w:p>
          <w:p>
            <w:pPr>
              <w:pStyle w:val="null3"/>
              <w:ind w:firstLine="400"/>
              <w:jc w:val="both"/>
            </w:pPr>
            <w:r>
              <w:rPr>
                <w:rFonts w:ascii="仿宋_GB2312" w:hAnsi="仿宋_GB2312" w:cs="仿宋_GB2312" w:eastAsia="仿宋_GB2312"/>
                <w:sz w:val="20"/>
              </w:rPr>
              <w:t>（3）断裂强力：纵向断裂力纵向≥20N；横向断裂力要求≥14N（按照GB/T24218.3-2010中规定的方法进行检验）；</w:t>
            </w:r>
          </w:p>
          <w:p>
            <w:pPr>
              <w:pStyle w:val="null3"/>
              <w:ind w:firstLine="400"/>
              <w:jc w:val="both"/>
            </w:pPr>
            <w:r>
              <w:rPr>
                <w:rFonts w:ascii="仿宋_GB2312" w:hAnsi="仿宋_GB2312" w:cs="仿宋_GB2312" w:eastAsia="仿宋_GB2312"/>
                <w:sz w:val="20"/>
              </w:rPr>
              <w:t>（4）无菌：垫单无菌（按照GB/T14233.2-2005中规定进行检验）；</w:t>
            </w:r>
          </w:p>
          <w:p>
            <w:pPr>
              <w:pStyle w:val="null3"/>
              <w:ind w:firstLine="400"/>
              <w:jc w:val="both"/>
            </w:pPr>
            <w:r>
              <w:rPr>
                <w:rFonts w:ascii="仿宋_GB2312" w:hAnsi="仿宋_GB2312" w:cs="仿宋_GB2312" w:eastAsia="仿宋_GB2312"/>
                <w:sz w:val="20"/>
              </w:rPr>
              <w:t>（5）环氧乙烷残留量：不大于10ug/g。</w:t>
            </w:r>
          </w:p>
          <w:p>
            <w:pPr>
              <w:pStyle w:val="null3"/>
              <w:ind w:firstLine="400"/>
              <w:jc w:val="both"/>
            </w:pPr>
            <w:r>
              <w:rPr>
                <w:rFonts w:ascii="仿宋_GB2312" w:hAnsi="仿宋_GB2312" w:cs="仿宋_GB2312" w:eastAsia="仿宋_GB2312"/>
                <w:sz w:val="20"/>
              </w:rPr>
              <w:t>（二）、医用扫床刷套：</w:t>
            </w:r>
          </w:p>
          <w:p>
            <w:pPr>
              <w:pStyle w:val="null3"/>
              <w:ind w:firstLine="400"/>
              <w:jc w:val="both"/>
            </w:pPr>
            <w:r>
              <w:rPr>
                <w:rFonts w:ascii="仿宋_GB2312" w:hAnsi="仿宋_GB2312" w:cs="仿宋_GB2312" w:eastAsia="仿宋_GB2312"/>
                <w:sz w:val="20"/>
              </w:rPr>
              <w:t>1、医用扫床套规格尺寸(10cmx25，允差±6% mm）。</w:t>
            </w:r>
          </w:p>
          <w:p>
            <w:pPr>
              <w:pStyle w:val="null3"/>
              <w:ind w:firstLine="400"/>
              <w:jc w:val="both"/>
            </w:pPr>
            <w:r>
              <w:rPr>
                <w:rFonts w:ascii="仿宋_GB2312" w:hAnsi="仿宋_GB2312" w:cs="仿宋_GB2312" w:eastAsia="仿宋_GB2312"/>
                <w:sz w:val="20"/>
              </w:rPr>
              <w:t>2、医用扫床套的外表应洁净平整，色泽均匀一致，无异，不得有破洞和污渍。</w:t>
            </w:r>
          </w:p>
          <w:p>
            <w:pPr>
              <w:pStyle w:val="null3"/>
              <w:ind w:firstLine="400"/>
              <w:jc w:val="both"/>
            </w:pPr>
            <w:r>
              <w:rPr>
                <w:rFonts w:ascii="仿宋_GB2312" w:hAnsi="仿宋_GB2312" w:cs="仿宋_GB2312" w:eastAsia="仿宋_GB2312"/>
                <w:sz w:val="20"/>
              </w:rPr>
              <w:t>3、医用扫床套应成型整齐、针码均匀、无开缝，跳线等缺，每40m不少于6针。</w:t>
            </w:r>
          </w:p>
          <w:p>
            <w:pPr>
              <w:pStyle w:val="null3"/>
              <w:ind w:firstLine="400"/>
              <w:jc w:val="both"/>
            </w:pPr>
            <w:r>
              <w:rPr>
                <w:rFonts w:ascii="仿宋_GB2312" w:hAnsi="仿宋_GB2312" w:cs="仿宋_GB2312" w:eastAsia="仿宋_GB2312"/>
                <w:sz w:val="20"/>
              </w:rPr>
              <w:t>4、非织造布的性能应符合FZ/T64004-1933中纺粘法织造布的外观和断裂强度的规定。</w:t>
            </w:r>
          </w:p>
          <w:p>
            <w:pPr>
              <w:pStyle w:val="null3"/>
              <w:ind w:firstLine="400"/>
              <w:jc w:val="both"/>
            </w:pPr>
            <w:r>
              <w:rPr>
                <w:rFonts w:ascii="仿宋_GB2312" w:hAnsi="仿宋_GB2312" w:cs="仿宋_GB2312" w:eastAsia="仿宋_GB2312"/>
                <w:sz w:val="20"/>
              </w:rPr>
              <w:t>5、非织造布的规格不得低于 20g/㎡。</w:t>
            </w:r>
          </w:p>
          <w:p>
            <w:pPr>
              <w:pStyle w:val="null3"/>
              <w:ind w:firstLine="400"/>
              <w:jc w:val="both"/>
            </w:pPr>
            <w:r>
              <w:rPr>
                <w:rFonts w:ascii="仿宋_GB2312" w:hAnsi="仿宋_GB2312" w:cs="仿宋_GB2312" w:eastAsia="仿宋_GB2312"/>
                <w:sz w:val="20"/>
              </w:rPr>
              <w:t>6、医用扫床套应无菌，无菌有效期两年。医用扫床套经环氧乙烷灭菌，环氧乙烷残留量应不大于10mg/g。</w:t>
            </w:r>
          </w:p>
          <w:p>
            <w:pPr>
              <w:pStyle w:val="null3"/>
              <w:ind w:firstLine="400"/>
              <w:jc w:val="both"/>
            </w:pPr>
            <w:r>
              <w:rPr>
                <w:rFonts w:ascii="仿宋_GB2312" w:hAnsi="仿宋_GB2312" w:cs="仿宋_GB2312" w:eastAsia="仿宋_GB2312"/>
                <w:sz w:val="20"/>
              </w:rPr>
              <w:t>（三）、</w:t>
            </w:r>
            <w:r>
              <w:rPr>
                <w:rFonts w:ascii="仿宋_GB2312" w:hAnsi="仿宋_GB2312" w:cs="仿宋_GB2312" w:eastAsia="仿宋_GB2312"/>
                <w:sz w:val="20"/>
              </w:rPr>
              <w:t>最高限价</w:t>
            </w:r>
          </w:p>
          <w:tbl>
            <w:tblPr>
              <w:tblInd w:type="dxa" w:w="135"/>
              <w:tblBorders>
                <w:top w:val="none" w:color="000000" w:sz="4"/>
                <w:left w:val="none" w:color="000000" w:sz="4"/>
                <w:bottom w:val="none" w:color="000000" w:sz="4"/>
                <w:right w:val="none" w:color="000000" w:sz="4"/>
                <w:insideH w:val="none"/>
                <w:insideV w:val="none"/>
              </w:tblBorders>
            </w:tblPr>
            <w:tblGrid>
              <w:gridCol w:w="736"/>
              <w:gridCol w:w="973"/>
              <w:gridCol w:w="842"/>
            </w:tblGrid>
            <w:tr>
              <w:tc>
                <w:tcPr>
                  <w:tcW w:type="dxa" w:w="7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9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型号</w:t>
                  </w:r>
                </w:p>
              </w:tc>
              <w:tc>
                <w:tcPr>
                  <w:tcW w:type="dxa" w:w="8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最高限</w:t>
                  </w:r>
                  <w:r>
                    <w:rPr>
                      <w:rFonts w:ascii="仿宋_GB2312" w:hAnsi="仿宋_GB2312" w:cs="仿宋_GB2312" w:eastAsia="仿宋_GB2312"/>
                      <w:sz w:val="20"/>
                    </w:rPr>
                    <w:t>价（单价）</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50*60</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1.01</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80*120</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2.30</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100*150</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120*220</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4.20</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9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扫床套</w:t>
                  </w:r>
                </w:p>
              </w:tc>
              <w:tc>
                <w:tcPr>
                  <w:tcW w:type="dxa" w:w="8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0.30</w:t>
                  </w:r>
                </w:p>
              </w:tc>
            </w:tr>
            <w:tr>
              <w:tc>
                <w:tcPr>
                  <w:tcW w:type="dxa" w:w="736"/>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最高限价合计</w:t>
                  </w:r>
                </w:p>
              </w:tc>
              <w:tc>
                <w:tcPr>
                  <w:tcW w:type="dxa" w:w="18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10.81</w:t>
                  </w:r>
                </w:p>
              </w:tc>
            </w:tr>
          </w:tbl>
          <w:p>
            <w:pPr>
              <w:pStyle w:val="null3"/>
              <w:jc w:val="both"/>
            </w:pPr>
            <w:r>
              <w:rPr>
                <w:rFonts w:ascii="仿宋_GB2312" w:hAnsi="仿宋_GB2312" w:cs="仿宋_GB2312" w:eastAsia="仿宋_GB2312"/>
                <w:sz w:val="20"/>
                <w:b/>
              </w:rPr>
              <w:t>四、服务要求</w:t>
            </w:r>
          </w:p>
          <w:p>
            <w:pPr>
              <w:pStyle w:val="null3"/>
              <w:ind w:firstLine="400"/>
              <w:jc w:val="both"/>
            </w:pPr>
            <w:r>
              <w:rPr>
                <w:rFonts w:ascii="仿宋_GB2312" w:hAnsi="仿宋_GB2312" w:cs="仿宋_GB2312" w:eastAsia="仿宋_GB2312"/>
                <w:sz w:val="20"/>
              </w:rPr>
              <w:t>在质保期内因产品的质量问题，在接到甲方通知后，乙方在24小时内完成更换。</w:t>
            </w:r>
          </w:p>
          <w:p>
            <w:pPr>
              <w:pStyle w:val="null3"/>
              <w:jc w:val="both"/>
            </w:pPr>
            <w:r>
              <w:rPr>
                <w:rFonts w:ascii="仿宋_GB2312" w:hAnsi="仿宋_GB2312" w:cs="仿宋_GB2312" w:eastAsia="仿宋_GB2312"/>
                <w:sz w:val="20"/>
                <w:b/>
              </w:rPr>
              <w:t>五、商务要求</w:t>
            </w:r>
          </w:p>
          <w:p>
            <w:pPr>
              <w:pStyle w:val="null3"/>
              <w:ind w:firstLine="400"/>
              <w:jc w:val="both"/>
            </w:pPr>
            <w:r>
              <w:rPr>
                <w:rFonts w:ascii="仿宋_GB2312" w:hAnsi="仿宋_GB2312" w:cs="仿宋_GB2312" w:eastAsia="仿宋_GB2312"/>
                <w:sz w:val="20"/>
              </w:rPr>
              <w:t>1、供货期：自合同签订之日起1年，按需配送。</w:t>
            </w:r>
          </w:p>
          <w:p>
            <w:pPr>
              <w:pStyle w:val="null3"/>
              <w:ind w:firstLine="400"/>
              <w:jc w:val="both"/>
            </w:pPr>
            <w:r>
              <w:rPr>
                <w:rFonts w:ascii="仿宋_GB2312" w:hAnsi="仿宋_GB2312" w:cs="仿宋_GB2312" w:eastAsia="仿宋_GB2312"/>
                <w:sz w:val="20"/>
              </w:rPr>
              <w:t>2、交货时间：接到采购人订单之日起3日内交货。</w:t>
            </w:r>
          </w:p>
          <w:p>
            <w:pPr>
              <w:pStyle w:val="null3"/>
              <w:ind w:firstLine="400"/>
              <w:jc w:val="both"/>
            </w:pPr>
            <w:r>
              <w:rPr>
                <w:rFonts w:ascii="仿宋_GB2312" w:hAnsi="仿宋_GB2312" w:cs="仿宋_GB2312" w:eastAsia="仿宋_GB2312"/>
                <w:sz w:val="20"/>
              </w:rPr>
              <w:t>3、交付地点：西安市儿童医院</w:t>
            </w:r>
          </w:p>
          <w:p>
            <w:pPr>
              <w:pStyle w:val="null3"/>
              <w:ind w:firstLine="400"/>
              <w:jc w:val="both"/>
            </w:pPr>
            <w:r>
              <w:rPr>
                <w:rFonts w:ascii="仿宋_GB2312" w:hAnsi="仿宋_GB2312" w:cs="仿宋_GB2312" w:eastAsia="仿宋_GB2312"/>
                <w:sz w:val="20"/>
              </w:rPr>
              <w:t>4、质保期：质保期两年</w:t>
            </w:r>
          </w:p>
          <w:p>
            <w:pPr>
              <w:pStyle w:val="null3"/>
              <w:ind w:firstLine="400"/>
              <w:jc w:val="both"/>
            </w:pPr>
            <w:r>
              <w:rPr>
                <w:rFonts w:ascii="仿宋_GB2312" w:hAnsi="仿宋_GB2312" w:cs="仿宋_GB2312" w:eastAsia="仿宋_GB2312"/>
                <w:sz w:val="20"/>
              </w:rPr>
              <w:t>5、付款方式：</w:t>
            </w:r>
          </w:p>
          <w:p>
            <w:pPr>
              <w:pStyle w:val="null3"/>
              <w:ind w:firstLine="400"/>
              <w:jc w:val="both"/>
            </w:pPr>
            <w:r>
              <w:rPr>
                <w:rFonts w:ascii="仿宋_GB2312" w:hAnsi="仿宋_GB2312" w:cs="仿宋_GB2312" w:eastAsia="仿宋_GB2312"/>
                <w:sz w:val="20"/>
              </w:rPr>
              <w:t>按需配送，按照医院财务付款流程，每季度支付本季度验收合格货物总价款的100%，结算价达到200000.00元（采购预算）时，合同自动终止</w:t>
            </w:r>
            <w:r>
              <w:rPr>
                <w:rFonts w:ascii="仿宋_GB2312" w:hAnsi="仿宋_GB2312" w:cs="仿宋_GB2312" w:eastAsia="仿宋_GB2312"/>
                <w:sz w:val="20"/>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标的名称：（标段二）1.一次性奶瓶 2.奶嘴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采购项目：一次性奶瓶、奶嘴采购</w:t>
            </w:r>
          </w:p>
          <w:p>
            <w:pPr>
              <w:pStyle w:val="null3"/>
              <w:jc w:val="both"/>
            </w:pPr>
            <w:r>
              <w:rPr>
                <w:rFonts w:ascii="仿宋_GB2312" w:hAnsi="仿宋_GB2312" w:cs="仿宋_GB2312" w:eastAsia="仿宋_GB2312"/>
                <w:sz w:val="20"/>
                <w:b/>
              </w:rPr>
              <w:t>一、项目概况</w:t>
            </w:r>
          </w:p>
          <w:p>
            <w:pPr>
              <w:pStyle w:val="null3"/>
              <w:ind w:firstLine="400"/>
              <w:jc w:val="both"/>
            </w:pPr>
            <w:r>
              <w:rPr>
                <w:rFonts w:ascii="仿宋_GB2312" w:hAnsi="仿宋_GB2312" w:cs="仿宋_GB2312" w:eastAsia="仿宋_GB2312"/>
                <w:sz w:val="20"/>
              </w:rPr>
              <w:t>一次性奶瓶、奶嘴免除了清洗、消毒、干燥、储存和转运等多个繁琐环节，显著节省了人力成本。同时，它们还具备安全、卫生、方便、快捷的特点，能够大幅提升医护人员的工作效率，并减少交叉感染的风险，为新生儿提供更加安全、可靠的喂养体验。</w:t>
            </w:r>
          </w:p>
          <w:p>
            <w:pPr>
              <w:pStyle w:val="null3"/>
              <w:jc w:val="both"/>
            </w:pPr>
            <w:r>
              <w:rPr>
                <w:rFonts w:ascii="仿宋_GB2312" w:hAnsi="仿宋_GB2312" w:cs="仿宋_GB2312" w:eastAsia="仿宋_GB2312"/>
                <w:sz w:val="20"/>
                <w:b/>
              </w:rPr>
              <w:t>二、采购内容</w:t>
            </w:r>
          </w:p>
          <w:p>
            <w:pPr>
              <w:pStyle w:val="null3"/>
              <w:ind w:firstLine="400"/>
              <w:jc w:val="both"/>
            </w:pPr>
            <w:r>
              <w:rPr>
                <w:rFonts w:ascii="仿宋_GB2312" w:hAnsi="仿宋_GB2312" w:cs="仿宋_GB2312" w:eastAsia="仿宋_GB2312"/>
                <w:sz w:val="20"/>
              </w:rPr>
              <w:t>1、一次性奶瓶：100ml、250ml；</w:t>
            </w:r>
          </w:p>
          <w:p>
            <w:pPr>
              <w:pStyle w:val="null3"/>
              <w:ind w:firstLine="400"/>
              <w:jc w:val="both"/>
            </w:pPr>
            <w:r>
              <w:rPr>
                <w:rFonts w:ascii="仿宋_GB2312" w:hAnsi="仿宋_GB2312" w:cs="仿宋_GB2312" w:eastAsia="仿宋_GB2312"/>
                <w:sz w:val="20"/>
              </w:rPr>
              <w:t>2、一次性奶嘴；</w:t>
            </w:r>
          </w:p>
          <w:p>
            <w:pPr>
              <w:pStyle w:val="null3"/>
              <w:ind w:firstLine="402"/>
              <w:jc w:val="both"/>
            </w:pPr>
            <w:r>
              <w:rPr>
                <w:rFonts w:ascii="仿宋_GB2312" w:hAnsi="仿宋_GB2312" w:cs="仿宋_GB2312" w:eastAsia="仿宋_GB2312"/>
                <w:sz w:val="20"/>
                <w:b/>
              </w:rPr>
              <w:t>提供奶瓶（100ml、250ml）、奶嘴的样品。（开标截止之日前送至代理公司）</w:t>
            </w:r>
          </w:p>
          <w:p>
            <w:pPr>
              <w:pStyle w:val="null3"/>
              <w:jc w:val="both"/>
            </w:pPr>
            <w:r>
              <w:rPr>
                <w:rFonts w:ascii="仿宋_GB2312" w:hAnsi="仿宋_GB2312" w:cs="仿宋_GB2312" w:eastAsia="仿宋_GB2312"/>
                <w:sz w:val="20"/>
                <w:b/>
              </w:rPr>
              <w:t>三、技术要求</w:t>
            </w:r>
          </w:p>
          <w:p>
            <w:pPr>
              <w:pStyle w:val="null3"/>
              <w:ind w:firstLine="400"/>
              <w:jc w:val="both"/>
            </w:pPr>
            <w:r>
              <w:rPr>
                <w:rFonts w:ascii="仿宋_GB2312" w:hAnsi="仿宋_GB2312" w:cs="仿宋_GB2312" w:eastAsia="仿宋_GB2312"/>
                <w:sz w:val="20"/>
              </w:rPr>
              <w:t>1、一次性奶瓶容量：100ml、250ml；一次性奶嘴；</w:t>
            </w:r>
          </w:p>
          <w:p>
            <w:pPr>
              <w:pStyle w:val="null3"/>
              <w:ind w:firstLine="400"/>
              <w:jc w:val="both"/>
            </w:pPr>
            <w:r>
              <w:rPr>
                <w:rFonts w:ascii="仿宋_GB2312" w:hAnsi="仿宋_GB2312" w:cs="仿宋_GB2312" w:eastAsia="仿宋_GB2312"/>
                <w:sz w:val="20"/>
              </w:rPr>
              <w:t>2、包装：独立包装；</w:t>
            </w:r>
          </w:p>
          <w:p>
            <w:pPr>
              <w:pStyle w:val="null3"/>
              <w:ind w:firstLine="400"/>
              <w:jc w:val="both"/>
            </w:pPr>
            <w:r>
              <w:rPr>
                <w:rFonts w:ascii="仿宋_GB2312" w:hAnsi="仿宋_GB2312" w:cs="仿宋_GB2312" w:eastAsia="仿宋_GB2312"/>
                <w:sz w:val="20"/>
              </w:rPr>
              <w:t>3、包装内容：产品注册号、生产许可证号、生产执行标准，产品名称，规格，数量，消毒方式，有效期，生产日期及标签，制造商名称、单个重量及相关信息；</w:t>
            </w:r>
          </w:p>
          <w:p>
            <w:pPr>
              <w:pStyle w:val="null3"/>
              <w:ind w:firstLine="400"/>
              <w:jc w:val="both"/>
            </w:pPr>
            <w:r>
              <w:rPr>
                <w:rFonts w:ascii="仿宋_GB2312" w:hAnsi="仿宋_GB2312" w:cs="仿宋_GB2312" w:eastAsia="仿宋_GB2312"/>
                <w:sz w:val="20"/>
              </w:rPr>
              <w:t>4、奶瓶重量要求（不含奶嘴、奶瓶盖）：100ml≥10g、250ml≥21g</w:t>
            </w:r>
          </w:p>
          <w:p>
            <w:pPr>
              <w:pStyle w:val="null3"/>
              <w:ind w:firstLine="400"/>
              <w:jc w:val="both"/>
            </w:pPr>
            <w:r>
              <w:rPr>
                <w:rFonts w:ascii="仿宋_GB2312" w:hAnsi="仿宋_GB2312" w:cs="仿宋_GB2312" w:eastAsia="仿宋_GB2312"/>
                <w:sz w:val="20"/>
              </w:rPr>
              <w:t>5、奶嘴材质：食品级液体硅胶，安全无毒，无色透明；食品级液体硅胶，符合GB4806.2-2015挥发性物质检测；</w:t>
            </w:r>
          </w:p>
          <w:p>
            <w:pPr>
              <w:pStyle w:val="null3"/>
              <w:ind w:firstLine="400"/>
              <w:jc w:val="both"/>
            </w:pPr>
            <w:r>
              <w:rPr>
                <w:rFonts w:ascii="仿宋_GB2312" w:hAnsi="仿宋_GB2312" w:cs="仿宋_GB2312" w:eastAsia="仿宋_GB2312"/>
                <w:sz w:val="20"/>
              </w:rPr>
              <w:t>6、奶瓶材质：聚丙烯（PP）不含双酚A，耐高温，无异味，硬度高，无色透明，易观奶质，瓶侧有ml刻度标示，使用方便；食品级专用聚丙烯（pp）符合GB4806.7-2023、GB31604.5-2016；</w:t>
            </w:r>
          </w:p>
          <w:p>
            <w:pPr>
              <w:pStyle w:val="null3"/>
              <w:ind w:firstLine="400"/>
              <w:jc w:val="both"/>
            </w:pPr>
            <w:r>
              <w:rPr>
                <w:rFonts w:ascii="仿宋_GB2312" w:hAnsi="仿宋_GB2312" w:cs="仿宋_GB2312" w:eastAsia="仿宋_GB2312"/>
                <w:sz w:val="20"/>
              </w:rPr>
              <w:t>7、食品接触用塑料材料及制品符合GB 4806.7-2023；</w:t>
            </w:r>
          </w:p>
          <w:p>
            <w:pPr>
              <w:pStyle w:val="null3"/>
              <w:ind w:firstLine="400"/>
              <w:jc w:val="both"/>
            </w:pPr>
            <w:r>
              <w:rPr>
                <w:rFonts w:ascii="仿宋_GB2312" w:hAnsi="仿宋_GB2312" w:cs="仿宋_GB2312" w:eastAsia="仿宋_GB2312"/>
                <w:sz w:val="20"/>
              </w:rPr>
              <w:t>8、食品接触材料、高分子材料、食品模拟物中2.2-二（4-羟基苯基）丙烷（双酚A）的测定符合GB31604.10-2016；</w:t>
            </w:r>
          </w:p>
          <w:p>
            <w:pPr>
              <w:pStyle w:val="null3"/>
              <w:ind w:firstLine="400"/>
              <w:jc w:val="both"/>
            </w:pPr>
            <w:r>
              <w:rPr>
                <w:rFonts w:ascii="仿宋_GB2312" w:hAnsi="仿宋_GB2312" w:cs="仿宋_GB2312" w:eastAsia="仿宋_GB2312"/>
                <w:sz w:val="20"/>
              </w:rPr>
              <w:t>9、食品塑料包装材料中邻苯二甲酸酯（塑化剂）的测定符合GB 31604.30-2016。</w:t>
            </w:r>
          </w:p>
          <w:p>
            <w:pPr>
              <w:pStyle w:val="null3"/>
              <w:ind w:firstLine="400"/>
              <w:jc w:val="both"/>
            </w:pPr>
            <w:r>
              <w:rPr>
                <w:rFonts w:ascii="仿宋_GB2312" w:hAnsi="仿宋_GB2312" w:cs="仿宋_GB2312" w:eastAsia="仿宋_GB2312"/>
                <w:sz w:val="20"/>
              </w:rPr>
              <w:t>10、最高限价</w:t>
            </w:r>
          </w:p>
          <w:tbl>
            <w:tblPr>
              <w:tblInd w:type="dxa" w:w="135"/>
              <w:tblBorders>
                <w:top w:val="none" w:color="000000" w:sz="4"/>
                <w:left w:val="none" w:color="000000" w:sz="4"/>
                <w:bottom w:val="none" w:color="000000" w:sz="4"/>
                <w:right w:val="none" w:color="000000" w:sz="4"/>
                <w:insideH w:val="none"/>
                <w:insideV w:val="none"/>
              </w:tblBorders>
            </w:tblPr>
            <w:tblGrid>
              <w:gridCol w:w="736"/>
              <w:gridCol w:w="927"/>
              <w:gridCol w:w="888"/>
            </w:tblGrid>
            <w:tr>
              <w:tc>
                <w:tcPr>
                  <w:tcW w:type="dxa" w:w="7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9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8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最高限价</w:t>
                  </w:r>
                  <w:r>
                    <w:rPr>
                      <w:rFonts w:ascii="仿宋_GB2312" w:hAnsi="仿宋_GB2312" w:cs="仿宋_GB2312" w:eastAsia="仿宋_GB2312"/>
                      <w:sz w:val="20"/>
                    </w:rPr>
                    <w:t>（单价）</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奶瓶100ml</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0.88</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奶瓶250ml</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1.33</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奶嘴</w:t>
                  </w:r>
                </w:p>
              </w:tc>
              <w:tc>
                <w:tcPr>
                  <w:tcW w:type="dxa" w:w="8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0.37</w:t>
                  </w:r>
                </w:p>
              </w:tc>
            </w:tr>
            <w:tr>
              <w:tc>
                <w:tcPr>
                  <w:tcW w:type="dxa" w:w="736"/>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最高限价合计</w:t>
                  </w:r>
                </w:p>
              </w:tc>
              <w:tc>
                <w:tcPr>
                  <w:tcW w:type="dxa" w:w="18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2.58</w:t>
                  </w:r>
                </w:p>
              </w:tc>
            </w:tr>
          </w:tbl>
          <w:p>
            <w:pPr>
              <w:pStyle w:val="null3"/>
              <w:jc w:val="both"/>
            </w:pPr>
            <w:r>
              <w:rPr>
                <w:rFonts w:ascii="仿宋_GB2312" w:hAnsi="仿宋_GB2312" w:cs="仿宋_GB2312" w:eastAsia="仿宋_GB2312"/>
                <w:sz w:val="20"/>
                <w:b/>
              </w:rPr>
              <w:t>四、服务要求</w:t>
            </w:r>
          </w:p>
          <w:p>
            <w:pPr>
              <w:pStyle w:val="null3"/>
              <w:ind w:firstLine="400"/>
              <w:jc w:val="both"/>
            </w:pPr>
            <w:r>
              <w:rPr>
                <w:rFonts w:ascii="仿宋_GB2312" w:hAnsi="仿宋_GB2312" w:cs="仿宋_GB2312" w:eastAsia="仿宋_GB2312"/>
                <w:sz w:val="20"/>
              </w:rPr>
              <w:t>在质保期内因产品的质量问题，在接到甲方通知后，乙方在24小时内完成更换。</w:t>
            </w:r>
          </w:p>
          <w:p>
            <w:pPr>
              <w:pStyle w:val="null3"/>
              <w:jc w:val="both"/>
            </w:pPr>
            <w:r>
              <w:rPr>
                <w:rFonts w:ascii="仿宋_GB2312" w:hAnsi="仿宋_GB2312" w:cs="仿宋_GB2312" w:eastAsia="仿宋_GB2312"/>
                <w:sz w:val="20"/>
                <w:b/>
              </w:rPr>
              <w:t>五、商务要求</w:t>
            </w:r>
          </w:p>
          <w:p>
            <w:pPr>
              <w:pStyle w:val="null3"/>
              <w:ind w:firstLine="400"/>
              <w:jc w:val="both"/>
            </w:pPr>
            <w:r>
              <w:rPr>
                <w:rFonts w:ascii="仿宋_GB2312" w:hAnsi="仿宋_GB2312" w:cs="仿宋_GB2312" w:eastAsia="仿宋_GB2312"/>
                <w:sz w:val="20"/>
              </w:rPr>
              <w:t>1、供货期：自合同签订之日起1年，按需配送。</w:t>
            </w:r>
          </w:p>
          <w:p>
            <w:pPr>
              <w:pStyle w:val="null3"/>
              <w:ind w:firstLine="400"/>
              <w:jc w:val="both"/>
            </w:pPr>
            <w:r>
              <w:rPr>
                <w:rFonts w:ascii="仿宋_GB2312" w:hAnsi="仿宋_GB2312" w:cs="仿宋_GB2312" w:eastAsia="仿宋_GB2312"/>
                <w:sz w:val="20"/>
              </w:rPr>
              <w:t>2、交货时间：接到采购人订单之日起3日内交货。</w:t>
            </w:r>
          </w:p>
          <w:p>
            <w:pPr>
              <w:pStyle w:val="null3"/>
              <w:ind w:firstLine="400"/>
              <w:jc w:val="both"/>
            </w:pPr>
            <w:r>
              <w:rPr>
                <w:rFonts w:ascii="仿宋_GB2312" w:hAnsi="仿宋_GB2312" w:cs="仿宋_GB2312" w:eastAsia="仿宋_GB2312"/>
                <w:sz w:val="20"/>
              </w:rPr>
              <w:t>3、交付地点：西安市儿童医院</w:t>
            </w:r>
          </w:p>
          <w:p>
            <w:pPr>
              <w:pStyle w:val="null3"/>
              <w:ind w:firstLine="400"/>
              <w:jc w:val="both"/>
            </w:pPr>
            <w:r>
              <w:rPr>
                <w:rFonts w:ascii="仿宋_GB2312" w:hAnsi="仿宋_GB2312" w:cs="仿宋_GB2312" w:eastAsia="仿宋_GB2312"/>
                <w:sz w:val="20"/>
              </w:rPr>
              <w:t>4、质保期：质保期两年</w:t>
            </w:r>
          </w:p>
          <w:p>
            <w:pPr>
              <w:pStyle w:val="null3"/>
              <w:ind w:firstLine="400"/>
              <w:jc w:val="both"/>
            </w:pPr>
            <w:r>
              <w:rPr>
                <w:rFonts w:ascii="仿宋_GB2312" w:hAnsi="仿宋_GB2312" w:cs="仿宋_GB2312" w:eastAsia="仿宋_GB2312"/>
                <w:sz w:val="20"/>
              </w:rPr>
              <w:t>5、付款方式：</w:t>
            </w:r>
          </w:p>
          <w:p>
            <w:pPr>
              <w:pStyle w:val="null3"/>
              <w:ind w:firstLine="400"/>
              <w:jc w:val="both"/>
            </w:pPr>
            <w:r>
              <w:rPr>
                <w:rFonts w:ascii="仿宋_GB2312" w:hAnsi="仿宋_GB2312" w:cs="仿宋_GB2312" w:eastAsia="仿宋_GB2312"/>
                <w:sz w:val="20"/>
              </w:rPr>
              <w:t>按需配送，按照医院财务付款流程，每季度支付本季度验收合格货物总价款的100%，结算价达到200000.00元（采购预算）时，合同自动终止</w:t>
            </w:r>
            <w:r>
              <w:rPr>
                <w:rFonts w:ascii="仿宋_GB2312" w:hAnsi="仿宋_GB2312" w:cs="仿宋_GB2312" w:eastAsia="仿宋_GB2312"/>
                <w:sz w:val="20"/>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接到采购人订单之日起3日内交货。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接到采购人订单之日起3日内交货。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西安市儿童医院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西安市儿童医院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验收合格后，按照医院财务付款流程，每季度支付本季度验收合格货物总价款，结算价达到200000.00元（采购预算）时，合同自动终止</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验收合格后，按照医院财务付款流程，每季度支付本季度验收合格货物总价款，结算价达到200000.00元（采购预算）时，合同自动终止</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按谈判文件及合同约定执行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运输方式由乙方自行选择，但必须保证按期交货。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运输方式由乙方自行选择，但必须保证按期交货。</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按谈判文件及合同约定执行</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按谈判文件及合同约定执行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1、开标当天二次报价环节，将附件中二次报价表及分项报价表（第二次）填写后盖章扫描进行上传。 2、本项目为单价报价方式，报价不得超过各项单价限价及采购预算、最高限价。</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1、开标当天二次报价环节，将附件中二次报价表及分项报价表（第二次）填写后盖章扫描进行上传。 2、本项目为单价报价方式，报价不得超过各项单价限价及采购预算、最高限价。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供应商参加政府采购活动承诺书.docx 中小企业声明函 商务应答表.docx 报价表 技术参数响应表.docx 响应文件封面 磋商报价表（包1）.docx 供应商应提交的相关资格证明材料.docx 供应商认为需要提供的其他资料.docx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供应商参加政府采购活动承诺书.docx 中小企业声明函 商务应答表.docx 报价表 磋商报价表（包2）.docx 技术参数响应表.docx 响应文件封面 供应商应提交的相关资格证明材料.docx 供应商认为需要提供的其他资料.docx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法定代表人参加谈判的，须出具法定代表人身份证明书及身份证。法定代表人授权委托人参加谈判的，须出具法定代表人授权委托书及授权委托人身份证；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审计报告或提供本项目谈判前三个月内基本开户银行出具的资信良好的证明或提供政府采购专业担保机构出具的投标担保函（提供银行资信证明的需同时附基本存款账户开户许可证（或基本存款账户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提供递交响应文件截止之日前一年内至少一个月的依法缴纳税收的相关凭据（时间以税款所属日期为准），依法免税或无须缴纳税收的供应商应提供相应证明文件；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提供递交响应文件截止之日前一年内至少一个月的社会保障资金缴纳证明，依法不需要缴纳社会保障资金的供应商应提供相关文件证明；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https://www.creditchina.gov.cn/xinyongfuwu/zhongdashuishouweifaanjian/）重大税收违法失信主体，未被列入“中国政府采购网”（www.ccgp.gov.cn）政府采购严重违法失信行为记录名单； 以评标现场查询结果为准。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为生产厂家的需提供《全国工业产品生产许可证》（包含食品用塑料包装容器相关内容）；供应商为经销商的需须提供其生产厂家的《全国工业产品生产许可证》（包含食品用塑料包装容器相关内容）及其生产厂家营业执照;</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法定代表人参加谈判的，须出具法定代表人身份证明书及身份证。法定代表人授权委托人参加谈判的，须出具法定代表人授权委托书及授权委托人身份证；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审计报告或提供本项目谈判前三个月内基本开户银行出具的资信良好的证明或提供政府采购专业担保机构出具的投标担保函（提供银行资信证明的需同时附基本存款账户开户许可证（或基本存款账户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提供递交响应文件截止之日前一年内至少一个月的依法缴纳税收的相关凭据（时间以税款所属日期为准），依法免税或无须缴纳税收的供应商应提供相应证明文件；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提供递交响应文件截止之日前一年内至少一个月的社会保障资金缴纳证明，依法不需要缴纳社会保障资金的供应商应提供相关文件证明；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https://www.creditchina.gov.cn/xinyongfuwu/zhongdashuishouweifaanjian/）重大税收违法失信主体，未被列入“中国政府采购网”（www.ccgp.gov.cn）政府采购严重违法失信行为记录名单； 以评标现场查询结果为准。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本项目不接受联合体谈判</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响应文件中项目名称、项目编号与本项目一致</w:t>
            </w:r>
          </w:p>
        </w:tc>
        <w:tc>
          <w:tcPr>
            <w:tcW w:type="dxa" w:w="1661"/>
          </w:tcPr>
          <w:p>
            <w:pPr>
              <w:pStyle w:val="null3"/>
            </w:pPr>
            <w:r>
              <w:rPr>
                <w:rFonts w:ascii="仿宋_GB2312" w:hAnsi="仿宋_GB2312" w:cs="仿宋_GB2312" w:eastAsia="仿宋_GB2312"/>
              </w:rPr>
              <w:t>供应商参加政府采购活动承诺书.docx 中小企业声明函 商务应答表.docx 报价表 技术参数响应表.docx 响应文件封面 磋商报价表（包1）.docx 供应商应提交的相关资格证明材料.docx 供应商认为需要提供的其他资料.docx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签章均符合采购文件要求，且无遗漏。</w:t>
            </w:r>
          </w:p>
        </w:tc>
        <w:tc>
          <w:tcPr>
            <w:tcW w:type="dxa" w:w="1661"/>
          </w:tcPr>
          <w:p>
            <w:pPr>
              <w:pStyle w:val="null3"/>
            </w:pPr>
            <w:r>
              <w:rPr>
                <w:rFonts w:ascii="仿宋_GB2312" w:hAnsi="仿宋_GB2312" w:cs="仿宋_GB2312" w:eastAsia="仿宋_GB2312"/>
              </w:rPr>
              <w:t>供应商参加政府采购活动承诺书.docx 中小企业声明函 商务应答表.docx 报价表 技术参数响应表.docx 响应文件封面 磋商报价表（包1）.docx 供应商应提交的相关资格证明材料.docx 供应商认为需要提供的其他资料.docx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同时满足以下条款：（1）货币单位符合采购文件要求（2）报价符合唯一性要求（3）未超出单价限价及采购预算、最高限价</w:t>
            </w:r>
          </w:p>
        </w:tc>
        <w:tc>
          <w:tcPr>
            <w:tcW w:type="dxa" w:w="1661"/>
          </w:tcPr>
          <w:p>
            <w:pPr>
              <w:pStyle w:val="null3"/>
            </w:pPr>
            <w:r>
              <w:rPr>
                <w:rFonts w:ascii="仿宋_GB2312" w:hAnsi="仿宋_GB2312" w:cs="仿宋_GB2312" w:eastAsia="仿宋_GB2312"/>
              </w:rPr>
              <w:t>磋商报价表（包1）.docx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符合谈判文件的要求</w:t>
            </w:r>
          </w:p>
        </w:tc>
        <w:tc>
          <w:tcPr>
            <w:tcW w:type="dxa" w:w="1661"/>
          </w:tcPr>
          <w:p>
            <w:pPr>
              <w:pStyle w:val="null3"/>
            </w:pPr>
            <w:r>
              <w:rPr>
                <w:rFonts w:ascii="仿宋_GB2312" w:hAnsi="仿宋_GB2312" w:cs="仿宋_GB2312" w:eastAsia="仿宋_GB2312"/>
              </w:rPr>
              <w:t>磋商报价表（包1）.docx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符合谈判文件的要求</w:t>
            </w:r>
          </w:p>
        </w:tc>
        <w:tc>
          <w:tcPr>
            <w:tcW w:type="dxa" w:w="1661"/>
          </w:tcPr>
          <w:p>
            <w:pPr>
              <w:pStyle w:val="null3"/>
            </w:pPr>
            <w:r>
              <w:rPr>
                <w:rFonts w:ascii="仿宋_GB2312" w:hAnsi="仿宋_GB2312" w:cs="仿宋_GB2312" w:eastAsia="仿宋_GB2312"/>
              </w:rPr>
              <w:t>磋商报价表（包1）.docx 标的清单 报价表 响应函 技术参数响应表.docx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实质性条款、商务要求、合同条款响应</w:t>
            </w:r>
          </w:p>
        </w:tc>
        <w:tc>
          <w:tcPr>
            <w:tcW w:type="dxa" w:w="3322"/>
          </w:tcPr>
          <w:p>
            <w:pPr>
              <w:pStyle w:val="null3"/>
            </w:pPr>
            <w:r>
              <w:rPr>
                <w:rFonts w:ascii="仿宋_GB2312" w:hAnsi="仿宋_GB2312" w:cs="仿宋_GB2312" w:eastAsia="仿宋_GB2312"/>
              </w:rPr>
              <w:t>完全响应，不能有采购人不能接受的附加条件</w:t>
            </w:r>
          </w:p>
        </w:tc>
        <w:tc>
          <w:tcPr>
            <w:tcW w:type="dxa" w:w="1661"/>
          </w:tcPr>
          <w:p>
            <w:pPr>
              <w:pStyle w:val="null3"/>
            </w:pPr>
            <w:r>
              <w:rPr>
                <w:rFonts w:ascii="仿宋_GB2312" w:hAnsi="仿宋_GB2312" w:cs="仿宋_GB2312" w:eastAsia="仿宋_GB2312"/>
              </w:rPr>
              <w:t>供应商参加政府采购活动承诺书.docx 磋商报价表（包1）.docx 供应商应提交的相关资格证明材料.docx 标的清单 商务应答表.docx 报价表 技术参数响应表.docx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其他无效谈判的情形</w:t>
            </w:r>
          </w:p>
        </w:tc>
        <w:tc>
          <w:tcPr>
            <w:tcW w:type="dxa" w:w="3322"/>
          </w:tcPr>
          <w:p>
            <w:pPr>
              <w:pStyle w:val="null3"/>
            </w:pPr>
            <w:r>
              <w:rPr>
                <w:rFonts w:ascii="仿宋_GB2312" w:hAnsi="仿宋_GB2312" w:cs="仿宋_GB2312" w:eastAsia="仿宋_GB2312"/>
              </w:rPr>
              <w:t>没有出现法律法规或谈判文件明确规定的其他被视为“无效谈判”的情形及未实质性响应谈判文件的情况</w:t>
            </w:r>
          </w:p>
        </w:tc>
        <w:tc>
          <w:tcPr>
            <w:tcW w:type="dxa" w:w="1661"/>
          </w:tcPr>
          <w:p>
            <w:pPr>
              <w:pStyle w:val="null3"/>
            </w:pPr>
            <w:r>
              <w:rPr>
                <w:rFonts w:ascii="仿宋_GB2312" w:hAnsi="仿宋_GB2312" w:cs="仿宋_GB2312" w:eastAsia="仿宋_GB2312"/>
              </w:rPr>
              <w:t>供应商参加政府采购活动承诺书.docx 中小企业声明函 商务应答表.docx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响应文件中项目名称、项目编号与本项目一致</w:t>
            </w:r>
          </w:p>
        </w:tc>
        <w:tc>
          <w:tcPr>
            <w:tcW w:type="dxa" w:w="1661"/>
          </w:tcPr>
          <w:p>
            <w:pPr>
              <w:pStyle w:val="null3"/>
            </w:pPr>
            <w:r>
              <w:rPr>
                <w:rFonts w:ascii="仿宋_GB2312" w:hAnsi="仿宋_GB2312" w:cs="仿宋_GB2312" w:eastAsia="仿宋_GB2312"/>
              </w:rPr>
              <w:t>供应商参加政府采购活动承诺书.docx 中小企业声明函 商务应答表.docx 报价表 磋商报价表（包2）.docx 技术参数响应表.docx 响应文件封面 供应商应提交的相关资格证明材料.docx 供应商认为需要提供的其他资料.docx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签章均符合采购文件要求，且无遗漏。</w:t>
            </w:r>
          </w:p>
        </w:tc>
        <w:tc>
          <w:tcPr>
            <w:tcW w:type="dxa" w:w="1661"/>
          </w:tcPr>
          <w:p>
            <w:pPr>
              <w:pStyle w:val="null3"/>
            </w:pPr>
            <w:r>
              <w:rPr>
                <w:rFonts w:ascii="仿宋_GB2312" w:hAnsi="仿宋_GB2312" w:cs="仿宋_GB2312" w:eastAsia="仿宋_GB2312"/>
              </w:rPr>
              <w:t>供应商参加政府采购活动承诺书.docx 中小企业声明函 商务应答表.docx 报价表 磋商报价表（包2）.docx 技术参数响应表.docx 响应文件封面 供应商应提交的相关资格证明材料.docx 供应商认为需要提供的其他资料.docx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同时满足以下条款：（1）货币单位符合采购文件要求（2）报价符合唯一性要求（3）未超出单价限价及采购预算、最高限价</w:t>
            </w:r>
          </w:p>
        </w:tc>
        <w:tc>
          <w:tcPr>
            <w:tcW w:type="dxa" w:w="1661"/>
          </w:tcPr>
          <w:p>
            <w:pPr>
              <w:pStyle w:val="null3"/>
            </w:pPr>
            <w:r>
              <w:rPr>
                <w:rFonts w:ascii="仿宋_GB2312" w:hAnsi="仿宋_GB2312" w:cs="仿宋_GB2312" w:eastAsia="仿宋_GB2312"/>
              </w:rPr>
              <w:t>标的清单 报价表 磋商报价表（包2）.docx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符合谈判文件的要求</w:t>
            </w:r>
          </w:p>
        </w:tc>
        <w:tc>
          <w:tcPr>
            <w:tcW w:type="dxa" w:w="1661"/>
          </w:tcPr>
          <w:p>
            <w:pPr>
              <w:pStyle w:val="null3"/>
            </w:pPr>
            <w:r>
              <w:rPr>
                <w:rFonts w:ascii="仿宋_GB2312" w:hAnsi="仿宋_GB2312" w:cs="仿宋_GB2312" w:eastAsia="仿宋_GB2312"/>
              </w:rPr>
              <w:t>标的清单 报价表 磋商报价表（包2）.docx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符合谈判文件的要求</w:t>
            </w:r>
          </w:p>
        </w:tc>
        <w:tc>
          <w:tcPr>
            <w:tcW w:type="dxa" w:w="1661"/>
          </w:tcPr>
          <w:p>
            <w:pPr>
              <w:pStyle w:val="null3"/>
            </w:pPr>
            <w:r>
              <w:rPr>
                <w:rFonts w:ascii="仿宋_GB2312" w:hAnsi="仿宋_GB2312" w:cs="仿宋_GB2312" w:eastAsia="仿宋_GB2312"/>
              </w:rPr>
              <w:t>标的清单 报价表 响应函 磋商报价表（包2）.docx 技术参数响应表.docx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实质性条款、商务要求、合同条款响应</w:t>
            </w:r>
          </w:p>
        </w:tc>
        <w:tc>
          <w:tcPr>
            <w:tcW w:type="dxa" w:w="3322"/>
          </w:tcPr>
          <w:p>
            <w:pPr>
              <w:pStyle w:val="null3"/>
            </w:pPr>
            <w:r>
              <w:rPr>
                <w:rFonts w:ascii="仿宋_GB2312" w:hAnsi="仿宋_GB2312" w:cs="仿宋_GB2312" w:eastAsia="仿宋_GB2312"/>
              </w:rPr>
              <w:t>完全响应，不能有采购人不能接受的附加条件</w:t>
            </w:r>
          </w:p>
        </w:tc>
        <w:tc>
          <w:tcPr>
            <w:tcW w:type="dxa" w:w="1661"/>
          </w:tcPr>
          <w:p>
            <w:pPr>
              <w:pStyle w:val="null3"/>
            </w:pPr>
            <w:r>
              <w:rPr>
                <w:rFonts w:ascii="仿宋_GB2312" w:hAnsi="仿宋_GB2312" w:cs="仿宋_GB2312" w:eastAsia="仿宋_GB2312"/>
              </w:rPr>
              <w:t>供应商参加政府采购活动承诺书.docx 供应商应提交的相关资格证明材料.docx 中小企业声明函 标的清单 商务应答表.docx 报价表 响应函 磋商报价表（包2）.docx 技术参数响应表.docx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其他无效谈判的情形</w:t>
            </w:r>
          </w:p>
        </w:tc>
        <w:tc>
          <w:tcPr>
            <w:tcW w:type="dxa" w:w="3322"/>
          </w:tcPr>
          <w:p>
            <w:pPr>
              <w:pStyle w:val="null3"/>
            </w:pPr>
            <w:r>
              <w:rPr>
                <w:rFonts w:ascii="仿宋_GB2312" w:hAnsi="仿宋_GB2312" w:cs="仿宋_GB2312" w:eastAsia="仿宋_GB2312"/>
              </w:rPr>
              <w:t>没有出现法律法规或谈判文件明确规定的其他被视为“无效谈判”的情形及未实质性响应谈判文件的情况</w:t>
            </w:r>
          </w:p>
        </w:tc>
        <w:tc>
          <w:tcPr>
            <w:tcW w:type="dxa" w:w="1661"/>
          </w:tcPr>
          <w:p>
            <w:pPr>
              <w:pStyle w:val="null3"/>
            </w:pPr>
            <w:r>
              <w:rPr>
                <w:rFonts w:ascii="仿宋_GB2312" w:hAnsi="仿宋_GB2312" w:cs="仿宋_GB2312" w:eastAsia="仿宋_GB2312"/>
              </w:rPr>
              <w:t>供应商参加政府采购活动承诺书.docx 供应商应提交的相关资格证明材料.docx 中小企业声明函 商务应答表.docx 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 响应文件满足谈判文件全部实质性要求且最终报价最低的供应商为排名第一的成交候选供应商。 经评审的最终报价是指对供应商最后报价完成价格修正和落实政府采购政策进行的价格扣除后的报价。</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 响应文件满足谈判文件全部实质性要求且最终报价最低的供应商为排名第一的成交候选供应商。 经评审的最终报价是指对供应商最后报价完成价格修正和落实政府采购政策进行的价格扣除后的报价。</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详见附件：磋商报价表（包1）.docx</w:t>
      </w:r>
    </w:p>
    <w:p>
      <w:pPr>
        <w:pStyle w:val="null3"/>
        <w:ind w:firstLine="960"/>
      </w:pPr>
      <w:r>
        <w:rPr>
          <w:rFonts w:ascii="仿宋_GB2312" w:hAnsi="仿宋_GB2312" w:cs="仿宋_GB2312" w:eastAsia="仿宋_GB2312"/>
        </w:rPr>
        <w:t>详见附件：技术参数响应表.docx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详见附件：供应商认为需要提供的其他资料.docx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详见附件：磋商报价表（包2）.docx</w:t>
      </w:r>
    </w:p>
    <w:p>
      <w:pPr>
        <w:pStyle w:val="null3"/>
        <w:ind w:firstLine="960"/>
      </w:pPr>
      <w:r>
        <w:rPr>
          <w:rFonts w:ascii="仿宋_GB2312" w:hAnsi="仿宋_GB2312" w:cs="仿宋_GB2312" w:eastAsia="仿宋_GB2312"/>
        </w:rPr>
        <w:t>详见附件：技术参数响应表.docx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详见附件：供应商认为需要提供的其他资料.docx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