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版本号：CGZC-2025-276、XACH2026-00820260515001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CGZC-2025-276、XACH2026-008</w:t>
      </w:r>
      <w:r>
        <w:br/>
      </w:r>
      <w:r>
        <w:br/>
      </w:r>
      <w:r>
        <w:br/>
      </w:r>
    </w:p>
    <w:p>
      <w:pPr>
        <w:pStyle w:val="null3"/>
        <w:jc w:val="center"/>
        <w:outlineLvl w:val="2"/>
      </w:pPr>
      <w:r>
        <w:rPr>
          <w:rFonts w:ascii="仿宋_GB2312" w:hAnsi="仿宋_GB2312" w:cs="仿宋_GB2312" w:eastAsia="仿宋_GB2312"/>
          <w:sz w:val="28"/>
          <w:b/>
        </w:rPr>
        <w:t>西安浐灞国际港党政办公室</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西安浐灞国际港党政办公室</w:t>
      </w:r>
      <w:r>
        <w:rPr>
          <w:rFonts w:ascii="仿宋_GB2312" w:hAnsi="仿宋_GB2312" w:cs="仿宋_GB2312" w:eastAsia="仿宋_GB2312"/>
        </w:rPr>
        <w:t>委托，拟对</w:t>
      </w:r>
      <w:r>
        <w:rPr>
          <w:rFonts w:ascii="仿宋_GB2312" w:hAnsi="仿宋_GB2312" w:cs="仿宋_GB2312" w:eastAsia="仿宋_GB2312"/>
        </w:rPr>
        <w:t>办公耗材采购项目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CGZC-2025-276、XACH2026-008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办公耗材采购项目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采购办公耗材，主要包括墨盒、硒鼓、定影组件、搓纸轮等各类打印类办公耗材。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西安浐灞国际港党政办公室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029-88072319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赵苗苗、单云、王文文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029-87563729、029-82285837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供应商支付代理服务费，代理服务费参照《国家计委关于印发&lt;招标代理服务收费管理暂行办法&gt;的通知》（计价格〔2002〕1980号）和发改办价格〔2003〕857号以及发改价格〔2011〕534号文中规定的标准执行，按差额定率累进法收取费用，本项目以预算金额132万元为计算基数，收取代理服务18520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西安浐灞国际港党政办公室</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西安浐灞国际港党政办公室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西安浐灞国际港党政办公室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联系人：赵苗苗 单云 王文文</w:t>
      </w:r>
    </w:p>
    <w:p>
      <w:pPr>
        <w:pStyle w:val="null3"/>
      </w:pPr>
      <w:r>
        <w:rPr>
          <w:rFonts w:ascii="仿宋_GB2312" w:hAnsi="仿宋_GB2312" w:cs="仿宋_GB2312" w:eastAsia="仿宋_GB2312"/>
        </w:rPr>
        <w:t>联系电话：029-87563729、029-82285837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采购办公耗材，主要包括墨盒、硒鼓、定影组件、搓纸轮等各类打印类办公耗材。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办公耗材采购项目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标的名称：办公耗材采购项目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一、办公耗材采购清单</w:t>
            </w:r>
          </w:p>
          <w:tbl>
            <w:tblPr>
              <w:tblBorders>
                <w:top w:val="none" w:color="000000" w:sz="4"/>
                <w:left w:val="none" w:color="000000" w:sz="4"/>
                <w:bottom w:val="none" w:color="000000" w:sz="4"/>
                <w:right w:val="none" w:color="000000" w:sz="4"/>
                <w:insideH w:val="none"/>
                <w:insideV w:val="none"/>
              </w:tblBorders>
            </w:tblPr>
            <w:tblGrid>
              <w:gridCol w:w="213"/>
              <w:gridCol w:w="718"/>
              <w:gridCol w:w="984"/>
              <w:gridCol w:w="160"/>
              <w:gridCol w:w="213"/>
              <w:gridCol w:w="266"/>
            </w:tblGrid>
            <w:tr>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序号</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现有设备使用型号</w:t>
                  </w:r>
                </w:p>
              </w:tc>
              <w:tc>
                <w:tcPr>
                  <w:tcW w:type="dxa" w:w="9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耗材名称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单位</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基准价（元）</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黑色粉盒（净重量：375克A4纸5%覆盖率约打印18000页）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青色粉盒（净重量：244克A4纸5%覆盖率约打印10000页）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红色粉盒（净重量：244克A4纸5%覆盖率约打印10000页）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黄色粉盒（净重量：195克A4纸5%覆盖率约打印10000页）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黄色显影仓A4纸5%覆盖率约打印7.5万页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定影组件寿命不低于12万页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转印组件寿命不低于12万页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输稿器搓纸轮不低于3万页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纸盒1搓纸轮不低于5万页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夏普C2621R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纸盒1搓纸轮不低于5万页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黑色粉盒（净重量：449克A4纸5%覆盖率约打印18000页）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青色粉盒（净重量：244克A4纸5%覆盖率约打印10000页）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红色粉盒（净重量：244克A4纸5%覆盖率约打印10000页）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黄色粉盒（净重量：244克A4纸5%覆盖率约打印10000页）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定影组件寿命不低于12万页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转印组件寿命不低于12万页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纸盒1搓纸轮寿命约4.5万页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夏普C2522R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纸盒2搓纸轮寿命约4.5万页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黑色粉盒（净重量：375克A4纸5%覆盖率约打印18000页）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青色粉盒（净重量：195克A4纸5%覆盖率约打印10000页）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红色粉盒（净重量：195克A4纸5%覆盖率约打印10000页）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黄色粉盒（净重量：195克A4纸5%覆盖率约打印10000页）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废粉盒A4纸5%覆盖率约打印5万页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定影组件寿命不低于12万页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转印组件寿命不低于12万页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纸盒1搓纸轮寿命约4.5万页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夏普C2008UC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纸盒2搓纸轮寿命约4.5万页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黑色粉盒（净重量：280克A4纸5%覆盖率约打印16000页）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黑色硒鼓约印7万页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黑色显影仓约使用6万页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输稿器搓纸轮A4纸约使用1.5万页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夏普M3151R</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黑色粉盒（净重量：300克A4纸5%覆盖率约打印15000页）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黑色硒鼓约印7万页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黑色显影仓约使用6万页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输稿器搓纸轮A4纸约使用1.5万页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黑色粉盒（净重量：500克A4纸5%覆盖率约打印18000页）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黑色硒鼓约印7.5万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黑色显影仓约使用6万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定影组件A4纸约50万页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输稿器搓纸轮A4纸约使用2万页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夏普M2658N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黑色粉盒（净重量：300克A4纸5%覆盖率约打印15000页）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黑色硒鼓约印7万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黑色显影仓约使用6万页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定影组件A4纸约45万页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输稿器A4纸约使用1.5万搓纸轮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夏普M3108N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纸盒2搓纸轮A4纸约打印5万页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废粉盒约收集20万页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京瓷8124cdn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770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770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770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京瓷3554CI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A4纸5%覆盖率约印50000页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京瓷黄色粉盒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废粉盒约收集20万页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定影组件A4纸5%覆盖率约10万印页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京瓷8052CI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京瓷8224cdn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废粉盒约收集20万页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A4纸5%覆盖率约印84000页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黑色显影仓A4纸5%覆盖率约印600000页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定影组件A4纸5%覆盖率约印600000页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京瓷7002cdn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京瓷M4226IDN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京瓷M4125IDN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A4纸5%覆盖率约印7200页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京瓷M2540cdn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定影组件A4纸5%覆盖率约印300000页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京瓷6530MFP</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柯美C205i</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净重约506克  A4印约23000页 覆盖率5%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青色粉盒净重约386克  A4印约5000页 覆盖率约5%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红色粉盒净重约314克  A4印约5000页 覆盖率约5%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黄色粉盒净重约416克  A4印约5000页 覆盖率约5%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黑色硒鼓A4纸5%覆盖率印约80000页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黄色显影仓A4纸5%覆盖率印约100000页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废粉盒寿命约100000页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定影组件寿命约200000页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转印组件寿命约200000页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柯美C226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A4纸5%覆盖率约印7400页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A4纸5%覆盖率约印3300页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A4纸5%覆盖率约印3300页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A4纸5%覆盖率约印3300页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东芝2520AC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A4纸5%覆盖率约印7200页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东芝2110AC</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450g A4纸5%覆盖率约印22000页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280gA4纸5%覆盖率约印16000页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280gA4纸5%覆盖率约印16000页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280gA4纸5%覆盖率约印16000页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施乐APC2560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450g A4纸5%覆盖率约印22000页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280gA4纸5%覆盖率约印16000页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280gA4纸5%覆盖率约印16000页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280gA4纸5%覆盖率约印16000页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施乐APC3060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净重520g A4纸5%覆盖率约印26000页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净重290gA4纸5%覆盖率约印15000页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净重290gA4纸5%覆盖率约印15000页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净重290gA4纸5%覆盖率约印15000页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施乐APC5575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A4纸5%覆盖率约印36000页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A4纸5%覆盖率约印21000页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A4纸5%覆盖率约印21000页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A4纸5%覆盖率约印21000页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富士胶片C3570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A4纸5%覆盖率约印9000页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gA4纸5%覆盖率约印3000页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黄色显影仓A4纸5%覆盖率约印190000页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施乐SC2022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施乐SC2011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A4纸5%覆盖率约印65000页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硒鼓A4纸5%覆盖率约印450000页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黑色显影仓A4纸5%覆盖率约印450000页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定影组件A4纸5%覆盖率约印450000页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废粉盒约收集45万页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施乐D95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装订针（平钉边钉/角钉）20000枚</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盒</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施乐228DB</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施乐228DB</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A4纸5%覆盖率约印71000页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1299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黑色硒鼓A4纸5%覆盖率约印477000页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青色硒鼓A4纸5%覆盖率约印404000页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红色硒鼓A4纸5%覆盖率约印404000页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黄色硒鼓A4纸5%覆盖率约印404000页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黑色显影仓A4纸5%覆盖率约印150万页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青色显影仓A4纸5%覆盖率约印150万页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红色显影仓A4纸5%覆盖率约印150万页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黄色显影仓A4纸5%覆盖率约印150万页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废粉盒约收集150万页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定影组件A4纸5%覆盖率约印180万页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转印组件A4纸5%覆盖率约印200万页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佳能C5840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装订针（平钉/边钉/角钉）10000枚</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盒</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A4纸5%覆盖率约印36000页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A4纸5%覆盖率约印19000页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A4纸5%覆盖率约印19000页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A4纸5%覆盖率约印19000页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青色硒鼓A4纸5%覆盖率约印63000页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红色硒鼓A4纸5%覆盖率约印63000页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黄色硒鼓A4纸5%覆盖率约印63000页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655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黑色显影仓A4纸5%覆盖率约印2.3万页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青色显影仓A4纸5%覆盖率约印2.3万页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红色显影仓A4纸5%覆盖率约印2.3万页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黄色显影仓A4纸5%覆盖率约印2.3万页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废粉盒约收集15万页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定影组件A4纸5%覆盖率约印15万页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转印组件A4纸5%覆盖率约印15万页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佳能C3020/3125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佳能LBP643\645\623</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黑色硒鼓A4纸5%覆盖率约印2100页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青色硒鼓A4纸5%覆盖率约印1900页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红色硒鼓A4纸5%覆盖率约印1900页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黄色硒鼓A4纸5%覆盖率约印1900页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佳能LBP752CDW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佳能LBP2900\LBP3108\6018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124</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佳能LBP2900\LBP3108\6018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佳能LBP2900\LBP3108\6018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佳能LBP2900\LBP3108\6018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佳能266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硒鼓A4纸5%覆盖率约印23000页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佳能266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粉盒A4纸5%覆盖率约印1600页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A4纸5%覆盖率约印25000页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黄色硒鼓A4纸5%覆盖率约印60000页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废粉盒约收集6万页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定影组件A4纸5%覆盖率约印30万页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转印组件A4纸5%覆盖率约印40万页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847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输稿器搓纸轮约印3万页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纸盒1搓纸轮约印5万页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HP78228CDN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纸盒2搓纸轮约印5万页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转印组件约10万页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HP553CDN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黑色硒鼓A4纸5%覆盖率约印1400页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青色硒鼓A4纸5%覆盖率约印1300页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红色硒鼓A4纸5%覆盖率约印1300页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黄色硒鼓A4纸5%覆盖率约印1300页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HP281\254\252\277\280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转印组件印6万页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HP452</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黑色硒鼓A4纸5%覆盖率约印2400页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青色硒鼓A4纸5%覆盖率约印2100页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红色硒鼓A4纸5%覆盖率约印2100页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黄色硒鼓A4纸5%覆盖率约印2100页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转印组件印5万页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HP454\453\479\480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青色硒鼓A4纸5%覆盖率约印700页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红色硒鼓A4纸5%覆盖率约印700页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黄色硒鼓A4纸5%覆盖率约印700页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成像硒鼓A4纸5%覆盖率约印1.6万页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489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废粉盒A4纸5%覆盖率约印4000页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转印带约印4000页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HP175\176\178\179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HP1108\1106\M226\1136\128\1219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HP1108\1106\M226\1136\128\1219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黑色碳粉约印1300页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HP1108\1106\M226\1136\128\1219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HP1108\1106\M226\1136\128\1219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HP1108\1106\M226\1136\128\1219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HP227FDN\HP203FDN\208DW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HP227FDN\HP203FDN\208DW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黑色粉盒A4纸5%覆盖率约印1600页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499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HP227FDN\HP203FDN\208DW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碳粉A4纸5%覆盖率约印1200页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HP227FDN\HP203FDN\208DW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HP227FDN\HP203FDN\208DW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激光器印3万页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HP227FDN\HP203FDN\208DW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HP2606SDN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黑色硒鼓A4纸5%覆盖率约印50000页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734</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HP2606SDN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HP2606SDN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黑色硒鼓A4纸5%覆盖率约印80000页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黑色粉盒A4纸5%覆盖率约印7400页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HPM437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HP405DW\305DW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HP405DW\305DW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HP405DW\305DW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碳粉约2500万页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HP405DW\305DW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HP405DW\305DW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HPM403DW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黑色硒鼓A4纸5%覆盖率约印9200页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HPM403DW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HPM403DW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碳粉A4纸5%覆盖率约印5000页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HPM403DW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HPM403DW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激光器约印100000页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HP400DN\401DN\202DN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黑色硒鼓A4纸5%覆盖率约印2700页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HP2055DN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黑色硒鼓A4纸5%覆盖率约印2300页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HP2055DN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HP2055DN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碳粉约印2000页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HP103a</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HPM1005\1020\3104FDN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HPM1005\1020\3104FDN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HPM1005\1020\3104FDN\1536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碳粉约印1800页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HP429FDW\M427FDN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HP429FDW\M427FDN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HP429FDW\M427FDN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碳粉约2500万页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HP429FDW\M427FDN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HPoffice200\100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彩色墨盒约印165页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HP701nw</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HPM30A</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黑色硒鼓A4纸5%覆盖率约印1400页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HPM30A</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黑色碳粉A4纸5%覆盖率约印1200页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黑色墨水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青色墨水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539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红色墨水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黄色墨水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打印头约印2万页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HPoffice7110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黑色墨盒 A4纸5%覆盖率约印1000页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HPoffice7110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彩色墨盒 A4纸5%覆盖率约印825页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爱普生WC5790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黑色墨盒 A4纸5%覆盖率约印10000页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爱普生WC5790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爱普生WC5790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爱普生WC5790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爱普生WC5790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打印头约印10万页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爱普生WC5790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废墨收集仓约8万页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爱普生WF4838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黑色墨盒 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爱普生WF4838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青色墨盒 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爱普生WF4838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红色墨盒 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爱普生WF4838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黄色墨盒 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爱普生WF4838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打印头约印8万页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爱普生WF4838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废墨收集仓约8万页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爱普生L308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黑色墨盒 A4纸5%覆盖率约印4000页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爱普生L308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青色墨盒 A4纸5%覆盖率约印6500页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爱普生L308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红色墨盒 A4纸5%覆盖率约印6500页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爱普生L308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黄色墨盒 A4纸5%覆盖率约印6500页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爱普生L308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废墨收集仓约2万页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爱普生L6468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黑色墨盒 A4纸5%覆盖率约印7500页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爱普生L6468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爱普生L6468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爱普生L6468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152</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爱普生L6468</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废墨收集仓约8万页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爱普生LQ-635K</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色带架约400万字符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爱普生LQ-30K</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色带架约500万字符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联想L8650DN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A4纸5%覆盖率约印29000页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203</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联想L8650DN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A4纸5%覆盖率约印7800页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联想L8650DN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黑色碳粉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579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转印组件约8万</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联想7610PRO\7310DNPRO</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纸盒搓纸轮约印2万页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联想M7628DN\2240DN\LJ5000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联想M7628DN\2240DN\LJ5000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联想M7628DN\2240DN\LJ5000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黑色碳粉 A4纸5%覆盖率约印1100页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兄弟2260D\2560\7380\2890\2655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A4纸5%覆盖率约印2600页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兄弟2260D\2560\7380\2890\2655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兄弟2260D\2560\7380\2890\2656</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黑色碳粉 A4纸5%覆盖率约印1100页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兄弟8530dn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兄弟8530dn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兄弟3930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黑色墨盒 A4纸5%覆盖率约印3000页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兄弟3930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青色墨盒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兄弟3930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红色墨盒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兄弟3930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黄色墨盒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141</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A4纸5%覆盖率约印8000页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青色粉盒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红色粉盒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599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黄色粉盒 A4纸5%覆盖率约印5000页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青色显影仓A4纸5%覆盖率约印12000页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红色显影仓A4纸5%覆盖率约印12000页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黄色显影仓A4纸5%覆盖率约印12000页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540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成像鼓 A4纸5%覆盖率约印40000页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搓纸轮约3万页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奔图CF7000DN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废粉盒A4纸5%覆盖率约印20000页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奔图3019DN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奔图3019DN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黑色碳粉A4纸5%覆盖率约印1200页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609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奔图3019DN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奔图3019DN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双面进纸单元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奔图3305DN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奔图3305DN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黑色硒鼓A4纸5%覆盖率约印25000页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奔图P2500\2507N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黑色粉盒A4纸5%覆盖率约印1600页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奔图P2500\2507N</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得实DPK910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色带架约1200万字符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得实DS-670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色带架约450万字符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得实DC3300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色带架约500张每卷</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卷</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得力2000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A4纸5%覆盖率约印2000页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619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OKIB820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 A4纸5%覆盖率约印6000页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768</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OKIB820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黑色显影仓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226</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OKIB820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A4纸5%覆盖率约印30000页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OKIB820</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 A4纸5%覆盖率约印50000页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青色硒鼓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红色硒鼓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黄色硒鼓 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550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激光器约印8万页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定影组件约8万页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169</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629</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利盟CS331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纸盒搓纸轮 A4纸5%覆盖率约印2页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EPSON3119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黑色墨水A4纸5%覆盖率约印4500页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631</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EPSON3119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青色墨水A4纸5%覆盖率约印7500页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632</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EPSON3119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红色墨水A4纸5%覆盖率约印7500页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633</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EPSON3119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黄色墨水A4纸5%覆盖率约印7500页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67</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634</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EPSON3119</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爱普生打印头</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635</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惠普M227</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双面打印单元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395</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636</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HP518\531</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打印头字车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637</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华为PixLabB5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黑色粉盒A4纸5%覆盖率约印1500页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w:t>
                  </w:r>
                </w:p>
              </w:tc>
            </w:tr>
            <w:tr>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638</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华为PixLabB5</w:t>
                  </w:r>
                </w:p>
              </w:tc>
              <w:tc>
                <w:tcPr>
                  <w:tcW w:type="dxa" w:w="9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黑色硒鼓A4纸5%覆盖率约印15000页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255</w:t>
                  </w:r>
                </w:p>
              </w:tc>
            </w:tr>
          </w:tbl>
          <w:p>
            <w:pPr>
              <w:pStyle w:val="null3"/>
              <w:jc w:val="both"/>
            </w:pPr>
            <w:r>
              <w:rPr>
                <w:rFonts w:ascii="仿宋_GB2312" w:hAnsi="仿宋_GB2312" w:cs="仿宋_GB2312" w:eastAsia="仿宋_GB2312"/>
                <w:sz w:val="21"/>
              </w:rPr>
              <w:t>注：核心产品为第87项、京瓷8124cdn的黑色硒鼓。</w:t>
            </w:r>
          </w:p>
          <w:p>
            <w:pPr>
              <w:pStyle w:val="null3"/>
              <w:jc w:val="both"/>
            </w:pPr>
            <w:r>
              <w:rPr>
                <w:rFonts w:ascii="仿宋_GB2312" w:hAnsi="仿宋_GB2312" w:cs="仿宋_GB2312" w:eastAsia="仿宋_GB2312"/>
                <w:sz w:val="21"/>
              </w:rPr>
              <w:t>二、技术要求</w:t>
            </w:r>
          </w:p>
          <w:p>
            <w:pPr>
              <w:pStyle w:val="null3"/>
              <w:jc w:val="both"/>
            </w:pPr>
            <w:r>
              <w:rPr>
                <w:rFonts w:ascii="仿宋_GB2312" w:hAnsi="仿宋_GB2312" w:cs="仿宋_GB2312" w:eastAsia="仿宋_GB2312"/>
                <w:sz w:val="21"/>
              </w:rPr>
              <w:t>供应商所提供的耗材必须适用采购人已有机器设备，如所提供耗材安装后出现无法正常使用的情况，供应商需无偿更换，直至机器设备能够正常使用；如因供应商所提供耗材导致采购人机器损坏，供应商需免费向采购人赔偿全新同款机器设备。</w:t>
            </w:r>
          </w:p>
          <w:p>
            <w:pPr>
              <w:pStyle w:val="null3"/>
              <w:jc w:val="both"/>
            </w:pPr>
            <w:r>
              <w:rPr>
                <w:rFonts w:ascii="仿宋_GB2312" w:hAnsi="仿宋_GB2312" w:cs="仿宋_GB2312" w:eastAsia="仿宋_GB2312"/>
                <w:sz w:val="21"/>
              </w:rPr>
              <w:t>三、服务要求</w:t>
            </w:r>
          </w:p>
          <w:p>
            <w:pPr>
              <w:pStyle w:val="null3"/>
              <w:jc w:val="both"/>
            </w:pPr>
            <w:r>
              <w:rPr>
                <w:rFonts w:ascii="仿宋_GB2312" w:hAnsi="仿宋_GB2312" w:cs="仿宋_GB2312" w:eastAsia="仿宋_GB2312"/>
                <w:sz w:val="21"/>
              </w:rPr>
              <w:t>1、供应商在服务期限内至少拟派5名有维护经验技术人员，进行设备维护（免费更换配件），维护地点由采购人指定。</w:t>
            </w:r>
          </w:p>
          <w:p>
            <w:pPr>
              <w:pStyle w:val="null3"/>
              <w:jc w:val="both"/>
            </w:pPr>
            <w:r>
              <w:rPr>
                <w:rFonts w:ascii="仿宋_GB2312" w:hAnsi="仿宋_GB2312" w:cs="仿宋_GB2312" w:eastAsia="仿宋_GB2312"/>
                <w:sz w:val="21"/>
              </w:rPr>
              <w:t>2、供应商需提供10台A3彩色激光备用机和20台黑白激光打印机（费用包含在报价中）。在合同签订后运至采购人地点。</w:t>
            </w:r>
          </w:p>
          <w:p>
            <w:pPr>
              <w:pStyle w:val="null3"/>
              <w:jc w:val="both"/>
            </w:pPr>
            <w:r>
              <w:rPr>
                <w:rFonts w:ascii="仿宋_GB2312" w:hAnsi="仿宋_GB2312" w:cs="仿宋_GB2312" w:eastAsia="仿宋_GB2312"/>
                <w:sz w:val="21"/>
              </w:rPr>
              <w:t>3、供应商负责货物的包装、运送等工作，直至该货物可以正常使用；提供货物的相应产品的检定证书及产品合格证书等相关资料；并承担由此产生的全部费用。</w:t>
            </w:r>
          </w:p>
          <w:p>
            <w:pPr>
              <w:pStyle w:val="null3"/>
              <w:jc w:val="both"/>
            </w:pPr>
            <w:r>
              <w:rPr>
                <w:rFonts w:ascii="仿宋_GB2312" w:hAnsi="仿宋_GB2312" w:cs="仿宋_GB2312" w:eastAsia="仿宋_GB2312"/>
                <w:sz w:val="21"/>
              </w:rPr>
              <w:t>4、验收时间：供应商提出验收申请后，采购人应及时组织验收，采购人验收合格后应当出具验收报告。</w:t>
            </w:r>
          </w:p>
          <w:p>
            <w:pPr>
              <w:pStyle w:val="null3"/>
              <w:jc w:val="both"/>
            </w:pPr>
            <w:r>
              <w:rPr>
                <w:rFonts w:ascii="仿宋_GB2312" w:hAnsi="仿宋_GB2312" w:cs="仿宋_GB2312" w:eastAsia="仿宋_GB2312"/>
                <w:sz w:val="21"/>
              </w:rPr>
              <w:t>5、验收标准：</w:t>
            </w:r>
          </w:p>
          <w:p>
            <w:pPr>
              <w:pStyle w:val="null3"/>
              <w:jc w:val="both"/>
            </w:pPr>
            <w:r>
              <w:rPr>
                <w:rFonts w:ascii="仿宋_GB2312" w:hAnsi="仿宋_GB2312" w:cs="仿宋_GB2312" w:eastAsia="仿宋_GB2312"/>
                <w:sz w:val="21"/>
              </w:rPr>
              <w:t>(1)产品合格证和其它应具有的单证；</w:t>
            </w:r>
          </w:p>
          <w:p>
            <w:pPr>
              <w:pStyle w:val="null3"/>
              <w:jc w:val="both"/>
            </w:pPr>
            <w:r>
              <w:rPr>
                <w:rFonts w:ascii="仿宋_GB2312" w:hAnsi="仿宋_GB2312" w:cs="仿宋_GB2312" w:eastAsia="仿宋_GB2312"/>
                <w:sz w:val="21"/>
              </w:rPr>
              <w:t>(2)质量符合国家法律法规规定的标准、招标文件和投标文件的要求</w:t>
            </w:r>
          </w:p>
          <w:p>
            <w:pPr>
              <w:pStyle w:val="null3"/>
              <w:jc w:val="both"/>
            </w:pPr>
            <w:r>
              <w:rPr>
                <w:rFonts w:ascii="仿宋_GB2312" w:hAnsi="仿宋_GB2312" w:cs="仿宋_GB2312" w:eastAsia="仿宋_GB2312"/>
                <w:sz w:val="21"/>
              </w:rPr>
              <w:t>四、报价说明</w:t>
            </w:r>
          </w:p>
          <w:p>
            <w:pPr>
              <w:pStyle w:val="null3"/>
              <w:jc w:val="both"/>
            </w:pPr>
            <w:r>
              <w:rPr>
                <w:rFonts w:ascii="仿宋_GB2312" w:hAnsi="仿宋_GB2312" w:cs="仿宋_GB2312" w:eastAsia="仿宋_GB2312"/>
                <w:sz w:val="21"/>
              </w:rPr>
              <w:t>1、报价形式：下浮率。</w:t>
            </w:r>
          </w:p>
          <w:p>
            <w:pPr>
              <w:pStyle w:val="null3"/>
            </w:pPr>
            <w:r>
              <w:rPr>
                <w:rFonts w:ascii="仿宋_GB2312" w:hAnsi="仿宋_GB2312" w:cs="仿宋_GB2312" w:eastAsia="仿宋_GB2312"/>
                <w:sz w:val="21"/>
              </w:rPr>
              <w:t>2、结算时合同单价计算方式为：合同单价=基准价*（1-中标下浮率）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一年；交货期：接到采购人需求单2个日历日内交货。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经采购人验收合格后，每三个月根据实际采购量及合同单价据实结算后一次性支付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经采购人验收合格后，每三个月根据实际采购量及合同单价据实结算后一次性支付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经采购人验收合格后，每三个月根据实际采购量及合同单价据实结算后一次性支付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经采购人验收合格后，每三个月根据实际采购量及合同单价据实结算后一次性支付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(1)产品合格证和其它应具有的单证； (2)质量符合国家法律法规规定的标准、招标文件和投标文件的要求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违约责任：（以下甲方指采购人，乙方指供应商） 1、甲方违反合同规定拒绝验收的，应当承担由此对乙方造成的损失。 2、乙方不能按期交货的，每逾期1日，乙方应向甲方赔付合同暂定总价的1%作为违约金，乙方超过7日不能交货的，甲方有权从其他渠道获取，由此产生的费用由乙方承担。 3、乙方所交货物不符合国家法律法规和合同规定的，甲方有权拒收，并由乙方承担一切费用。 4、乙方所交货物超过3次不符合甲方验收要求或超过15日不能交货的，甲方有权解除采购合同，乙方需按合同暂定总价的30%向甲方支付违约金，并承担由此产生的费用和一切责任。 争议解决：双方本着友好合作的态度,对合同履行过程中发生的纠纷应及时协商解决,协商不成，向采购人所在地人民法院诉讼解决。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货物价款、包装费、仓储费、运杂费（含保险费）、装卸费、安装调试、人工费、人员驻场、售后服务费、招标代理服务费、利润、税金、风险、验收等所需的全部费用。任何错报、漏报由供应商自行负责。 3.5.2落实政府采购政策《国务院办公厅关于在政府采购中实施本国产品标准及相关政策的通知》（国办发〔2025〕34 号的相关评审办法： ①仅有本国产品参与竞争的项目，本国产品不享受价格扣除评审优惠。 ②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在供应商原始报价基础上计算，用扣除后的价格参与评审。 ③供应商提供的符合本国产品标准的产品成本之和占提供的全部产品成本之和的比例达到80%以上时，且供应商在投标（响应）文件中对此作出承诺的，对该供应商提供的全部产品给予价格评审优惠，即对该供应商提供的全部产品的总报价给予20%的价格扣除，用扣除后的价格参与评审。全部产品是指货物或服务采购项目或采购包中包含的全部货物、服务产品。 3.5.3中标人领取中标通知书时须向代理机构提交纸质版投标文件：正本壹份、副本贰份、电子版（U盘）贰份。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2.投标报价低于通过符合性审查的次低报价供应商投标报价50%的，即投标报价&lt;通过符合性审查的次低报价供应商投标（响应）报价×50%； 3.投标报价低于采购项目最高限价45%的，即投标报价&lt;采购项目最高限价×45%； 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供应商提交的相关证明材料，应当加盖供应商（法定名称）电子印章，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报价一览表.docx 关于符合本国产品标准的声明函.docx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报价一览表.docx 关于符合本国产品标准的声明函.docx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报价一览表.docx 关于符合本国产品标准的声明函.docx 中小企业声明函 商务应答表 承诺书.docx 资格证明文件.docx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报价一览表.docx 关于符合本国产品标准的声明函.docx 中小企业声明函 商务应答表 承诺书.docx 资格证明文件.docx 产品技术参数表 投标函 业绩证明文件及响应方案说明.docx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提供供应商2023年以来类似项目业绩合同（以合同签订时间为准），每份计1分，满分5分。（注：以上证明文件在投标文件中附合同扫描件并加盖公章。）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选型、参数满足招标文件要求，性能质量好、符合相关国家标准规范计10分。未提供产品型号、参数或所投产品和采购人现有设备不适配或参数低于招标文件要求，每项扣0.5分，本项满分10分，扣完为止。（须在产品技术参数表中注明参数响应情况[正偏离/无偏离/负偏离]）。</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所投货物相关资料</w:t>
            </w:r>
          </w:p>
        </w:tc>
        <w:tc>
          <w:tcPr>
            <w:tcW w:type="dxa" w:w="2492"/>
          </w:tcPr>
          <w:p>
            <w:pPr>
              <w:pStyle w:val="null3"/>
            </w:pPr>
            <w:r>
              <w:rPr>
                <w:rFonts w:ascii="仿宋_GB2312" w:hAnsi="仿宋_GB2312" w:cs="仿宋_GB2312" w:eastAsia="仿宋_GB2312"/>
              </w:rPr>
              <w:t>投标产品附有详细的产品技术资料（包括但不限于认证证书或产品宣传彩页或检测报告或功能截图等），每提供一个所投品牌技术资料得0.2分，本项最高得1分。（须在投标文件中以醒目方式标注。）</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代理协议、厂家授权等相关资料，每提供一个所投品牌进货渠道证明材料得0.2分，本项最高得2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提供产品为节能产品或环境标志产品，每提供一项得0.5分，满分1分。（以经国家确定的认证机构出具的、处于有效期内的节能产品、环境标志产品认证证书为准。）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一、评审内容 项目供货安排评审内容点如下：①供货安排；②仓储环境；③运输及派送；④安装调试；⑤台账登记记录。 二、评审标准 1.完整性：方案须全面，对评审内容中的各项要求有详细描述； 2.可实施性：切合本项目实际情况，实施步骤清晰、合理； 3.针对性：方案能够紧扣项目实际情况，内容科学合理。 三、赋分标准 ①供货安排：每完全满足一项评审标准计1分，满分3分。 ②仓储环境：每完全满足一项评审标准计1分，满分3分。 ③运输及派送：每完全满足一项评审标准计1分，满分3分。 ④安装调试：每完全满足一项评审标准1分，满分3分。 ⑤台账登记记录：每完全满足一项评审标准1分，满分3分。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一、评审内容 项目实施方案评审内容点如下：①拟投人员配置（含驻场人员）；②驻场服务方案。 二、评审标准 1.完整性：方案须全面，对评审内容中的各项要求有详细描述； 2.可实施性：切合本项目实际情况，实施步骤清晰、合理； 3.针对性：方案能够紧扣项目实际情况，内容科学合理。 三、赋分标准 ①拟投人员配置（含驻场人员）：每完全满足一项评审标准计1.5分，满分4.5分。 ②驻场服务方案：每完全满足一项评审标准计1.5分，满分4.5分。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突发情况的应对措施及合理化建议</w:t>
            </w:r>
          </w:p>
        </w:tc>
        <w:tc>
          <w:tcPr>
            <w:tcW w:type="dxa" w:w="2492"/>
          </w:tcPr>
          <w:p>
            <w:pPr>
              <w:pStyle w:val="null3"/>
            </w:pPr>
            <w:r>
              <w:rPr>
                <w:rFonts w:ascii="仿宋_GB2312" w:hAnsi="仿宋_GB2312" w:cs="仿宋_GB2312" w:eastAsia="仿宋_GB2312"/>
              </w:rPr>
              <w:t>一、评审内容 突发情况的应对措施及合理化建议评审内容点如下：①临时缺货情况下的调配措施；②可替代方案；③合理化建议。 二、评审标准 1.完整性：方案须全面，对评审内容中的各项要求有详细描述； 2.可实施性：切合本项目实际情况，实施步骤清晰、合理； 3.针对性：方案能够紧扣项目实际情况，内容科学合理。 三、赋分标准 ①临时缺货情况下的调配措施：每完全满足一项评审标准计1.5分，满分4.5分。 ②可替代方案：每完全满足一项评审标准计1.5分，满分4.5分。 ③合理化建议：每完全满足一项评审标准计1.5分，满分4.5分。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售后服务评审内容点如下：①产品质量售后；②技术咨询与故障排查；③巡检及预防性维护。 二、评审标准 1.完整性：方案须全面，对评审内容中的各项要求有详细描述； 2.可实施性：切合本项目实际情况，实施步骤清晰、合理； 3.针对性：方案能够紧扣项目实际情况，内容科学合理。 三、赋分标准 ①产品质量售后：每完全满足一项评审标准计1.5分，满分4.5分。 ②技术咨询与故障排查：每完全满足一项评审标准计1.5分，满分4.5分。 ③巡检及预防性维护：每完全满足一项评审标准计1.5分，满分4.5分。</w:t>
            </w:r>
          </w:p>
        </w:tc>
        <w:tc>
          <w:tcPr>
            <w:tcW w:type="dxa" w:w="831"/>
          </w:tcPr>
          <w:p>
            <w:pPr>
              <w:pStyle w:val="null3"/>
              <w:jc w:val="right"/>
            </w:pPr>
            <w:r>
              <w:rPr>
                <w:rFonts w:ascii="仿宋_GB2312" w:hAnsi="仿宋_GB2312" w:cs="仿宋_GB2312" w:eastAsia="仿宋_GB2312"/>
              </w:rPr>
              <w:t>13.5000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1-下浮率）最低的供应商的价格为评标基准价，其价格分为满分。其他供应商的价格分统一按照下列公式计算：投标报价得分=（评标基准价/投标总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本项目对应的中小企业划分标准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