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版本号：ZHZR2026-ZB008.1B120260617001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兴州街道办事处谢家坪幼儿园消防水箱改造项目(二次)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ZHZR2026-ZB008.1B1</w:t>
      </w:r>
      <w:r>
        <w:br/>
      </w:r>
      <w:r>
        <w:br/>
      </w:r>
      <w:r>
        <w:br/>
      </w:r>
    </w:p>
    <w:p>
      <w:pPr>
        <w:pStyle w:val="null3"/>
        <w:jc w:val="center"/>
        <w:outlineLvl w:val="2"/>
      </w:pPr>
      <w:r>
        <w:rPr>
          <w:rFonts w:ascii="仿宋_GB2312" w:hAnsi="仿宋_GB2312" w:cs="仿宋_GB2312" w:eastAsia="仿宋_GB2312"/>
          <w:sz w:val="28"/>
          <w:b/>
        </w:rPr>
        <w:t>略阳县兴州街道办事处谢家坪幼儿园</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略阳县兴州街道办事处谢家坪幼儿园</w:t>
      </w:r>
      <w:r>
        <w:rPr>
          <w:rFonts w:ascii="仿宋_GB2312" w:hAnsi="仿宋_GB2312" w:cs="仿宋_GB2312" w:eastAsia="仿宋_GB2312"/>
        </w:rPr>
        <w:t>委托，拟对</w:t>
      </w:r>
      <w:r>
        <w:rPr>
          <w:rFonts w:ascii="仿宋_GB2312" w:hAnsi="仿宋_GB2312" w:cs="仿宋_GB2312" w:eastAsia="仿宋_GB2312"/>
        </w:rPr>
        <w:t>兴州街道办事处谢家坪幼儿园消防水箱改造项目(二次)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ZHZR2026-ZB008.1B1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兴州街道办事处谢家坪幼儿园消防水箱改造项目(二次)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清掏拆除砖砌化粪池，修建高4.5米，有效容积大于288立方米的不锈钢箱泵一体转输水箱及配套设施，解决消防供水系统隐患，确保新建教学楼通过消防验收，形成覆盖全校的完整消防体系，切实提升校园整体防灾减灾能力，具体内容以工程量清单和设计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供应商需提供法定代表人（或委托代理人）身份证明及授权委托书：供应商需提供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3、供应商资质要求：供应商须具备建设行政主管部门核发的消防设施工程专业承包二级（含二级）及以上资质等级，且具有合格有效的安全生产许可证。</w:t>
      </w:r>
    </w:p>
    <w:p>
      <w:pPr>
        <w:pStyle w:val="null3"/>
      </w:pPr>
      <w:r>
        <w:rPr>
          <w:rFonts w:ascii="仿宋_GB2312" w:hAnsi="仿宋_GB2312" w:cs="仿宋_GB2312" w:eastAsia="仿宋_GB2312"/>
        </w:rPr>
        <w:t>4、拟派项目负责人资质及专业要求：供应商须具备建设行政主管部门核发的机电工程专业二级（含二级）及以上注册建造师执业资格，并取得（B类）安全生产考核合格证书，无不良记录，无在建工程(提供无在建承诺书)。</w:t>
      </w:r>
    </w:p>
    <w:p>
      <w:pPr>
        <w:pStyle w:val="null3"/>
      </w:pPr>
      <w:r>
        <w:rPr>
          <w:rFonts w:ascii="仿宋_GB2312" w:hAnsi="仿宋_GB2312" w:cs="仿宋_GB2312" w:eastAsia="仿宋_GB2312"/>
        </w:rPr>
        <w:t>5、供应商须提供《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p>
      <w:pPr>
        <w:pStyle w:val="null3"/>
      </w:pPr>
      <w:r>
        <w:rPr>
          <w:rFonts w:ascii="仿宋_GB2312" w:hAnsi="仿宋_GB2312" w:cs="仿宋_GB2312" w:eastAsia="仿宋_GB2312"/>
        </w:rPr>
        <w:t>6、本项目不接受联合体磋商：提供非联合体声明磋商承诺。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略阳县兴州街道办事处谢家坪幼儿园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略阳县兴州街道办事处谢家坪村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略阳县兴州街道办事处谢家坪幼儿园经办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0916-4861030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汉台区天台路乐嘉中心1号楼13楼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0916-2100320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采购包1：1,316,100.00元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开户名称：中泓泽润工程管理咨询有限公司陕西分公司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银行账号：451011580000093184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略阳县兴州街道办事处谢家坪幼儿园</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略阳县兴州街道办事处谢家坪幼儿园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略阳县兴州街道办事处谢家坪幼儿园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联系电话：0916-2100320</w:t>
      </w:r>
    </w:p>
    <w:p>
      <w:pPr>
        <w:pStyle w:val="null3"/>
      </w:pPr>
      <w:r>
        <w:rPr>
          <w:rFonts w:ascii="仿宋_GB2312" w:hAnsi="仿宋_GB2312" w:cs="仿宋_GB2312" w:eastAsia="仿宋_GB2312"/>
        </w:rPr>
        <w:t>地址：汉台区天台路乐嘉中心1号楼13楼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1,316,100.00</w:t>
      </w:r>
    </w:p>
    <w:p>
      <w:pPr>
        <w:pStyle w:val="null3"/>
      </w:pPr>
      <w:r>
        <w:rPr>
          <w:rFonts w:ascii="仿宋_GB2312" w:hAnsi="仿宋_GB2312" w:cs="仿宋_GB2312" w:eastAsia="仿宋_GB2312"/>
        </w:rPr>
        <w:t>采购包最高限价（元）: 1,316,051.05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略阳县兴州街道办事处谢家坪幼儿园消防水箱改造项目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1,316,100.00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标的名称：略阳县兴州街道办事处谢家坪幼儿园消防水箱改造项目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6"/>
                <w:b/>
              </w:rPr>
              <w:t>略阳县兴州街道办事处谢家坪幼儿园</w:t>
            </w:r>
          </w:p>
          <w:p>
            <w:pPr>
              <w:pStyle w:val="null3"/>
              <w:jc w:val="center"/>
            </w:pPr>
            <w:r>
              <w:rPr>
                <w:rFonts w:ascii="仿宋_GB2312" w:hAnsi="仿宋_GB2312" w:cs="仿宋_GB2312" w:eastAsia="仿宋_GB2312"/>
                <w:sz w:val="36"/>
                <w:b/>
              </w:rPr>
              <w:t>消防水箱改造项目</w:t>
            </w:r>
          </w:p>
          <w:p>
            <w:pPr>
              <w:pStyle w:val="null3"/>
              <w:jc w:val="center"/>
            </w:pPr>
            <w:r>
              <w:rPr>
                <w:rFonts w:ascii="仿宋_GB2312" w:hAnsi="仿宋_GB2312" w:cs="仿宋_GB2312" w:eastAsia="仿宋_GB2312"/>
                <w:sz w:val="36"/>
                <w:b/>
              </w:rPr>
              <w:t>工程量清单编制说明</w:t>
            </w:r>
          </w:p>
          <w:p>
            <w:pPr>
              <w:pStyle w:val="null3"/>
              <w:ind w:firstLine="643"/>
              <w:jc w:val="both"/>
            </w:pPr>
            <w:r>
              <w:rPr>
                <w:rFonts w:ascii="仿宋_GB2312" w:hAnsi="仿宋_GB2312" w:cs="仿宋_GB2312" w:eastAsia="仿宋_GB2312"/>
                <w:sz w:val="32"/>
                <w:b/>
              </w:rPr>
              <w:t>一、工程概况</w:t>
            </w:r>
          </w:p>
          <w:p>
            <w:pPr>
              <w:pStyle w:val="null3"/>
              <w:ind w:right="-375" w:firstLine="560"/>
              <w:jc w:val="left"/>
            </w:pPr>
            <w:r>
              <w:rPr>
                <w:rFonts w:ascii="仿宋_GB2312" w:hAnsi="仿宋_GB2312" w:cs="仿宋_GB2312" w:eastAsia="仿宋_GB2312"/>
                <w:sz w:val="28"/>
              </w:rPr>
              <w:t>略阳县谢家坪幼儿园消防水箱改造项目</w:t>
            </w:r>
            <w:r>
              <w:rPr>
                <w:rFonts w:ascii="仿宋_GB2312" w:hAnsi="仿宋_GB2312" w:cs="仿宋_GB2312" w:eastAsia="仿宋_GB2312"/>
                <w:sz w:val="28"/>
              </w:rPr>
              <w:t>，</w:t>
            </w:r>
            <w:r>
              <w:rPr>
                <w:rFonts w:ascii="仿宋_GB2312" w:hAnsi="仿宋_GB2312" w:cs="仿宋_GB2312" w:eastAsia="仿宋_GB2312"/>
                <w:sz w:val="28"/>
              </w:rPr>
              <w:t>由略阳县匠心建筑工程设计院设计</w:t>
            </w:r>
            <w:r>
              <w:rPr>
                <w:rFonts w:ascii="仿宋_GB2312" w:hAnsi="仿宋_GB2312" w:cs="仿宋_GB2312" w:eastAsia="仿宋_GB2312"/>
                <w:sz w:val="28"/>
              </w:rPr>
              <w:t>。主要建设内容为：</w:t>
            </w:r>
            <w:r>
              <w:rPr>
                <w:rFonts w:ascii="仿宋_GB2312" w:hAnsi="仿宋_GB2312" w:cs="仿宋_GB2312" w:eastAsia="仿宋_GB2312"/>
                <w:sz w:val="28"/>
              </w:rPr>
              <w:t>泵房改造、新建消防水箱、室外管道安装等</w:t>
            </w:r>
            <w:r>
              <w:rPr>
                <w:rFonts w:ascii="仿宋_GB2312" w:hAnsi="仿宋_GB2312" w:cs="仿宋_GB2312" w:eastAsia="仿宋_GB2312"/>
                <w:sz w:val="28"/>
              </w:rPr>
              <w:t>。</w:t>
            </w:r>
          </w:p>
          <w:p>
            <w:pPr>
              <w:pStyle w:val="null3"/>
              <w:ind w:firstLine="642"/>
              <w:jc w:val="both"/>
            </w:pPr>
            <w:r>
              <w:rPr>
                <w:rFonts w:ascii="仿宋_GB2312" w:hAnsi="仿宋_GB2312" w:cs="仿宋_GB2312" w:eastAsia="仿宋_GB2312"/>
                <w:sz w:val="32"/>
                <w:b/>
              </w:rPr>
              <w:t>二、编制依据</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、《陕西省住房和城乡建设厅关于印发</w:t>
            </w:r>
            <w:r>
              <w:rPr>
                <w:rFonts w:ascii="仿宋_GB2312" w:hAnsi="仿宋_GB2312" w:cs="仿宋_GB2312" w:eastAsia="仿宋_GB2312"/>
                <w:sz w:val="30"/>
              </w:rPr>
              <w:t>2025 陕西省建设工程费用规则等计价依据的通知》陕建管发〔2025〕10号文件；</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、《建设工程工程量清单计价标准》（</w:t>
            </w:r>
            <w:r>
              <w:rPr>
                <w:rFonts w:ascii="仿宋_GB2312" w:hAnsi="仿宋_GB2312" w:cs="仿宋_GB2312" w:eastAsia="仿宋_GB2312"/>
                <w:sz w:val="30"/>
              </w:rPr>
              <w:t>2025）、《房屋建筑与装修工程工程量计算标准》、《通用安装工程工程量计算标准》、《陕西省建设工程费用规则》（2025）及其配套文件；</w:t>
            </w:r>
          </w:p>
          <w:p>
            <w:pPr>
              <w:pStyle w:val="null3"/>
              <w:ind w:firstLine="600"/>
              <w:jc w:val="both"/>
            </w:pPr>
            <w:r>
              <w:rPr>
                <w:rFonts w:ascii="仿宋_GB2312" w:hAnsi="仿宋_GB2312" w:cs="仿宋_GB2312" w:eastAsia="仿宋_GB2312"/>
                <w:sz w:val="30"/>
              </w:rPr>
              <w:t>6、《陕西省房屋建筑与装饰工程消耗量定额》（2025）、《陕西省通用安装工程消耗量定额》（2025）、《陕西省建设工程施工机械台班费用定额》（2025）、《陕西省房屋建筑与装饰工程基价表》（2025）、《陕西省通用安装工程基价表》（2025）</w:t>
            </w:r>
          </w:p>
          <w:p>
            <w:pPr>
              <w:pStyle w:val="null3"/>
              <w:ind w:firstLine="600"/>
              <w:jc w:val="both"/>
            </w:pPr>
            <w:r>
              <w:rPr>
                <w:rFonts w:ascii="仿宋_GB2312" w:hAnsi="仿宋_GB2312" w:cs="仿宋_GB2312" w:eastAsia="仿宋_GB2312"/>
                <w:sz w:val="30"/>
              </w:rPr>
              <w:t>7、材料单价参考汉中市造价办发布的2026年第1期建筑材料信息价略阳价格；</w:t>
            </w:r>
          </w:p>
          <w:p>
            <w:pPr>
              <w:pStyle w:val="null3"/>
              <w:ind w:firstLine="643"/>
              <w:jc w:val="both"/>
            </w:pPr>
            <w:r>
              <w:rPr>
                <w:rFonts w:ascii="仿宋_GB2312" w:hAnsi="仿宋_GB2312" w:cs="仿宋_GB2312" w:eastAsia="仿宋_GB2312"/>
                <w:sz w:val="32"/>
                <w:b/>
              </w:rPr>
              <w:t>三、相关问题说明：</w:t>
            </w:r>
          </w:p>
          <w:p>
            <w:pPr>
              <w:pStyle w:val="null3"/>
              <w:ind w:firstLine="600"/>
              <w:jc w:val="both"/>
            </w:pPr>
            <w:r>
              <w:rPr>
                <w:rFonts w:ascii="仿宋_GB2312" w:hAnsi="仿宋_GB2312" w:cs="仿宋_GB2312" w:eastAsia="仿宋_GB2312"/>
                <w:sz w:val="30"/>
              </w:rPr>
              <w:t>1、成品不锈钢消防水箱，高4.5m，有效容积大于288m³，暂定综合单价300000元/台（含水箱下槽钢）；</w:t>
            </w:r>
          </w:p>
          <w:p>
            <w:pPr>
              <w:pStyle w:val="null3"/>
              <w:ind w:firstLine="600"/>
              <w:jc w:val="both"/>
            </w:pPr>
            <w:r>
              <w:rPr>
                <w:rFonts w:ascii="仿宋_GB2312" w:hAnsi="仿宋_GB2312" w:cs="仿宋_GB2312" w:eastAsia="仿宋_GB2312"/>
                <w:sz w:val="30"/>
              </w:rPr>
              <w:t>2、室外消火栓井，暂定综合单价1000元/座；</w:t>
            </w:r>
          </w:p>
          <w:p>
            <w:pPr>
              <w:pStyle w:val="null3"/>
              <w:ind w:firstLine="643"/>
              <w:jc w:val="both"/>
            </w:pPr>
            <w:r>
              <w:rPr>
                <w:rFonts w:ascii="仿宋_GB2312" w:hAnsi="仿宋_GB2312" w:cs="仿宋_GB2312" w:eastAsia="仿宋_GB2312"/>
                <w:sz w:val="32"/>
                <w:b/>
              </w:rPr>
              <w:t>四、计价软件</w:t>
            </w:r>
          </w:p>
          <w:p>
            <w:pPr>
              <w:pStyle w:val="null3"/>
              <w:ind w:firstLine="640"/>
              <w:jc w:val="both"/>
            </w:pPr>
            <w:r>
              <w:rPr>
                <w:rFonts w:ascii="仿宋_GB2312" w:hAnsi="仿宋_GB2312" w:cs="仿宋_GB2312" w:eastAsia="仿宋_GB2312"/>
                <w:sz w:val="32"/>
              </w:rPr>
              <w:t>造价软件：广联达计价软件</w:t>
            </w:r>
            <w:r>
              <w:rPr>
                <w:rFonts w:ascii="仿宋_GB2312" w:hAnsi="仿宋_GB2312" w:cs="仿宋_GB2312" w:eastAsia="仿宋_GB2312"/>
                <w:sz w:val="32"/>
              </w:rPr>
              <w:t>GCCP</w:t>
            </w:r>
            <w:r>
              <w:rPr>
                <w:rFonts w:ascii="仿宋_GB2312" w:hAnsi="仿宋_GB2312" w:cs="仿宋_GB2312" w:eastAsia="仿宋_GB2312"/>
                <w:sz w:val="32"/>
              </w:rPr>
              <w:t>7</w:t>
            </w:r>
            <w:r>
              <w:rPr>
                <w:rFonts w:ascii="仿宋_GB2312" w:hAnsi="仿宋_GB2312" w:cs="仿宋_GB2312" w:eastAsia="仿宋_GB2312"/>
                <w:sz w:val="32"/>
              </w:rPr>
              <w:t>.0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采购的设备符合最新国家消防产品认证标准，施工符合国家现行建设标准，能安全、环保、文明施工，自觉履行合同约定，所有设施设备满足寄宿制学校消防安全要求。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工期：30日历天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供应商需提供法定代表人（或委托代理人）身份证明及授权委托书</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供应商须具备建设行政主管部门核发的消防设施工程专业承包二级（含二级）及以上资质等级，且具有合格有效的安全生产许可证。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供应商须具备建设行政主管部门核发的机电工程专业二级（含二级）及以上注册建造师执业资格，并取得（B类）安全生产考核合格证书，无不良记录，无在建工程(提供无在建承诺书)。</w:t>
            </w:r>
          </w:p>
        </w:tc>
        <w:tc>
          <w:tcPr>
            <w:tcW w:type="dxa" w:w="1661"/>
          </w:tcPr>
          <w:p>
            <w:pPr>
              <w:pStyle w:val="null3"/>
            </w:pPr>
            <w:r>
              <w:rPr>
                <w:rFonts w:ascii="仿宋_GB2312" w:hAnsi="仿宋_GB2312" w:cs="仿宋_GB2312" w:eastAsia="仿宋_GB2312"/>
              </w:rPr>
              <w:t>投标人应提交的相关资格证明材料.docx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提供非联合体声明磋商承诺。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应按磋商文件要求缴纳磋商保证金</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 具体施工内容（4分）：能完整覆盖工程量清单中“水箱安装、管道连接、泵房改造、室外管道安装”四大主要内容的，得4分；缺少任意一大项的，扣1分。 ② 施工次序（3分）：提供施工流程图且工序逻辑完全正确的，得3分；否则得0分。 ③ 施工方法/工艺（3分）：对“水箱焊接/拼装、管道连接、泵房设备安装”三个关键工序均有详细工艺描述的，得3分；缺少任一关键工序或任一工序描述不完整的扣1分，扣完为止。④ 成品保护措施（3分）：提出至少3项具体、可行的成品保护方法的，得3分；不足3项的缺一项扣1分，扣完为止。 ⑤ 应急保障方案（3分）：针对“停水、停电、恶劣天气”三种情况均有具体操作步骤的，得3分；缺少任一情况或任一情况未写明具体操作步骤的扣1分，扣完为止。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 质量目标管理体系（2分）：提供质量管理体系图且图中明确标注项目经理、技术负责人、质检员的质量职责的，得2分；仅有体系图无职责标注的，得1分；未提供体系图的，得0分。② 施工质量检验制度（2分）：明确“自检、互检、交接检”三检制流程，并提供相应记录表单模板（或示例）的，得2分；仅有流程文字描述无表单模板的，得1分。③ 关键工序质量控制点（2分）：列出至少3个关键质量控制点，并为每个控制点明确控制标准的，得2分；每缺少一个控制点扣0.5分，控制点有但控制标准不明确的扣0.25分。④ 材料进场验收（2分）：明确主要材料的验收标准及验收流程的，得2分；每缺少一种主要材料的验收标准扣0.5分，扣完为止。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① 文明施工目标承诺（1分）：书面承诺文明施工目标的，得1分，未提供不得分。② 现场管理措施（2分）：提出围挡设置方案、材料堆放规划、施工通道布置三项具体措施的，得2分；每缺少一项扣0.5分，扣完为止。③ 废弃物处理（1分）：明确建筑垃圾分类、存放容器、清运频率及去向的，得1分；内容不完整的得0.5分。④ 防尘降噪措施（2分）：防尘措施和降噪措施各至少1条具体可行的，每项得1分；仅有原则性表述（如“加强防尘”）无具体方法的，该单项不得分。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 安全管理体系（2分）：提供安全生产责任体系图，并明确项目经理、安全员、班组长三者的安全生产职责的，得2分；缺少任一岗位职责或体系图缺任一岗位的，扣1分，完全未提供不得分。② 安全技术交底（2分）：提供书面安全技术交底制度及交底记录模板的，得2分；仅有制度无模板的，得1分，制度和模板均未提供的不得分。③ 现场安全防护（2分）：明确施工现场安全警示标识布置方案和个人防护装备配备标准的，得2分；缺少一项扣1分。④ 安全教育培训（2分）：提供岗前安全培训计划（培训内容、时长、考核方式）和定期安全教育制度（频次、形式）的，得2分；缺少一项扣1分。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 施工总进度计划（2分）：提供横道图或网络图，且图中明确标注开工、关键节点、竣工时间的，得2分；提供图表但未标注关键节点时间的，得1分；未提供图表的，得0分。② 工期保障措施（2分）：针对“雨天、夜间、高温”三种特殊情况分别提出具体施工保障措施的，得2分；每缺少一种情况扣0.5分，扣完为止。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① 施工机械设备计划（2分）：提供主要施工机械设备清单，且进场时间与施工进度计划匹配的，得2分；设备清单完整但进场时间未明确或与进度不匹配的，得1分；清单不完整的得0.5分。② 材料进场计划（2分）：提供主要材料进场时间表，且与施工进度计划匹配的，得2分；时间表不完整或不匹配的，得1分。③ 设备维护保养（1分）：有设备日常检查和维护保养计划（含检查项目、频率、责任人）的，得1分。④ 材料保管方案（1分）：有材料仓储及保管方案的，得1分。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① 图表形式（1分）：提供横道图或网络图的，得1分；仅文字描述无图表的，得0分。② 关键工作标注（2分）：在图中的关键工作上标注明确，且能识别出关键线路的，得2分；仅标注关键工作但未形成关键线路的，得1分；未标注关键工作的，得0分。③ 详细程度（1分）：横道图标注每日/每周作业安排，或网络图标注各工序之间的逻辑关系（FS/SS等）的，得1分；仅有笼统的月计划线条的，得0.5分，未提供不得分。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劳动力安排计划情况</w:t>
            </w:r>
          </w:p>
        </w:tc>
        <w:tc>
          <w:tcPr>
            <w:tcW w:type="dxa" w:w="2492"/>
          </w:tcPr>
          <w:p>
            <w:pPr>
              <w:pStyle w:val="null3"/>
            </w:pPr>
            <w:r>
              <w:rPr>
                <w:rFonts w:ascii="仿宋_GB2312" w:hAnsi="仿宋_GB2312" w:cs="仿宋_GB2312" w:eastAsia="仿宋_GB2312"/>
              </w:rPr>
              <w:t>① 劳动力投入计划表（2分）：提供劳动力投入计划表，且投入数量与施工进度高峰匹配的，得2分；计划表完整但人数与进度匹配不合理的，得1分；表格不完整的得0.5分，未提供不得分。② 劳动力保障措施（2分）：明确高峰期劳动力补充方案和替补机制的，得2分；缺少一项扣1分，未提供不得分。③ 特种作业人员配置（2分）：明确电工、焊工、起重工等特种作业人员配置，并提供承诺书的，得2分；仅列出工种未承诺持证的，得1分；未提及的得0分。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① 组织机构图（1分）：提供项目部组织结构图，图中至少包含项目经理、技术负责人、安全员、质量员、材料员五个岗位的，得1分；缺少岗位的不得分。② 人员配置及职责（3分）：提供主要管理人员（同上述五岗）名单，并为每个岗位说明主要职责（各岗位职责不少于3条）的，得3分；每缺少一个岗位扣0.5分，职责不足3条的每个岗位扣0.25分，扣完为止。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 质保期响应时间（1分）：承诺接到维修通知后2小时内响应、24小时内到达现场的，得1分；4小时内响应、48小时内到达的，得0.5分；超过该时限的不得分。② 质保期外服务（1分）：明确质保期后有偿服务的收费标准及响应机制的，得1分；仅有笼统“优惠价”表述的，得0.5分。③ 操作培训（1分）：承诺对校方操作人员进行不少于2小时免费现场培训，并提供培训内容大纲的，得1分；无大纲的得0.5分。④ 质保期满检查（1分）：承诺质保期满前30日内对全套系统进行一次全面检查维护（含检查项目清单）的，得1分；无检查项目清单的得0.5分。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供应商近三年（2023年01月至今）类似项目业绩，每份计2分，计满4分为止。须提供中标（成交）通知书及合同（协议书）扫描件。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