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E1288">
      <w:pPr>
        <w:jc w:val="both"/>
        <w:rPr>
          <w:rFonts w:hint="eastAsia"/>
          <w:b/>
          <w:bCs/>
          <w:color w:val="auto"/>
          <w:sz w:val="36"/>
          <w:szCs w:val="28"/>
          <w:u w:val="single"/>
          <w:lang w:val="en-US" w:eastAsia="zh-CN"/>
        </w:rPr>
      </w:pPr>
    </w:p>
    <w:p w14:paraId="458EE500">
      <w:pPr>
        <w:jc w:val="both"/>
        <w:rPr>
          <w:b/>
          <w:bCs/>
          <w:color w:val="auto"/>
          <w:sz w:val="36"/>
          <w:szCs w:val="28"/>
        </w:rPr>
      </w:pPr>
      <w:r>
        <w:rPr>
          <w:rFonts w:hint="eastAsia"/>
          <w:b/>
          <w:bCs/>
          <w:color w:val="auto"/>
          <w:sz w:val="36"/>
          <w:szCs w:val="28"/>
          <w:u w:val="single"/>
          <w:lang w:val="en-US" w:eastAsia="zh-CN"/>
        </w:rPr>
        <w:t xml:space="preserve">                                        </w:t>
      </w:r>
      <w:r>
        <w:rPr>
          <w:rFonts w:hint="eastAsia"/>
          <w:b/>
          <w:bCs/>
          <w:color w:val="auto"/>
          <w:sz w:val="36"/>
          <w:szCs w:val="28"/>
        </w:rPr>
        <w:t>项目</w:t>
      </w:r>
    </w:p>
    <w:p w14:paraId="122F7C37">
      <w:pPr>
        <w:pStyle w:val="7"/>
        <w:ind w:firstLine="560" w:firstLineChars="200"/>
        <w:jc w:val="center"/>
        <w:rPr>
          <w:rFonts w:hint="eastAsia" w:ascii="仿宋" w:hAnsi="仿宋"/>
          <w:color w:val="auto"/>
          <w:sz w:val="28"/>
          <w:szCs w:val="28"/>
        </w:rPr>
      </w:pPr>
    </w:p>
    <w:p w14:paraId="4BF9AB32">
      <w:pPr>
        <w:pStyle w:val="7"/>
        <w:ind w:firstLine="560" w:firstLineChars="200"/>
        <w:jc w:val="center"/>
        <w:rPr>
          <w:rFonts w:ascii="仿宋" w:hAnsi="仿宋"/>
          <w:color w:val="auto"/>
          <w:sz w:val="28"/>
          <w:szCs w:val="28"/>
        </w:rPr>
      </w:pPr>
    </w:p>
    <w:p w14:paraId="0A56A07E">
      <w:pPr>
        <w:pStyle w:val="7"/>
        <w:ind w:firstLine="560" w:firstLineChars="200"/>
        <w:rPr>
          <w:rFonts w:ascii="仿宋" w:hAnsi="仿宋"/>
          <w:color w:val="auto"/>
          <w:sz w:val="28"/>
          <w:szCs w:val="28"/>
        </w:rPr>
      </w:pPr>
    </w:p>
    <w:p w14:paraId="4BD3BDF3">
      <w:pPr>
        <w:jc w:val="center"/>
        <w:rPr>
          <w:rFonts w:hint="eastAsia"/>
          <w:b/>
          <w:color w:val="auto"/>
          <w:sz w:val="32"/>
          <w:szCs w:val="24"/>
          <w:lang w:val="en-US" w:eastAsia="zh-CN"/>
        </w:rPr>
      </w:pPr>
    </w:p>
    <w:p w14:paraId="684E0380">
      <w:pPr>
        <w:jc w:val="center"/>
        <w:rPr>
          <w:rFonts w:hint="eastAsia"/>
          <w:b/>
          <w:color w:val="auto"/>
          <w:sz w:val="32"/>
          <w:szCs w:val="24"/>
          <w:lang w:val="en-US" w:eastAsia="zh-CN"/>
        </w:rPr>
      </w:pPr>
    </w:p>
    <w:p w14:paraId="1A53EF03">
      <w:pPr>
        <w:jc w:val="center"/>
        <w:rPr>
          <w:rFonts w:hint="eastAsia"/>
          <w:b/>
          <w:color w:val="auto"/>
          <w:sz w:val="32"/>
          <w:szCs w:val="24"/>
          <w:lang w:val="en-US" w:eastAsia="zh-CN"/>
        </w:rPr>
      </w:pPr>
    </w:p>
    <w:p w14:paraId="454F4D04">
      <w:pPr>
        <w:jc w:val="center"/>
        <w:rPr>
          <w:b/>
          <w:color w:val="auto"/>
          <w:sz w:val="32"/>
          <w:szCs w:val="24"/>
        </w:rPr>
      </w:pPr>
      <w:r>
        <w:rPr>
          <w:rFonts w:hint="eastAsia"/>
          <w:b/>
          <w:color w:val="auto"/>
          <w:sz w:val="32"/>
          <w:szCs w:val="24"/>
          <w:lang w:val="en-US" w:eastAsia="zh-CN"/>
        </w:rPr>
        <w:t>政府采购</w:t>
      </w:r>
      <w:r>
        <w:rPr>
          <w:rFonts w:hint="eastAsia"/>
          <w:b/>
          <w:color w:val="auto"/>
          <w:sz w:val="32"/>
          <w:szCs w:val="24"/>
        </w:rPr>
        <w:t>合同</w:t>
      </w:r>
    </w:p>
    <w:p w14:paraId="6C152607">
      <w:pPr>
        <w:pStyle w:val="7"/>
        <w:ind w:firstLine="560" w:firstLineChars="200"/>
        <w:rPr>
          <w:rFonts w:ascii="仿宋" w:hAnsi="仿宋"/>
          <w:color w:val="auto"/>
          <w:sz w:val="28"/>
          <w:szCs w:val="28"/>
        </w:rPr>
      </w:pPr>
    </w:p>
    <w:p w14:paraId="74DD2756">
      <w:pPr>
        <w:pStyle w:val="7"/>
        <w:ind w:firstLine="560" w:firstLineChars="200"/>
        <w:rPr>
          <w:rFonts w:ascii="仿宋" w:hAnsi="仿宋"/>
          <w:color w:val="auto"/>
          <w:sz w:val="28"/>
          <w:szCs w:val="28"/>
        </w:rPr>
      </w:pPr>
    </w:p>
    <w:p w14:paraId="1602BA57">
      <w:pPr>
        <w:pStyle w:val="7"/>
        <w:ind w:firstLine="560" w:firstLineChars="200"/>
        <w:rPr>
          <w:rFonts w:ascii="仿宋" w:hAnsi="仿宋"/>
          <w:color w:val="auto"/>
          <w:sz w:val="28"/>
          <w:szCs w:val="28"/>
        </w:rPr>
      </w:pPr>
    </w:p>
    <w:p w14:paraId="76FBA291">
      <w:pPr>
        <w:pStyle w:val="7"/>
        <w:ind w:firstLine="560" w:firstLineChars="200"/>
        <w:rPr>
          <w:rFonts w:ascii="仿宋" w:hAnsi="仿宋"/>
          <w:color w:val="auto"/>
          <w:sz w:val="28"/>
          <w:szCs w:val="28"/>
        </w:rPr>
      </w:pPr>
    </w:p>
    <w:p w14:paraId="363155DF">
      <w:pPr>
        <w:pStyle w:val="7"/>
        <w:ind w:firstLine="560" w:firstLineChars="200"/>
        <w:rPr>
          <w:rFonts w:ascii="仿宋" w:hAnsi="仿宋"/>
          <w:color w:val="auto"/>
          <w:sz w:val="28"/>
          <w:szCs w:val="28"/>
        </w:rPr>
      </w:pPr>
    </w:p>
    <w:p w14:paraId="7C0CF251">
      <w:pPr>
        <w:pStyle w:val="7"/>
        <w:ind w:firstLine="560" w:firstLineChars="200"/>
        <w:rPr>
          <w:rFonts w:ascii="仿宋" w:hAnsi="仿宋"/>
          <w:color w:val="auto"/>
          <w:sz w:val="28"/>
          <w:szCs w:val="28"/>
        </w:rPr>
      </w:pPr>
    </w:p>
    <w:p w14:paraId="0464A587">
      <w:pPr>
        <w:pStyle w:val="7"/>
        <w:ind w:firstLine="560" w:firstLineChars="200"/>
        <w:rPr>
          <w:rFonts w:ascii="仿宋" w:hAnsi="仿宋"/>
          <w:color w:val="auto"/>
          <w:sz w:val="28"/>
          <w:szCs w:val="28"/>
        </w:rPr>
      </w:pPr>
    </w:p>
    <w:p w14:paraId="11AD86FB">
      <w:pPr>
        <w:ind w:firstLine="1120" w:firstLineChars="400"/>
        <w:rPr>
          <w:color w:val="auto"/>
          <w:sz w:val="28"/>
          <w:szCs w:val="22"/>
        </w:rPr>
      </w:pPr>
      <w:r>
        <w:rPr>
          <w:rFonts w:hint="eastAsia"/>
          <w:color w:val="auto"/>
          <w:sz w:val="28"/>
          <w:szCs w:val="22"/>
        </w:rPr>
        <w:t>合同编号：</w:t>
      </w:r>
      <w:r>
        <w:rPr>
          <w:rFonts w:hint="eastAsia"/>
          <w:color w:val="auto"/>
          <w:sz w:val="28"/>
          <w:szCs w:val="22"/>
          <w:u w:val="single"/>
          <w:lang w:val="en-US" w:eastAsia="zh-CN"/>
        </w:rPr>
        <w:t xml:space="preserve">                              </w:t>
      </w:r>
    </w:p>
    <w:p w14:paraId="27C2BCD5">
      <w:pPr>
        <w:rPr>
          <w:color w:val="auto"/>
          <w:sz w:val="28"/>
          <w:szCs w:val="22"/>
        </w:rPr>
      </w:pPr>
    </w:p>
    <w:p w14:paraId="7608EBC8">
      <w:pPr>
        <w:ind w:firstLine="1120" w:firstLineChars="400"/>
        <w:rPr>
          <w:color w:val="auto"/>
          <w:sz w:val="28"/>
          <w:szCs w:val="22"/>
        </w:rPr>
      </w:pPr>
      <w:r>
        <w:rPr>
          <w:rFonts w:hint="eastAsia"/>
          <w:color w:val="auto"/>
          <w:sz w:val="28"/>
          <w:szCs w:val="22"/>
        </w:rPr>
        <w:t>甲　　方：</w:t>
      </w:r>
      <w:r>
        <w:rPr>
          <w:rFonts w:hint="eastAsia"/>
          <w:color w:val="auto"/>
          <w:sz w:val="28"/>
          <w:szCs w:val="22"/>
          <w:u w:val="single"/>
          <w:lang w:val="en-US" w:eastAsia="zh-CN"/>
        </w:rPr>
        <w:t xml:space="preserve">                          </w:t>
      </w:r>
      <w:r>
        <w:rPr>
          <w:color w:val="auto"/>
          <w:sz w:val="28"/>
          <w:szCs w:val="22"/>
        </w:rPr>
        <w:t>(</w:t>
      </w:r>
      <w:r>
        <w:rPr>
          <w:rFonts w:hint="eastAsia"/>
          <w:color w:val="auto"/>
          <w:sz w:val="28"/>
          <w:szCs w:val="22"/>
        </w:rPr>
        <w:t>采购人名称</w:t>
      </w:r>
      <w:r>
        <w:rPr>
          <w:color w:val="auto"/>
          <w:sz w:val="28"/>
          <w:szCs w:val="22"/>
        </w:rPr>
        <w:t>)</w:t>
      </w:r>
    </w:p>
    <w:p w14:paraId="30673234">
      <w:pPr>
        <w:rPr>
          <w:color w:val="auto"/>
          <w:sz w:val="28"/>
          <w:szCs w:val="22"/>
        </w:rPr>
      </w:pPr>
    </w:p>
    <w:p w14:paraId="39AB1ABD">
      <w:pPr>
        <w:rPr>
          <w:color w:val="auto"/>
          <w:sz w:val="28"/>
          <w:szCs w:val="22"/>
        </w:rPr>
      </w:pPr>
      <w:r>
        <w:rPr>
          <w:rFonts w:hint="eastAsia"/>
          <w:color w:val="auto"/>
          <w:sz w:val="28"/>
          <w:szCs w:val="22"/>
        </w:rPr>
        <w:t xml:space="preserve">        乙　　方：</w:t>
      </w:r>
      <w:r>
        <w:rPr>
          <w:rFonts w:hint="eastAsia"/>
          <w:color w:val="auto"/>
          <w:sz w:val="28"/>
          <w:szCs w:val="22"/>
          <w:u w:val="single"/>
          <w:lang w:val="en-US" w:eastAsia="zh-CN"/>
        </w:rPr>
        <w:t xml:space="preserve">                          </w:t>
      </w:r>
      <w:r>
        <w:rPr>
          <w:color w:val="auto"/>
          <w:sz w:val="28"/>
          <w:szCs w:val="22"/>
        </w:rPr>
        <w:t>(</w:t>
      </w:r>
      <w:r>
        <w:rPr>
          <w:rFonts w:hint="eastAsia"/>
          <w:color w:val="auto"/>
          <w:sz w:val="28"/>
          <w:szCs w:val="22"/>
        </w:rPr>
        <w:t>中标人名称</w:t>
      </w:r>
      <w:r>
        <w:rPr>
          <w:color w:val="auto"/>
          <w:sz w:val="28"/>
          <w:szCs w:val="22"/>
        </w:rPr>
        <w:t>)</w:t>
      </w:r>
    </w:p>
    <w:p w14:paraId="0EE88DC8">
      <w:pPr>
        <w:spacing w:line="360" w:lineRule="auto"/>
        <w:ind w:firstLine="400" w:firstLineChars="200"/>
        <w:rPr>
          <w:rFonts w:hint="eastAsia" w:ascii="宋体" w:hAnsi="宋体" w:eastAsia="宋体" w:cs="宋体"/>
          <w:color w:val="auto"/>
          <w:sz w:val="24"/>
          <w:szCs w:val="24"/>
        </w:rPr>
      </w:pPr>
      <w:r>
        <w:rPr>
          <w:color w:val="auto"/>
        </w:rPr>
        <w:br w:type="page"/>
      </w:r>
      <w:r>
        <w:rPr>
          <w:rFonts w:hint="eastAsia" w:ascii="宋体" w:hAnsi="宋体" w:eastAsia="宋体" w:cs="宋体"/>
          <w:color w:val="auto"/>
          <w:sz w:val="24"/>
          <w:szCs w:val="24"/>
        </w:rPr>
        <w:t>根据《中华人民共和国政府采购法》、《中华人民共和国民法典》等有关法律法规规定，____________(采购人名称)(以下简称：“甲方”)通过______采购(采购方式)确定______(中标人名称)(以下简称：“乙方”)为______项目(项目名称)的______</w:t>
      </w:r>
      <w:r>
        <w:rPr>
          <w:rFonts w:hint="eastAsia" w:ascii="宋体" w:hAnsi="宋体" w:eastAsia="宋体" w:cs="宋体"/>
          <w:color w:val="auto"/>
          <w:kern w:val="0"/>
          <w:sz w:val="24"/>
          <w:szCs w:val="24"/>
        </w:rPr>
        <w:t>投标人</w:t>
      </w:r>
      <w:r>
        <w:rPr>
          <w:rFonts w:hint="eastAsia" w:ascii="宋体" w:hAnsi="宋体" w:eastAsia="宋体" w:cs="宋体"/>
          <w:color w:val="auto"/>
          <w:sz w:val="24"/>
          <w:szCs w:val="24"/>
        </w:rPr>
        <w:t>。甲乙双方同意签署《______项目(项目名称)合同》(合同编号：______，以下简称：“合同”)。</w:t>
      </w:r>
    </w:p>
    <w:p w14:paraId="7595BBD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1.合同文件</w:t>
      </w:r>
    </w:p>
    <w:p w14:paraId="36F0B35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下列文件是构成本合同不可分割的部分：</w:t>
      </w:r>
    </w:p>
    <w:p w14:paraId="130544DD">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 合同条款；</w:t>
      </w:r>
    </w:p>
    <w:p w14:paraId="5F6C9B4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 中标通知书；</w:t>
      </w:r>
    </w:p>
    <w:p w14:paraId="5C203EC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 招标文件；</w:t>
      </w:r>
    </w:p>
    <w:p w14:paraId="7FB208D2">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(4) 投标文件；</w:t>
      </w:r>
    </w:p>
    <w:p w14:paraId="447E951C">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(5) 其他(根据实际情况需要增加的内容)。</w:t>
      </w:r>
    </w:p>
    <w:p w14:paraId="54F207C1">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组成合同的各项文件应互相解释，互为说明。合同文件的解释优先顺序以上述文件先后顺序为准。</w:t>
      </w:r>
    </w:p>
    <w:p w14:paraId="57639D3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2.合同主要标的及数量</w:t>
      </w:r>
    </w:p>
    <w:p w14:paraId="26D1008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乙方应按照合同的规定，提供本项目《招标(采购)文件》中有关要求的产品及服务，包括但不限于以下内容：</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006"/>
        <w:gridCol w:w="996"/>
        <w:gridCol w:w="1656"/>
        <w:gridCol w:w="996"/>
        <w:gridCol w:w="996"/>
        <w:gridCol w:w="995"/>
        <w:gridCol w:w="995"/>
      </w:tblGrid>
      <w:tr w14:paraId="54E86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1B500C65">
            <w:pPr>
              <w:spacing w:line="336" w:lineRule="auto"/>
              <w:jc w:val="center"/>
              <w:rPr>
                <w:rFonts w:ascii="仿宋" w:hAnsi="仿宋"/>
                <w:color w:val="auto"/>
                <w:sz w:val="24"/>
                <w:szCs w:val="24"/>
              </w:rPr>
            </w:pPr>
            <w:r>
              <w:rPr>
                <w:rFonts w:hint="eastAsia" w:ascii="仿宋" w:hAnsi="仿宋"/>
                <w:color w:val="auto"/>
                <w:sz w:val="24"/>
                <w:szCs w:val="24"/>
              </w:rPr>
              <w:t>序号</w:t>
            </w:r>
          </w:p>
        </w:tc>
        <w:tc>
          <w:tcPr>
            <w:tcW w:w="2006" w:type="dxa"/>
            <w:noWrap w:val="0"/>
            <w:vAlign w:val="center"/>
          </w:tcPr>
          <w:p w14:paraId="1E453161">
            <w:pPr>
              <w:spacing w:line="336" w:lineRule="auto"/>
              <w:jc w:val="center"/>
              <w:rPr>
                <w:rFonts w:ascii="仿宋" w:hAnsi="仿宋"/>
                <w:color w:val="auto"/>
                <w:sz w:val="24"/>
                <w:szCs w:val="24"/>
              </w:rPr>
            </w:pPr>
            <w:r>
              <w:rPr>
                <w:rFonts w:hint="eastAsia" w:ascii="仿宋" w:hAnsi="仿宋"/>
                <w:color w:val="auto"/>
                <w:sz w:val="24"/>
                <w:szCs w:val="24"/>
              </w:rPr>
              <w:t>货物名称</w:t>
            </w:r>
          </w:p>
        </w:tc>
        <w:tc>
          <w:tcPr>
            <w:tcW w:w="996" w:type="dxa"/>
            <w:noWrap w:val="0"/>
            <w:vAlign w:val="center"/>
          </w:tcPr>
          <w:p w14:paraId="050D1171">
            <w:pPr>
              <w:spacing w:line="336" w:lineRule="auto"/>
              <w:jc w:val="center"/>
              <w:rPr>
                <w:rFonts w:ascii="仿宋" w:hAnsi="仿宋"/>
                <w:color w:val="auto"/>
                <w:sz w:val="24"/>
                <w:szCs w:val="24"/>
              </w:rPr>
            </w:pPr>
            <w:r>
              <w:rPr>
                <w:rFonts w:hint="eastAsia" w:ascii="仿宋" w:hAnsi="仿宋"/>
                <w:color w:val="auto"/>
                <w:sz w:val="24"/>
                <w:szCs w:val="24"/>
              </w:rPr>
              <w:t>品牌</w:t>
            </w:r>
          </w:p>
        </w:tc>
        <w:tc>
          <w:tcPr>
            <w:tcW w:w="1656" w:type="dxa"/>
            <w:noWrap w:val="0"/>
            <w:vAlign w:val="center"/>
          </w:tcPr>
          <w:p w14:paraId="1CC9FEE3">
            <w:pPr>
              <w:spacing w:line="336" w:lineRule="auto"/>
              <w:jc w:val="center"/>
              <w:rPr>
                <w:rFonts w:ascii="仿宋" w:hAnsi="仿宋"/>
                <w:color w:val="auto"/>
                <w:sz w:val="24"/>
                <w:szCs w:val="24"/>
              </w:rPr>
            </w:pPr>
            <w:r>
              <w:rPr>
                <w:rFonts w:hint="eastAsia" w:ascii="仿宋" w:hAnsi="仿宋"/>
                <w:color w:val="auto"/>
                <w:sz w:val="24"/>
                <w:szCs w:val="24"/>
              </w:rPr>
              <w:t>型号规格</w:t>
            </w:r>
          </w:p>
        </w:tc>
        <w:tc>
          <w:tcPr>
            <w:tcW w:w="996" w:type="dxa"/>
            <w:noWrap w:val="0"/>
            <w:vAlign w:val="center"/>
          </w:tcPr>
          <w:p w14:paraId="2F1CB51A">
            <w:pPr>
              <w:spacing w:line="336" w:lineRule="auto"/>
              <w:jc w:val="center"/>
              <w:rPr>
                <w:rFonts w:ascii="仿宋" w:hAnsi="仿宋"/>
                <w:color w:val="auto"/>
                <w:sz w:val="24"/>
                <w:szCs w:val="24"/>
              </w:rPr>
            </w:pPr>
            <w:r>
              <w:rPr>
                <w:rFonts w:hint="eastAsia" w:ascii="仿宋" w:hAnsi="仿宋"/>
                <w:color w:val="auto"/>
                <w:sz w:val="24"/>
                <w:szCs w:val="24"/>
              </w:rPr>
              <w:t>单价</w:t>
            </w:r>
          </w:p>
        </w:tc>
        <w:tc>
          <w:tcPr>
            <w:tcW w:w="996" w:type="dxa"/>
            <w:noWrap w:val="0"/>
            <w:vAlign w:val="center"/>
          </w:tcPr>
          <w:p w14:paraId="30536663">
            <w:pPr>
              <w:spacing w:line="336" w:lineRule="auto"/>
              <w:jc w:val="center"/>
              <w:rPr>
                <w:rFonts w:ascii="仿宋" w:hAnsi="仿宋"/>
                <w:color w:val="auto"/>
                <w:sz w:val="24"/>
                <w:szCs w:val="24"/>
              </w:rPr>
            </w:pPr>
            <w:r>
              <w:rPr>
                <w:rFonts w:hint="eastAsia" w:ascii="仿宋" w:hAnsi="仿宋"/>
                <w:color w:val="auto"/>
                <w:sz w:val="24"/>
                <w:szCs w:val="24"/>
              </w:rPr>
              <w:t>数量</w:t>
            </w:r>
          </w:p>
        </w:tc>
        <w:tc>
          <w:tcPr>
            <w:tcW w:w="995" w:type="dxa"/>
            <w:noWrap w:val="0"/>
            <w:vAlign w:val="center"/>
          </w:tcPr>
          <w:p w14:paraId="57747AA7">
            <w:pPr>
              <w:spacing w:line="336" w:lineRule="auto"/>
              <w:jc w:val="center"/>
              <w:rPr>
                <w:rFonts w:ascii="仿宋" w:hAnsi="仿宋"/>
                <w:color w:val="auto"/>
                <w:sz w:val="24"/>
                <w:szCs w:val="24"/>
              </w:rPr>
            </w:pPr>
            <w:r>
              <w:rPr>
                <w:rFonts w:hint="eastAsia" w:ascii="仿宋" w:hAnsi="仿宋"/>
                <w:color w:val="auto"/>
                <w:sz w:val="24"/>
                <w:szCs w:val="24"/>
              </w:rPr>
              <w:t>小计</w:t>
            </w:r>
          </w:p>
        </w:tc>
        <w:tc>
          <w:tcPr>
            <w:tcW w:w="995" w:type="dxa"/>
            <w:noWrap w:val="0"/>
            <w:vAlign w:val="center"/>
          </w:tcPr>
          <w:p w14:paraId="3628A8D4">
            <w:pPr>
              <w:spacing w:line="336" w:lineRule="auto"/>
              <w:jc w:val="center"/>
              <w:rPr>
                <w:rFonts w:ascii="仿宋" w:hAnsi="仿宋"/>
                <w:color w:val="auto"/>
                <w:sz w:val="24"/>
                <w:szCs w:val="24"/>
              </w:rPr>
            </w:pPr>
            <w:r>
              <w:rPr>
                <w:rFonts w:hint="eastAsia" w:ascii="仿宋" w:hAnsi="仿宋"/>
                <w:color w:val="auto"/>
                <w:sz w:val="24"/>
                <w:szCs w:val="24"/>
              </w:rPr>
              <w:t>备注</w:t>
            </w:r>
          </w:p>
        </w:tc>
      </w:tr>
      <w:tr w14:paraId="2671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2EDBF900">
            <w:pPr>
              <w:spacing w:line="336" w:lineRule="auto"/>
              <w:rPr>
                <w:rFonts w:ascii="仿宋" w:hAnsi="仿宋"/>
                <w:color w:val="auto"/>
                <w:sz w:val="24"/>
              </w:rPr>
            </w:pPr>
          </w:p>
        </w:tc>
        <w:tc>
          <w:tcPr>
            <w:tcW w:w="2006" w:type="dxa"/>
            <w:noWrap w:val="0"/>
            <w:vAlign w:val="center"/>
          </w:tcPr>
          <w:p w14:paraId="16BAB179">
            <w:pPr>
              <w:spacing w:line="336" w:lineRule="auto"/>
              <w:rPr>
                <w:rFonts w:ascii="仿宋" w:hAnsi="仿宋"/>
                <w:color w:val="auto"/>
                <w:sz w:val="24"/>
              </w:rPr>
            </w:pPr>
          </w:p>
        </w:tc>
        <w:tc>
          <w:tcPr>
            <w:tcW w:w="996" w:type="dxa"/>
            <w:noWrap w:val="0"/>
            <w:vAlign w:val="center"/>
          </w:tcPr>
          <w:p w14:paraId="1E6C332A">
            <w:pPr>
              <w:spacing w:line="336" w:lineRule="auto"/>
              <w:rPr>
                <w:rFonts w:ascii="仿宋" w:hAnsi="仿宋"/>
                <w:color w:val="auto"/>
                <w:sz w:val="24"/>
              </w:rPr>
            </w:pPr>
          </w:p>
        </w:tc>
        <w:tc>
          <w:tcPr>
            <w:tcW w:w="1656" w:type="dxa"/>
            <w:noWrap w:val="0"/>
            <w:vAlign w:val="center"/>
          </w:tcPr>
          <w:p w14:paraId="4ECDBE16">
            <w:pPr>
              <w:spacing w:line="336" w:lineRule="auto"/>
              <w:rPr>
                <w:rFonts w:ascii="仿宋" w:hAnsi="仿宋"/>
                <w:color w:val="auto"/>
                <w:sz w:val="24"/>
              </w:rPr>
            </w:pPr>
          </w:p>
        </w:tc>
        <w:tc>
          <w:tcPr>
            <w:tcW w:w="996" w:type="dxa"/>
            <w:noWrap w:val="0"/>
            <w:vAlign w:val="center"/>
          </w:tcPr>
          <w:p w14:paraId="357D2ABE">
            <w:pPr>
              <w:spacing w:line="336" w:lineRule="auto"/>
              <w:rPr>
                <w:rFonts w:ascii="仿宋" w:hAnsi="仿宋"/>
                <w:color w:val="auto"/>
                <w:sz w:val="24"/>
              </w:rPr>
            </w:pPr>
          </w:p>
        </w:tc>
        <w:tc>
          <w:tcPr>
            <w:tcW w:w="996" w:type="dxa"/>
            <w:noWrap w:val="0"/>
            <w:vAlign w:val="center"/>
          </w:tcPr>
          <w:p w14:paraId="32502964">
            <w:pPr>
              <w:spacing w:line="336" w:lineRule="auto"/>
              <w:rPr>
                <w:rFonts w:ascii="仿宋" w:hAnsi="仿宋"/>
                <w:color w:val="auto"/>
                <w:sz w:val="24"/>
              </w:rPr>
            </w:pPr>
          </w:p>
        </w:tc>
        <w:tc>
          <w:tcPr>
            <w:tcW w:w="995" w:type="dxa"/>
            <w:noWrap w:val="0"/>
            <w:vAlign w:val="center"/>
          </w:tcPr>
          <w:p w14:paraId="77D68D57">
            <w:pPr>
              <w:spacing w:line="336" w:lineRule="auto"/>
              <w:rPr>
                <w:rFonts w:ascii="仿宋" w:hAnsi="仿宋"/>
                <w:color w:val="auto"/>
                <w:sz w:val="24"/>
              </w:rPr>
            </w:pPr>
          </w:p>
        </w:tc>
        <w:tc>
          <w:tcPr>
            <w:tcW w:w="995" w:type="dxa"/>
            <w:noWrap w:val="0"/>
            <w:vAlign w:val="center"/>
          </w:tcPr>
          <w:p w14:paraId="4A821EE6">
            <w:pPr>
              <w:spacing w:line="336" w:lineRule="auto"/>
              <w:rPr>
                <w:rFonts w:ascii="仿宋" w:hAnsi="仿宋"/>
                <w:color w:val="auto"/>
                <w:sz w:val="24"/>
              </w:rPr>
            </w:pPr>
          </w:p>
        </w:tc>
      </w:tr>
      <w:tr w14:paraId="7C93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43ADD47E">
            <w:pPr>
              <w:spacing w:line="336" w:lineRule="auto"/>
              <w:rPr>
                <w:rFonts w:ascii="仿宋" w:hAnsi="仿宋"/>
                <w:color w:val="auto"/>
                <w:sz w:val="24"/>
              </w:rPr>
            </w:pPr>
          </w:p>
        </w:tc>
        <w:tc>
          <w:tcPr>
            <w:tcW w:w="2006" w:type="dxa"/>
            <w:noWrap w:val="0"/>
            <w:vAlign w:val="center"/>
          </w:tcPr>
          <w:p w14:paraId="261649F4">
            <w:pPr>
              <w:spacing w:line="336" w:lineRule="auto"/>
              <w:rPr>
                <w:rFonts w:ascii="仿宋" w:hAnsi="仿宋"/>
                <w:color w:val="auto"/>
                <w:sz w:val="24"/>
              </w:rPr>
            </w:pPr>
          </w:p>
        </w:tc>
        <w:tc>
          <w:tcPr>
            <w:tcW w:w="996" w:type="dxa"/>
            <w:noWrap w:val="0"/>
            <w:vAlign w:val="center"/>
          </w:tcPr>
          <w:p w14:paraId="2EBDC7D4">
            <w:pPr>
              <w:spacing w:line="336" w:lineRule="auto"/>
              <w:rPr>
                <w:rFonts w:ascii="仿宋" w:hAnsi="仿宋"/>
                <w:color w:val="auto"/>
                <w:sz w:val="24"/>
              </w:rPr>
            </w:pPr>
          </w:p>
        </w:tc>
        <w:tc>
          <w:tcPr>
            <w:tcW w:w="1656" w:type="dxa"/>
            <w:noWrap w:val="0"/>
            <w:vAlign w:val="center"/>
          </w:tcPr>
          <w:p w14:paraId="697E4B25">
            <w:pPr>
              <w:spacing w:line="336" w:lineRule="auto"/>
              <w:rPr>
                <w:rFonts w:ascii="仿宋" w:hAnsi="仿宋"/>
                <w:color w:val="auto"/>
                <w:sz w:val="24"/>
              </w:rPr>
            </w:pPr>
          </w:p>
        </w:tc>
        <w:tc>
          <w:tcPr>
            <w:tcW w:w="996" w:type="dxa"/>
            <w:noWrap w:val="0"/>
            <w:vAlign w:val="center"/>
          </w:tcPr>
          <w:p w14:paraId="68C1A292">
            <w:pPr>
              <w:spacing w:line="336" w:lineRule="auto"/>
              <w:rPr>
                <w:rFonts w:ascii="仿宋" w:hAnsi="仿宋"/>
                <w:color w:val="auto"/>
                <w:sz w:val="24"/>
              </w:rPr>
            </w:pPr>
          </w:p>
        </w:tc>
        <w:tc>
          <w:tcPr>
            <w:tcW w:w="996" w:type="dxa"/>
            <w:noWrap w:val="0"/>
            <w:vAlign w:val="center"/>
          </w:tcPr>
          <w:p w14:paraId="20732106">
            <w:pPr>
              <w:spacing w:line="336" w:lineRule="auto"/>
              <w:rPr>
                <w:rFonts w:ascii="仿宋" w:hAnsi="仿宋"/>
                <w:color w:val="auto"/>
                <w:sz w:val="24"/>
              </w:rPr>
            </w:pPr>
          </w:p>
        </w:tc>
        <w:tc>
          <w:tcPr>
            <w:tcW w:w="995" w:type="dxa"/>
            <w:noWrap w:val="0"/>
            <w:vAlign w:val="center"/>
          </w:tcPr>
          <w:p w14:paraId="6440DC85">
            <w:pPr>
              <w:spacing w:line="336" w:lineRule="auto"/>
              <w:rPr>
                <w:rFonts w:ascii="仿宋" w:hAnsi="仿宋"/>
                <w:color w:val="auto"/>
                <w:sz w:val="24"/>
              </w:rPr>
            </w:pPr>
          </w:p>
        </w:tc>
        <w:tc>
          <w:tcPr>
            <w:tcW w:w="995" w:type="dxa"/>
            <w:noWrap w:val="0"/>
            <w:vAlign w:val="center"/>
          </w:tcPr>
          <w:p w14:paraId="0AEC3693">
            <w:pPr>
              <w:spacing w:line="336" w:lineRule="auto"/>
              <w:rPr>
                <w:rFonts w:ascii="仿宋" w:hAnsi="仿宋"/>
                <w:color w:val="auto"/>
                <w:sz w:val="24"/>
              </w:rPr>
            </w:pPr>
          </w:p>
        </w:tc>
      </w:tr>
      <w:tr w14:paraId="6C5E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7EB7CAA8">
            <w:pPr>
              <w:spacing w:line="336" w:lineRule="auto"/>
              <w:rPr>
                <w:rFonts w:ascii="仿宋" w:hAnsi="仿宋"/>
                <w:color w:val="auto"/>
                <w:sz w:val="24"/>
              </w:rPr>
            </w:pPr>
          </w:p>
        </w:tc>
        <w:tc>
          <w:tcPr>
            <w:tcW w:w="2006" w:type="dxa"/>
            <w:noWrap w:val="0"/>
            <w:vAlign w:val="center"/>
          </w:tcPr>
          <w:p w14:paraId="4B1F3A6A">
            <w:pPr>
              <w:spacing w:line="336" w:lineRule="auto"/>
              <w:rPr>
                <w:rFonts w:ascii="仿宋" w:hAnsi="仿宋"/>
                <w:color w:val="auto"/>
                <w:sz w:val="24"/>
              </w:rPr>
            </w:pPr>
          </w:p>
        </w:tc>
        <w:tc>
          <w:tcPr>
            <w:tcW w:w="996" w:type="dxa"/>
            <w:noWrap w:val="0"/>
            <w:vAlign w:val="center"/>
          </w:tcPr>
          <w:p w14:paraId="27E3F700">
            <w:pPr>
              <w:spacing w:line="336" w:lineRule="auto"/>
              <w:rPr>
                <w:rFonts w:ascii="仿宋" w:hAnsi="仿宋"/>
                <w:color w:val="auto"/>
                <w:sz w:val="24"/>
              </w:rPr>
            </w:pPr>
          </w:p>
        </w:tc>
        <w:tc>
          <w:tcPr>
            <w:tcW w:w="1656" w:type="dxa"/>
            <w:noWrap w:val="0"/>
            <w:vAlign w:val="center"/>
          </w:tcPr>
          <w:p w14:paraId="6CB1519A">
            <w:pPr>
              <w:spacing w:line="336" w:lineRule="auto"/>
              <w:rPr>
                <w:rFonts w:ascii="仿宋" w:hAnsi="仿宋"/>
                <w:color w:val="auto"/>
                <w:sz w:val="24"/>
              </w:rPr>
            </w:pPr>
          </w:p>
        </w:tc>
        <w:tc>
          <w:tcPr>
            <w:tcW w:w="996" w:type="dxa"/>
            <w:noWrap w:val="0"/>
            <w:vAlign w:val="center"/>
          </w:tcPr>
          <w:p w14:paraId="0CA0B693">
            <w:pPr>
              <w:spacing w:line="336" w:lineRule="auto"/>
              <w:rPr>
                <w:rFonts w:ascii="仿宋" w:hAnsi="仿宋"/>
                <w:color w:val="auto"/>
                <w:sz w:val="24"/>
              </w:rPr>
            </w:pPr>
          </w:p>
        </w:tc>
        <w:tc>
          <w:tcPr>
            <w:tcW w:w="996" w:type="dxa"/>
            <w:noWrap w:val="0"/>
            <w:vAlign w:val="center"/>
          </w:tcPr>
          <w:p w14:paraId="52E267EA">
            <w:pPr>
              <w:spacing w:line="336" w:lineRule="auto"/>
              <w:rPr>
                <w:rFonts w:ascii="仿宋" w:hAnsi="仿宋"/>
                <w:color w:val="auto"/>
                <w:sz w:val="24"/>
              </w:rPr>
            </w:pPr>
          </w:p>
        </w:tc>
        <w:tc>
          <w:tcPr>
            <w:tcW w:w="995" w:type="dxa"/>
            <w:noWrap w:val="0"/>
            <w:vAlign w:val="center"/>
          </w:tcPr>
          <w:p w14:paraId="0AC6A88E">
            <w:pPr>
              <w:spacing w:line="336" w:lineRule="auto"/>
              <w:rPr>
                <w:rFonts w:ascii="仿宋" w:hAnsi="仿宋"/>
                <w:color w:val="auto"/>
                <w:sz w:val="24"/>
              </w:rPr>
            </w:pPr>
          </w:p>
        </w:tc>
        <w:tc>
          <w:tcPr>
            <w:tcW w:w="995" w:type="dxa"/>
            <w:noWrap w:val="0"/>
            <w:vAlign w:val="center"/>
          </w:tcPr>
          <w:p w14:paraId="0646C989">
            <w:pPr>
              <w:spacing w:line="336" w:lineRule="auto"/>
              <w:rPr>
                <w:rFonts w:ascii="仿宋" w:hAnsi="仿宋"/>
                <w:color w:val="auto"/>
                <w:sz w:val="24"/>
              </w:rPr>
            </w:pPr>
          </w:p>
        </w:tc>
      </w:tr>
      <w:tr w14:paraId="4E61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011AF32C">
            <w:pPr>
              <w:spacing w:line="336" w:lineRule="auto"/>
              <w:rPr>
                <w:rFonts w:ascii="仿宋" w:hAnsi="仿宋"/>
                <w:color w:val="auto"/>
                <w:sz w:val="24"/>
              </w:rPr>
            </w:pPr>
          </w:p>
        </w:tc>
        <w:tc>
          <w:tcPr>
            <w:tcW w:w="2006" w:type="dxa"/>
            <w:noWrap w:val="0"/>
            <w:vAlign w:val="center"/>
          </w:tcPr>
          <w:p w14:paraId="496D173B">
            <w:pPr>
              <w:spacing w:line="336" w:lineRule="auto"/>
              <w:rPr>
                <w:rFonts w:ascii="仿宋" w:hAnsi="仿宋"/>
                <w:color w:val="auto"/>
                <w:sz w:val="24"/>
              </w:rPr>
            </w:pPr>
          </w:p>
        </w:tc>
        <w:tc>
          <w:tcPr>
            <w:tcW w:w="996" w:type="dxa"/>
            <w:noWrap w:val="0"/>
            <w:vAlign w:val="center"/>
          </w:tcPr>
          <w:p w14:paraId="78432C4D">
            <w:pPr>
              <w:spacing w:line="336" w:lineRule="auto"/>
              <w:rPr>
                <w:rFonts w:ascii="仿宋" w:hAnsi="仿宋"/>
                <w:color w:val="auto"/>
                <w:sz w:val="24"/>
              </w:rPr>
            </w:pPr>
          </w:p>
        </w:tc>
        <w:tc>
          <w:tcPr>
            <w:tcW w:w="1656" w:type="dxa"/>
            <w:noWrap w:val="0"/>
            <w:vAlign w:val="center"/>
          </w:tcPr>
          <w:p w14:paraId="484361F6">
            <w:pPr>
              <w:spacing w:line="336" w:lineRule="auto"/>
              <w:rPr>
                <w:rFonts w:ascii="仿宋" w:hAnsi="仿宋"/>
                <w:color w:val="auto"/>
                <w:sz w:val="24"/>
              </w:rPr>
            </w:pPr>
          </w:p>
        </w:tc>
        <w:tc>
          <w:tcPr>
            <w:tcW w:w="996" w:type="dxa"/>
            <w:noWrap w:val="0"/>
            <w:vAlign w:val="center"/>
          </w:tcPr>
          <w:p w14:paraId="52945DB5">
            <w:pPr>
              <w:spacing w:line="336" w:lineRule="auto"/>
              <w:rPr>
                <w:rFonts w:ascii="仿宋" w:hAnsi="仿宋"/>
                <w:color w:val="auto"/>
                <w:sz w:val="24"/>
              </w:rPr>
            </w:pPr>
          </w:p>
        </w:tc>
        <w:tc>
          <w:tcPr>
            <w:tcW w:w="996" w:type="dxa"/>
            <w:noWrap w:val="0"/>
            <w:vAlign w:val="center"/>
          </w:tcPr>
          <w:p w14:paraId="392FE33B">
            <w:pPr>
              <w:spacing w:line="336" w:lineRule="auto"/>
              <w:rPr>
                <w:rFonts w:ascii="仿宋" w:hAnsi="仿宋"/>
                <w:color w:val="auto"/>
                <w:sz w:val="24"/>
              </w:rPr>
            </w:pPr>
          </w:p>
        </w:tc>
        <w:tc>
          <w:tcPr>
            <w:tcW w:w="995" w:type="dxa"/>
            <w:noWrap w:val="0"/>
            <w:vAlign w:val="center"/>
          </w:tcPr>
          <w:p w14:paraId="1271DCDA">
            <w:pPr>
              <w:spacing w:line="336" w:lineRule="auto"/>
              <w:rPr>
                <w:rFonts w:ascii="仿宋" w:hAnsi="仿宋"/>
                <w:color w:val="auto"/>
                <w:sz w:val="24"/>
              </w:rPr>
            </w:pPr>
          </w:p>
        </w:tc>
        <w:tc>
          <w:tcPr>
            <w:tcW w:w="995" w:type="dxa"/>
            <w:noWrap w:val="0"/>
            <w:vAlign w:val="center"/>
          </w:tcPr>
          <w:p w14:paraId="564C7AAC">
            <w:pPr>
              <w:spacing w:line="336" w:lineRule="auto"/>
              <w:rPr>
                <w:rFonts w:ascii="仿宋" w:hAnsi="仿宋"/>
                <w:color w:val="auto"/>
                <w:sz w:val="24"/>
              </w:rPr>
            </w:pPr>
          </w:p>
        </w:tc>
      </w:tr>
      <w:tr w14:paraId="63BD6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05E3CDB9">
            <w:pPr>
              <w:spacing w:line="336" w:lineRule="auto"/>
              <w:rPr>
                <w:rFonts w:ascii="仿宋" w:hAnsi="仿宋"/>
                <w:color w:val="auto"/>
                <w:sz w:val="24"/>
              </w:rPr>
            </w:pPr>
          </w:p>
        </w:tc>
        <w:tc>
          <w:tcPr>
            <w:tcW w:w="2006" w:type="dxa"/>
            <w:noWrap w:val="0"/>
            <w:vAlign w:val="center"/>
          </w:tcPr>
          <w:p w14:paraId="25C442B6">
            <w:pPr>
              <w:spacing w:line="336" w:lineRule="auto"/>
              <w:rPr>
                <w:rFonts w:ascii="仿宋" w:hAnsi="仿宋"/>
                <w:color w:val="auto"/>
                <w:sz w:val="24"/>
              </w:rPr>
            </w:pPr>
          </w:p>
        </w:tc>
        <w:tc>
          <w:tcPr>
            <w:tcW w:w="996" w:type="dxa"/>
            <w:noWrap w:val="0"/>
            <w:vAlign w:val="center"/>
          </w:tcPr>
          <w:p w14:paraId="4E5C7D65">
            <w:pPr>
              <w:spacing w:line="336" w:lineRule="auto"/>
              <w:rPr>
                <w:rFonts w:ascii="仿宋" w:hAnsi="仿宋"/>
                <w:color w:val="auto"/>
                <w:sz w:val="24"/>
              </w:rPr>
            </w:pPr>
          </w:p>
        </w:tc>
        <w:tc>
          <w:tcPr>
            <w:tcW w:w="1656" w:type="dxa"/>
            <w:noWrap w:val="0"/>
            <w:vAlign w:val="center"/>
          </w:tcPr>
          <w:p w14:paraId="38132EEE">
            <w:pPr>
              <w:spacing w:line="336" w:lineRule="auto"/>
              <w:rPr>
                <w:rFonts w:ascii="仿宋" w:hAnsi="仿宋"/>
                <w:color w:val="auto"/>
                <w:sz w:val="24"/>
              </w:rPr>
            </w:pPr>
          </w:p>
        </w:tc>
        <w:tc>
          <w:tcPr>
            <w:tcW w:w="996" w:type="dxa"/>
            <w:noWrap w:val="0"/>
            <w:vAlign w:val="center"/>
          </w:tcPr>
          <w:p w14:paraId="609E1601">
            <w:pPr>
              <w:spacing w:line="336" w:lineRule="auto"/>
              <w:rPr>
                <w:rFonts w:ascii="仿宋" w:hAnsi="仿宋"/>
                <w:color w:val="auto"/>
                <w:sz w:val="24"/>
              </w:rPr>
            </w:pPr>
          </w:p>
        </w:tc>
        <w:tc>
          <w:tcPr>
            <w:tcW w:w="996" w:type="dxa"/>
            <w:noWrap w:val="0"/>
            <w:vAlign w:val="center"/>
          </w:tcPr>
          <w:p w14:paraId="454A917E">
            <w:pPr>
              <w:spacing w:line="336" w:lineRule="auto"/>
              <w:rPr>
                <w:rFonts w:ascii="仿宋" w:hAnsi="仿宋"/>
                <w:color w:val="auto"/>
                <w:sz w:val="24"/>
              </w:rPr>
            </w:pPr>
          </w:p>
        </w:tc>
        <w:tc>
          <w:tcPr>
            <w:tcW w:w="995" w:type="dxa"/>
            <w:noWrap w:val="0"/>
            <w:vAlign w:val="center"/>
          </w:tcPr>
          <w:p w14:paraId="038D13B8">
            <w:pPr>
              <w:spacing w:line="336" w:lineRule="auto"/>
              <w:rPr>
                <w:rFonts w:ascii="仿宋" w:hAnsi="仿宋"/>
                <w:color w:val="auto"/>
                <w:sz w:val="24"/>
              </w:rPr>
            </w:pPr>
          </w:p>
        </w:tc>
        <w:tc>
          <w:tcPr>
            <w:tcW w:w="995" w:type="dxa"/>
            <w:noWrap w:val="0"/>
            <w:vAlign w:val="center"/>
          </w:tcPr>
          <w:p w14:paraId="160BC986">
            <w:pPr>
              <w:spacing w:line="336" w:lineRule="auto"/>
              <w:rPr>
                <w:rFonts w:ascii="仿宋" w:hAnsi="仿宋"/>
                <w:color w:val="auto"/>
                <w:sz w:val="24"/>
              </w:rPr>
            </w:pPr>
          </w:p>
        </w:tc>
      </w:tr>
      <w:tr w14:paraId="326C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noWrap w:val="0"/>
            <w:vAlign w:val="center"/>
          </w:tcPr>
          <w:p w14:paraId="3EAB4EA8">
            <w:pPr>
              <w:spacing w:line="336" w:lineRule="auto"/>
              <w:rPr>
                <w:rFonts w:ascii="仿宋" w:hAnsi="仿宋"/>
                <w:color w:val="auto"/>
                <w:sz w:val="28"/>
                <w:szCs w:val="28"/>
              </w:rPr>
            </w:pPr>
          </w:p>
        </w:tc>
        <w:tc>
          <w:tcPr>
            <w:tcW w:w="2006" w:type="dxa"/>
            <w:noWrap w:val="0"/>
            <w:vAlign w:val="center"/>
          </w:tcPr>
          <w:p w14:paraId="3BEBE829">
            <w:pPr>
              <w:spacing w:line="336" w:lineRule="auto"/>
              <w:rPr>
                <w:rFonts w:ascii="仿宋" w:hAnsi="仿宋"/>
                <w:color w:val="auto"/>
                <w:sz w:val="28"/>
                <w:szCs w:val="28"/>
              </w:rPr>
            </w:pPr>
          </w:p>
        </w:tc>
        <w:tc>
          <w:tcPr>
            <w:tcW w:w="996" w:type="dxa"/>
            <w:noWrap w:val="0"/>
            <w:vAlign w:val="center"/>
          </w:tcPr>
          <w:p w14:paraId="4BAAA049">
            <w:pPr>
              <w:spacing w:line="336" w:lineRule="auto"/>
              <w:rPr>
                <w:rFonts w:ascii="仿宋" w:hAnsi="仿宋"/>
                <w:color w:val="auto"/>
                <w:sz w:val="28"/>
                <w:szCs w:val="28"/>
              </w:rPr>
            </w:pPr>
          </w:p>
        </w:tc>
        <w:tc>
          <w:tcPr>
            <w:tcW w:w="1656" w:type="dxa"/>
            <w:noWrap w:val="0"/>
            <w:vAlign w:val="center"/>
          </w:tcPr>
          <w:p w14:paraId="1CC7EBB4">
            <w:pPr>
              <w:spacing w:line="336" w:lineRule="auto"/>
              <w:rPr>
                <w:rFonts w:ascii="仿宋" w:hAnsi="仿宋"/>
                <w:color w:val="auto"/>
                <w:sz w:val="28"/>
                <w:szCs w:val="28"/>
              </w:rPr>
            </w:pPr>
          </w:p>
        </w:tc>
        <w:tc>
          <w:tcPr>
            <w:tcW w:w="996" w:type="dxa"/>
            <w:noWrap w:val="0"/>
            <w:vAlign w:val="center"/>
          </w:tcPr>
          <w:p w14:paraId="0662301B">
            <w:pPr>
              <w:spacing w:line="336" w:lineRule="auto"/>
              <w:rPr>
                <w:rFonts w:ascii="仿宋" w:hAnsi="仿宋"/>
                <w:color w:val="auto"/>
                <w:sz w:val="28"/>
                <w:szCs w:val="28"/>
              </w:rPr>
            </w:pPr>
          </w:p>
        </w:tc>
        <w:tc>
          <w:tcPr>
            <w:tcW w:w="996" w:type="dxa"/>
            <w:noWrap w:val="0"/>
            <w:vAlign w:val="center"/>
          </w:tcPr>
          <w:p w14:paraId="285E43BA">
            <w:pPr>
              <w:spacing w:line="336" w:lineRule="auto"/>
              <w:rPr>
                <w:rFonts w:ascii="仿宋" w:hAnsi="仿宋"/>
                <w:color w:val="auto"/>
                <w:sz w:val="28"/>
                <w:szCs w:val="28"/>
              </w:rPr>
            </w:pPr>
          </w:p>
        </w:tc>
        <w:tc>
          <w:tcPr>
            <w:tcW w:w="995" w:type="dxa"/>
            <w:noWrap w:val="0"/>
            <w:vAlign w:val="center"/>
          </w:tcPr>
          <w:p w14:paraId="77EBBD04">
            <w:pPr>
              <w:spacing w:line="336" w:lineRule="auto"/>
              <w:rPr>
                <w:rFonts w:ascii="仿宋" w:hAnsi="仿宋"/>
                <w:color w:val="auto"/>
                <w:sz w:val="28"/>
                <w:szCs w:val="28"/>
              </w:rPr>
            </w:pPr>
          </w:p>
        </w:tc>
        <w:tc>
          <w:tcPr>
            <w:tcW w:w="995" w:type="dxa"/>
            <w:noWrap w:val="0"/>
            <w:vAlign w:val="center"/>
          </w:tcPr>
          <w:p w14:paraId="5D2AA6FD">
            <w:pPr>
              <w:spacing w:line="336" w:lineRule="auto"/>
              <w:rPr>
                <w:rFonts w:ascii="仿宋" w:hAnsi="仿宋" w:cs="MingLiU_HKSCS"/>
                <w:color w:val="auto"/>
                <w:sz w:val="28"/>
                <w:szCs w:val="28"/>
              </w:rPr>
            </w:pPr>
          </w:p>
        </w:tc>
      </w:tr>
      <w:tr w14:paraId="1CDE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7183134E">
            <w:pPr>
              <w:spacing w:line="336" w:lineRule="auto"/>
              <w:rPr>
                <w:rFonts w:ascii="仿宋" w:hAnsi="仿宋"/>
                <w:color w:val="auto"/>
                <w:sz w:val="24"/>
              </w:rPr>
            </w:pPr>
            <w:r>
              <w:rPr>
                <w:rFonts w:hint="eastAsia" w:ascii="仿宋" w:hAnsi="仿宋"/>
                <w:color w:val="auto"/>
                <w:sz w:val="24"/>
              </w:rPr>
              <w:t>合计</w:t>
            </w:r>
          </w:p>
        </w:tc>
        <w:tc>
          <w:tcPr>
            <w:tcW w:w="996" w:type="dxa"/>
            <w:noWrap w:val="0"/>
            <w:vAlign w:val="center"/>
          </w:tcPr>
          <w:p w14:paraId="6AEEF340">
            <w:pPr>
              <w:spacing w:line="336" w:lineRule="auto"/>
              <w:rPr>
                <w:rFonts w:ascii="仿宋" w:hAnsi="仿宋"/>
                <w:color w:val="auto"/>
                <w:sz w:val="24"/>
              </w:rPr>
            </w:pPr>
          </w:p>
        </w:tc>
        <w:tc>
          <w:tcPr>
            <w:tcW w:w="996" w:type="dxa"/>
            <w:noWrap w:val="0"/>
            <w:vAlign w:val="center"/>
          </w:tcPr>
          <w:p w14:paraId="212DB8CF">
            <w:pPr>
              <w:spacing w:line="336" w:lineRule="auto"/>
              <w:rPr>
                <w:rFonts w:ascii="仿宋" w:hAnsi="仿宋"/>
                <w:color w:val="auto"/>
                <w:sz w:val="24"/>
              </w:rPr>
            </w:pPr>
          </w:p>
        </w:tc>
        <w:tc>
          <w:tcPr>
            <w:tcW w:w="995" w:type="dxa"/>
            <w:noWrap w:val="0"/>
            <w:vAlign w:val="center"/>
          </w:tcPr>
          <w:p w14:paraId="31487F60">
            <w:pPr>
              <w:spacing w:line="336" w:lineRule="auto"/>
              <w:rPr>
                <w:rFonts w:ascii="仿宋" w:hAnsi="仿宋"/>
                <w:color w:val="auto"/>
                <w:sz w:val="24"/>
              </w:rPr>
            </w:pPr>
          </w:p>
        </w:tc>
        <w:tc>
          <w:tcPr>
            <w:tcW w:w="995" w:type="dxa"/>
            <w:noWrap w:val="0"/>
            <w:vAlign w:val="center"/>
          </w:tcPr>
          <w:p w14:paraId="340EC833">
            <w:pPr>
              <w:spacing w:line="336" w:lineRule="auto"/>
              <w:rPr>
                <w:rFonts w:ascii="仿宋" w:hAnsi="仿宋"/>
                <w:color w:val="auto"/>
                <w:sz w:val="28"/>
                <w:szCs w:val="28"/>
              </w:rPr>
            </w:pPr>
          </w:p>
        </w:tc>
      </w:tr>
    </w:tbl>
    <w:p w14:paraId="2D38F56E">
      <w:pPr>
        <w:spacing w:line="336" w:lineRule="auto"/>
        <w:rPr>
          <w:rFonts w:hint="eastAsia" w:ascii="宋体" w:hAnsi="宋体" w:eastAsia="宋体" w:cs="宋体"/>
          <w:color w:val="auto"/>
          <w:sz w:val="24"/>
          <w:szCs w:val="24"/>
        </w:rPr>
      </w:pPr>
      <w:r>
        <w:rPr>
          <w:rFonts w:hint="eastAsia" w:ascii="宋体" w:hAnsi="宋体" w:eastAsia="宋体" w:cs="宋体"/>
          <w:color w:val="auto"/>
          <w:sz w:val="24"/>
          <w:szCs w:val="24"/>
        </w:rPr>
        <w:t>3.合同总金额及付款方式</w:t>
      </w:r>
    </w:p>
    <w:p w14:paraId="0D2D6E65">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3.1合同总金额</w:t>
      </w:r>
    </w:p>
    <w:p w14:paraId="4DAB6375">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本合同总金额为人民币______元(¥______)。本项目包括但不限于税费、运输、保险、安装、调试、技术支持、质量保障、售后服务、培训和合同中规定乙方应承担的其他义务的费用已由乙方计入本合同总金额中。</w:t>
      </w:r>
    </w:p>
    <w:p w14:paraId="66B040FC">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3.2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付款方式</w:t>
      </w:r>
    </w:p>
    <w:p w14:paraId="307DE420">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3.3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履约保证金</w:t>
      </w:r>
    </w:p>
    <w:p w14:paraId="4DCD48B4">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4.合同签订地：______</w:t>
      </w:r>
    </w:p>
    <w:p w14:paraId="5B231DCC">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5.合同生效</w:t>
      </w:r>
    </w:p>
    <w:p w14:paraId="30343E61">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本合同一式肆份，甲方执贰份、乙方执壹份、采购代理机构（见证方）执壹份。在甲、乙及见证方签字盖章，并甲方收到乙方提交的履约保证金后生效。</w:t>
      </w:r>
    </w:p>
    <w:p w14:paraId="327871B2">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6.其他约定：见证方只见证合同金额。</w:t>
      </w:r>
    </w:p>
    <w:p w14:paraId="35409E24">
      <w:pPr>
        <w:spacing w:line="336" w:lineRule="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tbl>
      <w:tblPr>
        <w:tblStyle w:val="11"/>
        <w:tblW w:w="0" w:type="auto"/>
        <w:tblInd w:w="93" w:type="dxa"/>
        <w:tblLayout w:type="fixed"/>
        <w:tblCellMar>
          <w:top w:w="0" w:type="dxa"/>
          <w:left w:w="108" w:type="dxa"/>
          <w:bottom w:w="0" w:type="dxa"/>
          <w:right w:w="108" w:type="dxa"/>
        </w:tblCellMar>
      </w:tblPr>
      <w:tblGrid>
        <w:gridCol w:w="4551"/>
        <w:gridCol w:w="4253"/>
      </w:tblGrid>
      <w:tr w14:paraId="1FC4A4DA">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70C78508">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甲  方</w:t>
            </w:r>
          </w:p>
        </w:tc>
        <w:tc>
          <w:tcPr>
            <w:tcW w:w="4253" w:type="dxa"/>
            <w:tcBorders>
              <w:top w:val="single" w:color="auto" w:sz="8" w:space="0"/>
              <w:left w:val="nil"/>
              <w:bottom w:val="single" w:color="auto" w:sz="8" w:space="0"/>
              <w:right w:val="single" w:color="auto" w:sz="8" w:space="0"/>
            </w:tcBorders>
            <w:noWrap w:val="0"/>
            <w:vAlign w:val="center"/>
          </w:tcPr>
          <w:p w14:paraId="6F14F2A7">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乙  方</w:t>
            </w:r>
          </w:p>
        </w:tc>
      </w:tr>
      <w:tr w14:paraId="532F069C">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B946B3C">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（盖章）</w:t>
            </w:r>
          </w:p>
        </w:tc>
        <w:tc>
          <w:tcPr>
            <w:tcW w:w="4253" w:type="dxa"/>
            <w:tcBorders>
              <w:top w:val="nil"/>
              <w:left w:val="nil"/>
              <w:bottom w:val="nil"/>
              <w:right w:val="single" w:color="auto" w:sz="8" w:space="0"/>
            </w:tcBorders>
            <w:noWrap w:val="0"/>
            <w:vAlign w:val="center"/>
          </w:tcPr>
          <w:p w14:paraId="173CFD49">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（盖章）</w:t>
            </w:r>
          </w:p>
        </w:tc>
      </w:tr>
      <w:tr w14:paraId="1B3552F3">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C51159A">
            <w:pPr>
              <w:rPr>
                <w:rFonts w:hint="eastAsia" w:ascii="宋体" w:hAnsi="宋体" w:eastAsia="宋体"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14:paraId="28236888">
            <w:pPr>
              <w:rPr>
                <w:rFonts w:hint="eastAsia" w:ascii="宋体" w:hAnsi="宋体" w:eastAsia="宋体" w:cs="宋体"/>
                <w:color w:val="auto"/>
                <w:kern w:val="0"/>
                <w:sz w:val="24"/>
                <w:szCs w:val="24"/>
              </w:rPr>
            </w:pPr>
          </w:p>
        </w:tc>
      </w:tr>
      <w:tr w14:paraId="0055B23D">
        <w:tblPrEx>
          <w:tblCellMar>
            <w:top w:w="0" w:type="dxa"/>
            <w:left w:w="108" w:type="dxa"/>
            <w:bottom w:w="0" w:type="dxa"/>
            <w:right w:w="108" w:type="dxa"/>
          </w:tblCellMar>
        </w:tblPrEx>
        <w:trPr>
          <w:trHeight w:val="720" w:hRule="atLeast"/>
        </w:trPr>
        <w:tc>
          <w:tcPr>
            <w:tcW w:w="4551" w:type="dxa"/>
            <w:tcBorders>
              <w:top w:val="nil"/>
              <w:left w:val="single" w:color="auto" w:sz="8" w:space="0"/>
              <w:bottom w:val="single" w:color="auto" w:sz="8" w:space="0"/>
              <w:right w:val="single" w:color="auto" w:sz="8" w:space="0"/>
            </w:tcBorders>
            <w:noWrap w:val="0"/>
            <w:vAlign w:val="center"/>
          </w:tcPr>
          <w:p w14:paraId="454589AA">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tc>
        <w:tc>
          <w:tcPr>
            <w:tcW w:w="4253" w:type="dxa"/>
            <w:tcBorders>
              <w:top w:val="nil"/>
              <w:left w:val="nil"/>
              <w:bottom w:val="single" w:color="auto" w:sz="8" w:space="0"/>
              <w:right w:val="single" w:color="auto" w:sz="8" w:space="0"/>
            </w:tcBorders>
            <w:noWrap w:val="0"/>
            <w:vAlign w:val="center"/>
          </w:tcPr>
          <w:p w14:paraId="2BFF93FD">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tc>
      </w:tr>
      <w:tr w14:paraId="0D50F413">
        <w:tblPrEx>
          <w:tblCellMar>
            <w:top w:w="0" w:type="dxa"/>
            <w:left w:w="108" w:type="dxa"/>
            <w:bottom w:w="0" w:type="dxa"/>
            <w:right w:w="108" w:type="dxa"/>
          </w:tblCellMar>
        </w:tblPrEx>
        <w:trPr>
          <w:trHeight w:val="690" w:hRule="atLeast"/>
        </w:trPr>
        <w:tc>
          <w:tcPr>
            <w:tcW w:w="4551" w:type="dxa"/>
            <w:tcBorders>
              <w:top w:val="nil"/>
              <w:left w:val="single" w:color="auto" w:sz="8" w:space="0"/>
              <w:bottom w:val="single" w:color="auto" w:sz="8" w:space="0"/>
              <w:right w:val="single" w:color="auto" w:sz="8" w:space="0"/>
            </w:tcBorders>
            <w:noWrap w:val="0"/>
            <w:vAlign w:val="center"/>
          </w:tcPr>
          <w:p w14:paraId="553BD6AB">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邮编：</w:t>
            </w:r>
          </w:p>
        </w:tc>
        <w:tc>
          <w:tcPr>
            <w:tcW w:w="4253" w:type="dxa"/>
            <w:tcBorders>
              <w:top w:val="nil"/>
              <w:left w:val="nil"/>
              <w:bottom w:val="single" w:color="auto" w:sz="8" w:space="0"/>
              <w:right w:val="single" w:color="auto" w:sz="8" w:space="0"/>
            </w:tcBorders>
            <w:noWrap w:val="0"/>
            <w:vAlign w:val="center"/>
          </w:tcPr>
          <w:p w14:paraId="407C73D8">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邮编：</w:t>
            </w:r>
          </w:p>
        </w:tc>
      </w:tr>
      <w:tr w14:paraId="641CEE70">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CAD5E9A">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全权代表：（签字）</w:t>
            </w:r>
          </w:p>
        </w:tc>
        <w:tc>
          <w:tcPr>
            <w:tcW w:w="4253" w:type="dxa"/>
            <w:tcBorders>
              <w:top w:val="nil"/>
              <w:left w:val="nil"/>
              <w:bottom w:val="single" w:color="auto" w:sz="8" w:space="0"/>
              <w:right w:val="single" w:color="auto" w:sz="8" w:space="0"/>
            </w:tcBorders>
            <w:noWrap w:val="0"/>
            <w:vAlign w:val="center"/>
          </w:tcPr>
          <w:p w14:paraId="5FF6CD60">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w:t>
            </w:r>
          </w:p>
        </w:tc>
      </w:tr>
      <w:tr w14:paraId="564F6D21">
        <w:tblPrEx>
          <w:tblCellMar>
            <w:top w:w="0" w:type="dxa"/>
            <w:left w:w="108" w:type="dxa"/>
            <w:bottom w:w="0" w:type="dxa"/>
            <w:right w:w="108" w:type="dxa"/>
          </w:tblCellMar>
        </w:tblPrEx>
        <w:trPr>
          <w:trHeight w:val="62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367745C">
            <w:pPr>
              <w:rPr>
                <w:rFonts w:hint="eastAsia" w:ascii="宋体" w:hAnsi="宋体" w:eastAsia="宋体"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14:paraId="74622EE6">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被授权代表：（签字）</w:t>
            </w:r>
          </w:p>
        </w:tc>
      </w:tr>
      <w:tr w14:paraId="4F0EC94C">
        <w:tblPrEx>
          <w:tblCellMar>
            <w:top w:w="0" w:type="dxa"/>
            <w:left w:w="108" w:type="dxa"/>
            <w:bottom w:w="0" w:type="dxa"/>
            <w:right w:w="108" w:type="dxa"/>
          </w:tblCellMar>
        </w:tblPrEx>
        <w:trPr>
          <w:trHeight w:val="690" w:hRule="atLeast"/>
        </w:trPr>
        <w:tc>
          <w:tcPr>
            <w:tcW w:w="4551" w:type="dxa"/>
            <w:tcBorders>
              <w:top w:val="nil"/>
              <w:left w:val="single" w:color="auto" w:sz="8" w:space="0"/>
              <w:bottom w:val="single" w:color="auto" w:sz="8" w:space="0"/>
              <w:right w:val="single" w:color="auto" w:sz="8" w:space="0"/>
            </w:tcBorders>
            <w:noWrap w:val="0"/>
            <w:vAlign w:val="center"/>
          </w:tcPr>
          <w:p w14:paraId="3BEC2231">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tc>
        <w:tc>
          <w:tcPr>
            <w:tcW w:w="4253" w:type="dxa"/>
            <w:tcBorders>
              <w:top w:val="nil"/>
              <w:left w:val="nil"/>
              <w:bottom w:val="single" w:color="auto" w:sz="8" w:space="0"/>
              <w:right w:val="single" w:color="auto" w:sz="8" w:space="0"/>
            </w:tcBorders>
            <w:noWrap w:val="0"/>
            <w:vAlign w:val="center"/>
          </w:tcPr>
          <w:p w14:paraId="7DBCBA5E">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tc>
      </w:tr>
      <w:tr w14:paraId="40E0D789">
        <w:tblPrEx>
          <w:tblCellMar>
            <w:top w:w="0" w:type="dxa"/>
            <w:left w:w="108" w:type="dxa"/>
            <w:bottom w:w="0" w:type="dxa"/>
            <w:right w:w="108" w:type="dxa"/>
          </w:tblCellMar>
        </w:tblPrEx>
        <w:trPr>
          <w:trHeight w:val="57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5EDA758">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传真：</w:t>
            </w:r>
          </w:p>
        </w:tc>
        <w:tc>
          <w:tcPr>
            <w:tcW w:w="4253" w:type="dxa"/>
            <w:tcBorders>
              <w:top w:val="nil"/>
              <w:left w:val="nil"/>
              <w:bottom w:val="single" w:color="auto" w:sz="8" w:space="0"/>
              <w:right w:val="single" w:color="auto" w:sz="8" w:space="0"/>
            </w:tcBorders>
            <w:noWrap w:val="0"/>
            <w:vAlign w:val="center"/>
          </w:tcPr>
          <w:p w14:paraId="2CC30CB6">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传真：</w:t>
            </w:r>
          </w:p>
        </w:tc>
      </w:tr>
      <w:tr w14:paraId="18773561">
        <w:tblPrEx>
          <w:tblCellMar>
            <w:top w:w="0" w:type="dxa"/>
            <w:left w:w="108" w:type="dxa"/>
            <w:bottom w:w="0" w:type="dxa"/>
            <w:right w:w="108" w:type="dxa"/>
          </w:tblCellMar>
        </w:tblPrEx>
        <w:trPr>
          <w:trHeight w:val="66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E80CBCD">
            <w:pPr>
              <w:rPr>
                <w:rFonts w:hint="eastAsia" w:ascii="宋体" w:hAnsi="宋体" w:eastAsia="宋体"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14:paraId="4B2CCBC0">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tc>
      </w:tr>
      <w:tr w14:paraId="40695F48">
        <w:tblPrEx>
          <w:tblCellMar>
            <w:top w:w="0" w:type="dxa"/>
            <w:left w:w="108" w:type="dxa"/>
            <w:bottom w:w="0" w:type="dxa"/>
            <w:right w:w="108" w:type="dxa"/>
          </w:tblCellMar>
        </w:tblPrEx>
        <w:trPr>
          <w:trHeight w:val="58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9CDBD2C">
            <w:pPr>
              <w:rPr>
                <w:rFonts w:hint="eastAsia" w:ascii="宋体" w:hAnsi="宋体" w:eastAsia="宋体"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14:paraId="4BCF1B67">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账号:</w:t>
            </w:r>
          </w:p>
        </w:tc>
      </w:tr>
      <w:tr w14:paraId="44CC06FC">
        <w:tblPrEx>
          <w:tblCellMar>
            <w:top w:w="0" w:type="dxa"/>
            <w:left w:w="108" w:type="dxa"/>
            <w:bottom w:w="0" w:type="dxa"/>
            <w:right w:w="108" w:type="dxa"/>
          </w:tblCellMar>
        </w:tblPrEx>
        <w:trPr>
          <w:trHeight w:val="780" w:hRule="atLeast"/>
        </w:trPr>
        <w:tc>
          <w:tcPr>
            <w:tcW w:w="4551" w:type="dxa"/>
            <w:tcBorders>
              <w:top w:val="nil"/>
              <w:left w:val="single" w:color="auto" w:sz="8" w:space="0"/>
              <w:bottom w:val="single" w:color="auto" w:sz="8" w:space="0"/>
              <w:right w:val="single" w:color="auto" w:sz="8" w:space="0"/>
            </w:tcBorders>
            <w:noWrap w:val="0"/>
            <w:vAlign w:val="center"/>
          </w:tcPr>
          <w:p w14:paraId="2C494BC8">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日期：     年   月   日</w:t>
            </w:r>
          </w:p>
        </w:tc>
        <w:tc>
          <w:tcPr>
            <w:tcW w:w="4253" w:type="dxa"/>
            <w:tcBorders>
              <w:top w:val="nil"/>
              <w:left w:val="nil"/>
              <w:bottom w:val="single" w:color="auto" w:sz="8" w:space="0"/>
              <w:right w:val="single" w:color="auto" w:sz="8" w:space="0"/>
            </w:tcBorders>
            <w:noWrap w:val="0"/>
            <w:vAlign w:val="center"/>
          </w:tcPr>
          <w:p w14:paraId="04BDF4E5">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日期：     年   月   日</w:t>
            </w:r>
          </w:p>
        </w:tc>
      </w:tr>
      <w:tr w14:paraId="5838C7D8">
        <w:tblPrEx>
          <w:tblCellMar>
            <w:top w:w="0" w:type="dxa"/>
            <w:left w:w="108" w:type="dxa"/>
            <w:bottom w:w="0" w:type="dxa"/>
            <w:right w:w="108" w:type="dxa"/>
          </w:tblCellMar>
        </w:tblPrEx>
        <w:trPr>
          <w:trHeight w:val="776" w:hRule="atLeast"/>
        </w:trPr>
        <w:tc>
          <w:tcPr>
            <w:tcW w:w="4551" w:type="dxa"/>
            <w:tcBorders>
              <w:top w:val="nil"/>
              <w:left w:val="single" w:color="auto" w:sz="8" w:space="0"/>
              <w:bottom w:val="nil"/>
              <w:right w:val="single" w:color="auto" w:sz="8" w:space="0"/>
            </w:tcBorders>
            <w:noWrap w:val="0"/>
            <w:vAlign w:val="center"/>
          </w:tcPr>
          <w:p w14:paraId="019C1155">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见证方</w:t>
            </w:r>
          </w:p>
        </w:tc>
        <w:tc>
          <w:tcPr>
            <w:tcW w:w="4253" w:type="dxa"/>
            <w:tcBorders>
              <w:top w:val="nil"/>
              <w:left w:val="nil"/>
              <w:bottom w:val="nil"/>
              <w:right w:val="nil"/>
            </w:tcBorders>
            <w:noWrap/>
            <w:vAlign w:val="center"/>
          </w:tcPr>
          <w:p w14:paraId="7E9F717E">
            <w:pPr>
              <w:rPr>
                <w:rFonts w:hint="eastAsia" w:ascii="宋体" w:hAnsi="宋体" w:eastAsia="宋体" w:cs="宋体"/>
                <w:color w:val="auto"/>
                <w:kern w:val="0"/>
                <w:sz w:val="24"/>
                <w:szCs w:val="24"/>
              </w:rPr>
            </w:pPr>
          </w:p>
        </w:tc>
      </w:tr>
      <w:tr w14:paraId="078B3260">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77A5A2E9">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（盖章）</w:t>
            </w:r>
          </w:p>
        </w:tc>
        <w:tc>
          <w:tcPr>
            <w:tcW w:w="4253" w:type="dxa"/>
            <w:tcBorders>
              <w:top w:val="nil"/>
              <w:left w:val="nil"/>
              <w:bottom w:val="nil"/>
              <w:right w:val="nil"/>
            </w:tcBorders>
            <w:noWrap/>
            <w:vAlign w:val="center"/>
          </w:tcPr>
          <w:p w14:paraId="4190B7F4">
            <w:pPr>
              <w:rPr>
                <w:rFonts w:hint="eastAsia" w:ascii="宋体" w:hAnsi="宋体" w:eastAsia="宋体" w:cs="宋体"/>
                <w:color w:val="auto"/>
                <w:kern w:val="0"/>
                <w:sz w:val="24"/>
                <w:szCs w:val="24"/>
              </w:rPr>
            </w:pPr>
          </w:p>
        </w:tc>
      </w:tr>
      <w:tr w14:paraId="78658194">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576D30C5">
            <w:pPr>
              <w:rPr>
                <w:rFonts w:hint="eastAsia" w:ascii="宋体" w:hAnsi="宋体" w:eastAsia="宋体" w:cs="宋体"/>
                <w:color w:val="auto"/>
                <w:kern w:val="0"/>
                <w:sz w:val="24"/>
                <w:szCs w:val="24"/>
              </w:rPr>
            </w:pPr>
          </w:p>
        </w:tc>
        <w:tc>
          <w:tcPr>
            <w:tcW w:w="4253" w:type="dxa"/>
            <w:tcBorders>
              <w:top w:val="nil"/>
              <w:left w:val="nil"/>
              <w:bottom w:val="nil"/>
              <w:right w:val="nil"/>
            </w:tcBorders>
            <w:noWrap/>
            <w:vAlign w:val="center"/>
          </w:tcPr>
          <w:p w14:paraId="08C6CAFF">
            <w:pPr>
              <w:rPr>
                <w:rFonts w:hint="eastAsia" w:ascii="宋体" w:hAnsi="宋体" w:eastAsia="宋体" w:cs="宋体"/>
                <w:color w:val="auto"/>
                <w:kern w:val="0"/>
                <w:sz w:val="24"/>
                <w:szCs w:val="24"/>
              </w:rPr>
            </w:pPr>
          </w:p>
        </w:tc>
      </w:tr>
      <w:tr w14:paraId="1AC170F7">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7A967F49">
            <w:pPr>
              <w:rPr>
                <w:rFonts w:hint="eastAsia" w:ascii="宋体" w:hAnsi="宋体" w:eastAsia="宋体" w:cs="宋体"/>
                <w:color w:val="auto"/>
                <w:kern w:val="0"/>
                <w:sz w:val="24"/>
                <w:szCs w:val="24"/>
              </w:rPr>
            </w:pPr>
          </w:p>
        </w:tc>
        <w:tc>
          <w:tcPr>
            <w:tcW w:w="4253" w:type="dxa"/>
            <w:tcBorders>
              <w:top w:val="nil"/>
              <w:left w:val="nil"/>
              <w:bottom w:val="nil"/>
              <w:right w:val="nil"/>
            </w:tcBorders>
            <w:noWrap/>
            <w:vAlign w:val="center"/>
          </w:tcPr>
          <w:p w14:paraId="28E57FBB">
            <w:pPr>
              <w:rPr>
                <w:rFonts w:hint="eastAsia" w:ascii="宋体" w:hAnsi="宋体" w:eastAsia="宋体" w:cs="宋体"/>
                <w:color w:val="auto"/>
                <w:kern w:val="0"/>
                <w:sz w:val="24"/>
                <w:szCs w:val="24"/>
              </w:rPr>
            </w:pPr>
          </w:p>
        </w:tc>
      </w:tr>
      <w:tr w14:paraId="1A77B161">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4030EDA0">
            <w:pPr>
              <w:rPr>
                <w:rFonts w:hint="eastAsia" w:ascii="宋体" w:hAnsi="宋体" w:eastAsia="宋体" w:cs="宋体"/>
                <w:color w:val="auto"/>
                <w:kern w:val="0"/>
                <w:sz w:val="24"/>
                <w:szCs w:val="24"/>
              </w:rPr>
            </w:pPr>
          </w:p>
        </w:tc>
        <w:tc>
          <w:tcPr>
            <w:tcW w:w="4253" w:type="dxa"/>
            <w:tcBorders>
              <w:top w:val="nil"/>
              <w:left w:val="nil"/>
              <w:bottom w:val="nil"/>
              <w:right w:val="nil"/>
            </w:tcBorders>
            <w:noWrap/>
            <w:vAlign w:val="center"/>
          </w:tcPr>
          <w:p w14:paraId="78F7A3B8">
            <w:pPr>
              <w:rPr>
                <w:rFonts w:hint="eastAsia" w:ascii="宋体" w:hAnsi="宋体" w:eastAsia="宋体" w:cs="宋体"/>
                <w:color w:val="auto"/>
                <w:kern w:val="0"/>
                <w:sz w:val="24"/>
                <w:szCs w:val="24"/>
              </w:rPr>
            </w:pPr>
          </w:p>
        </w:tc>
      </w:tr>
      <w:tr w14:paraId="2A4AEEA3">
        <w:tblPrEx>
          <w:tblCellMar>
            <w:top w:w="0" w:type="dxa"/>
            <w:left w:w="108" w:type="dxa"/>
            <w:bottom w:w="0" w:type="dxa"/>
            <w:right w:w="108" w:type="dxa"/>
          </w:tblCellMar>
        </w:tblPrEx>
        <w:trPr>
          <w:trHeight w:val="1062" w:hRule="atLeast"/>
        </w:trPr>
        <w:tc>
          <w:tcPr>
            <w:tcW w:w="4551" w:type="dxa"/>
            <w:tcBorders>
              <w:top w:val="nil"/>
              <w:left w:val="single" w:color="auto" w:sz="8" w:space="0"/>
              <w:bottom w:val="single" w:color="auto" w:sz="8" w:space="0"/>
              <w:right w:val="single" w:color="auto" w:sz="8" w:space="0"/>
            </w:tcBorders>
            <w:noWrap w:val="0"/>
            <w:vAlign w:val="center"/>
          </w:tcPr>
          <w:p w14:paraId="2A03A8D9">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日期：     年   月   日</w:t>
            </w:r>
          </w:p>
        </w:tc>
        <w:tc>
          <w:tcPr>
            <w:tcW w:w="4253" w:type="dxa"/>
            <w:tcBorders>
              <w:top w:val="nil"/>
              <w:left w:val="nil"/>
              <w:bottom w:val="nil"/>
              <w:right w:val="nil"/>
            </w:tcBorders>
            <w:noWrap/>
            <w:vAlign w:val="center"/>
          </w:tcPr>
          <w:p w14:paraId="4ECC2CCD">
            <w:pPr>
              <w:rPr>
                <w:rFonts w:hint="eastAsia" w:ascii="宋体" w:hAnsi="宋体" w:eastAsia="宋体" w:cs="宋体"/>
                <w:color w:val="auto"/>
                <w:kern w:val="0"/>
                <w:sz w:val="24"/>
                <w:szCs w:val="24"/>
              </w:rPr>
            </w:pPr>
          </w:p>
        </w:tc>
      </w:tr>
    </w:tbl>
    <w:p w14:paraId="73CED656">
      <w:pPr>
        <w:rPr>
          <w:rFonts w:hint="eastAsia" w:ascii="宋体" w:hAnsi="宋体" w:eastAsia="宋体" w:cs="宋体"/>
          <w:color w:val="auto"/>
          <w:sz w:val="24"/>
          <w:szCs w:val="24"/>
        </w:rPr>
      </w:pPr>
      <w:r>
        <w:rPr>
          <w:rFonts w:hint="eastAsia" w:ascii="宋体" w:hAnsi="宋体" w:eastAsia="宋体" w:cs="宋体"/>
          <w:color w:val="auto"/>
          <w:sz w:val="24"/>
          <w:szCs w:val="24"/>
        </w:rPr>
        <w:t>　　</w:t>
      </w:r>
    </w:p>
    <w:p w14:paraId="07765797">
      <w:pPr>
        <w:spacing w:line="360" w:lineRule="auto"/>
        <w:rPr>
          <w:rFonts w:hint="eastAsia" w:ascii="宋体" w:hAnsi="宋体" w:eastAsia="宋体" w:cs="宋体"/>
          <w:color w:val="auto"/>
          <w:sz w:val="24"/>
          <w:szCs w:val="24"/>
        </w:rPr>
      </w:pPr>
      <w:r>
        <w:rPr>
          <w:rFonts w:ascii="仿宋" w:hAnsi="仿宋"/>
          <w:color w:val="auto"/>
        </w:rPr>
        <w:br w:type="page"/>
      </w:r>
      <w:r>
        <w:rPr>
          <w:rFonts w:hint="eastAsia" w:ascii="宋体" w:hAnsi="宋体" w:eastAsia="宋体" w:cs="宋体"/>
          <w:color w:val="auto"/>
          <w:sz w:val="24"/>
          <w:szCs w:val="24"/>
        </w:rPr>
        <w:t>一、合同条款</w:t>
      </w:r>
    </w:p>
    <w:p w14:paraId="71822FF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合同条款前附表</w:t>
      </w:r>
    </w:p>
    <w:tbl>
      <w:tblPr>
        <w:tblStyle w:val="11"/>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8558"/>
      </w:tblGrid>
      <w:tr w14:paraId="7573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2B3A43E4">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8558" w:type="dxa"/>
            <w:noWrap w:val="0"/>
            <w:vAlign w:val="center"/>
          </w:tcPr>
          <w:p w14:paraId="12955472">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内容</w:t>
            </w:r>
          </w:p>
        </w:tc>
      </w:tr>
      <w:tr w14:paraId="7A1C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456" w:type="dxa"/>
            <w:noWrap w:val="0"/>
            <w:vAlign w:val="center"/>
          </w:tcPr>
          <w:p w14:paraId="3FCCB0AD">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8558" w:type="dxa"/>
            <w:noWrap w:val="0"/>
            <w:vAlign w:val="center"/>
          </w:tcPr>
          <w:p w14:paraId="571B3801">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合同名称：</w:t>
            </w:r>
          </w:p>
          <w:p w14:paraId="5A8ECDC1">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合同编号：</w:t>
            </w:r>
          </w:p>
        </w:tc>
      </w:tr>
      <w:tr w14:paraId="2889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restart"/>
            <w:noWrap w:val="0"/>
            <w:vAlign w:val="center"/>
          </w:tcPr>
          <w:p w14:paraId="70C06711">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8558" w:type="dxa"/>
            <w:noWrap w:val="0"/>
            <w:vAlign w:val="center"/>
          </w:tcPr>
          <w:p w14:paraId="157D571A">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甲方名称：</w:t>
            </w:r>
          </w:p>
        </w:tc>
      </w:tr>
      <w:tr w14:paraId="2AE46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4D0A164F">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4265A73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甲方地址：</w:t>
            </w:r>
          </w:p>
        </w:tc>
      </w:tr>
      <w:tr w14:paraId="55BA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7553CE24">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54D4800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甲方联系人：　　　　电话：</w:t>
            </w:r>
          </w:p>
        </w:tc>
      </w:tr>
      <w:tr w14:paraId="709E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restart"/>
            <w:noWrap w:val="0"/>
            <w:vAlign w:val="center"/>
          </w:tcPr>
          <w:p w14:paraId="4A4642C4">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8558" w:type="dxa"/>
            <w:noWrap w:val="0"/>
            <w:vAlign w:val="center"/>
          </w:tcPr>
          <w:p w14:paraId="2DF812A7">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乙方名称：</w:t>
            </w:r>
          </w:p>
        </w:tc>
      </w:tr>
      <w:tr w14:paraId="74F7C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1B86AF1D">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036ABBE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乙方地址：</w:t>
            </w:r>
          </w:p>
        </w:tc>
      </w:tr>
      <w:tr w14:paraId="5C29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0F34704C">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67F513E7">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乙方联系人：　　　　电话：</w:t>
            </w:r>
          </w:p>
        </w:tc>
      </w:tr>
      <w:tr w14:paraId="5B3FC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vMerge w:val="continue"/>
            <w:noWrap w:val="0"/>
            <w:vAlign w:val="center"/>
          </w:tcPr>
          <w:p w14:paraId="5D46DCA6">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648C18BC">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乙方开户银行名称：</w:t>
            </w:r>
          </w:p>
          <w:p w14:paraId="7B7FB98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54B2A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restart"/>
            <w:noWrap w:val="0"/>
            <w:vAlign w:val="center"/>
          </w:tcPr>
          <w:p w14:paraId="313498F7">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8558" w:type="dxa"/>
            <w:noWrap w:val="0"/>
            <w:vAlign w:val="center"/>
          </w:tcPr>
          <w:p w14:paraId="2436F775">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见证方名称：</w:t>
            </w:r>
            <w:r>
              <w:rPr>
                <w:rFonts w:hint="eastAsia" w:ascii="宋体" w:hAnsi="宋体" w:eastAsia="宋体" w:cs="宋体"/>
                <w:color w:val="auto"/>
                <w:sz w:val="24"/>
                <w:szCs w:val="24"/>
                <w:lang w:eastAsia="zh-CN"/>
              </w:rPr>
              <w:t>华睿诚项目管理有限公司</w:t>
            </w:r>
          </w:p>
        </w:tc>
      </w:tr>
      <w:tr w14:paraId="5BF68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continue"/>
            <w:noWrap w:val="0"/>
            <w:vAlign w:val="center"/>
          </w:tcPr>
          <w:p w14:paraId="7039752F">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661DD69E">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单位地址：陕西省西安市雁塔区曲江新区雁翔路3269号旺座曲江E座29层2901号 </w:t>
            </w:r>
          </w:p>
        </w:tc>
      </w:tr>
      <w:tr w14:paraId="0EBF7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56" w:type="dxa"/>
            <w:vMerge w:val="continue"/>
            <w:noWrap w:val="0"/>
            <w:vAlign w:val="center"/>
          </w:tcPr>
          <w:p w14:paraId="5E55287E">
            <w:pPr>
              <w:pStyle w:val="7"/>
              <w:spacing w:line="360" w:lineRule="auto"/>
              <w:jc w:val="center"/>
              <w:rPr>
                <w:rFonts w:hint="eastAsia" w:ascii="宋体" w:hAnsi="宋体" w:eastAsia="宋体" w:cs="宋体"/>
                <w:color w:val="auto"/>
                <w:sz w:val="24"/>
                <w:szCs w:val="24"/>
              </w:rPr>
            </w:pPr>
          </w:p>
        </w:tc>
        <w:tc>
          <w:tcPr>
            <w:tcW w:w="8558" w:type="dxa"/>
            <w:noWrap w:val="0"/>
            <w:vAlign w:val="center"/>
          </w:tcPr>
          <w:p w14:paraId="46BE2737">
            <w:pPr>
              <w:pStyle w:val="7"/>
              <w:spacing w:line="360" w:lineRule="auto"/>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联系人：</w:t>
            </w:r>
            <w:r>
              <w:rPr>
                <w:rFonts w:hint="eastAsia" w:ascii="宋体" w:hAnsi="宋体" w:eastAsia="宋体" w:cs="宋体"/>
                <w:color w:val="auto"/>
                <w:sz w:val="24"/>
                <w:szCs w:val="24"/>
                <w:lang w:val="en-US" w:eastAsia="zh-CN"/>
              </w:rPr>
              <w:t>王欢</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电话：029-88228813 </w:t>
            </w:r>
          </w:p>
        </w:tc>
      </w:tr>
      <w:tr w14:paraId="764D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0A3694FA">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8558" w:type="dxa"/>
            <w:noWrap w:val="0"/>
            <w:vAlign w:val="center"/>
          </w:tcPr>
          <w:p w14:paraId="5F2DFAEE">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合同金额：</w:t>
            </w:r>
          </w:p>
        </w:tc>
      </w:tr>
      <w:tr w14:paraId="2EB4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3A064785">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8558" w:type="dxa"/>
            <w:noWrap w:val="0"/>
            <w:vAlign w:val="center"/>
          </w:tcPr>
          <w:p w14:paraId="3DEDEDA9">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包装要求：落实《关于印发〈商品包装政府采购需求标准（试行）〉〈快递包装政府采购需求标准（试行）〉》（财办库〔2020〕123号）</w:t>
            </w:r>
          </w:p>
        </w:tc>
      </w:tr>
      <w:tr w14:paraId="3327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64BA9A97">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8558" w:type="dxa"/>
            <w:noWrap w:val="0"/>
            <w:vAlign w:val="center"/>
          </w:tcPr>
          <w:p w14:paraId="398668F5">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交货时间及地点：</w:t>
            </w:r>
          </w:p>
        </w:tc>
      </w:tr>
      <w:tr w14:paraId="32BDA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48E45DF5">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8</w:t>
            </w:r>
          </w:p>
        </w:tc>
        <w:tc>
          <w:tcPr>
            <w:tcW w:w="8558" w:type="dxa"/>
            <w:noWrap w:val="0"/>
            <w:vAlign w:val="center"/>
          </w:tcPr>
          <w:p w14:paraId="7F4E122E">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质量保证期：</w:t>
            </w:r>
          </w:p>
        </w:tc>
      </w:tr>
      <w:tr w14:paraId="5E76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061DEC1E">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9</w:t>
            </w:r>
          </w:p>
        </w:tc>
        <w:tc>
          <w:tcPr>
            <w:tcW w:w="8558" w:type="dxa"/>
            <w:noWrap w:val="0"/>
            <w:vAlign w:val="center"/>
          </w:tcPr>
          <w:p w14:paraId="7C32D745">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验收方式及标准：</w:t>
            </w:r>
          </w:p>
        </w:tc>
      </w:tr>
      <w:tr w14:paraId="4C093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77938B3E">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8558" w:type="dxa"/>
            <w:noWrap w:val="0"/>
            <w:vAlign w:val="center"/>
          </w:tcPr>
          <w:p w14:paraId="78961AE8">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付款方式：</w:t>
            </w:r>
          </w:p>
        </w:tc>
      </w:tr>
      <w:tr w14:paraId="1300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653FE981">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8558" w:type="dxa"/>
            <w:noWrap w:val="0"/>
            <w:vAlign w:val="center"/>
          </w:tcPr>
          <w:p w14:paraId="24C152C4">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履约保证金及其返还：</w:t>
            </w:r>
          </w:p>
        </w:tc>
      </w:tr>
      <w:tr w14:paraId="1AA0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456" w:type="dxa"/>
            <w:noWrap w:val="0"/>
            <w:vAlign w:val="center"/>
          </w:tcPr>
          <w:p w14:paraId="5CE69765">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8558" w:type="dxa"/>
            <w:noWrap w:val="0"/>
            <w:vAlign w:val="center"/>
          </w:tcPr>
          <w:p w14:paraId="433EA723">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□违约金约定：</w:t>
            </w:r>
          </w:p>
          <w:p w14:paraId="0CB68683">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□损失赔偿约定：</w:t>
            </w:r>
          </w:p>
        </w:tc>
      </w:tr>
      <w:tr w14:paraId="7F944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4F263B22">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13</w:t>
            </w:r>
          </w:p>
        </w:tc>
        <w:tc>
          <w:tcPr>
            <w:tcW w:w="8558" w:type="dxa"/>
            <w:noWrap w:val="0"/>
            <w:vAlign w:val="center"/>
          </w:tcPr>
          <w:p w14:paraId="5A7496BF">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误期赔偿费约定：如果乙方没有按照合同规定的时间交货和提供服务，甲方有权从货款或履约保证金中扣除误期赔偿费而不影响合同项下的其他补救方法。赔偿费按每日加收合同金额的0.5%(各单位可根据实际情况重新设定)计收，直至交货或提供服务为止。但误期赔偿费的最高限额不超过合同价的15%(各单位可根据实际情况重新设定)。</w:t>
            </w:r>
          </w:p>
        </w:tc>
      </w:tr>
      <w:tr w14:paraId="0BA45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noWrap w:val="0"/>
            <w:vAlign w:val="center"/>
          </w:tcPr>
          <w:p w14:paraId="0CC896A2">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14</w:t>
            </w:r>
          </w:p>
        </w:tc>
        <w:tc>
          <w:tcPr>
            <w:tcW w:w="8558" w:type="dxa"/>
            <w:noWrap w:val="0"/>
            <w:vAlign w:val="center"/>
          </w:tcPr>
          <w:p w14:paraId="4AB3D331">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合同履行期限：自合同生效之日起至合同全部权利义务履行完毕之日止。</w:t>
            </w:r>
          </w:p>
        </w:tc>
      </w:tr>
      <w:tr w14:paraId="50ADC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456" w:type="dxa"/>
            <w:noWrap w:val="0"/>
            <w:vAlign w:val="center"/>
          </w:tcPr>
          <w:p w14:paraId="6FCDA8E6">
            <w:pPr>
              <w:pStyle w:val="7"/>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15</w:t>
            </w:r>
          </w:p>
        </w:tc>
        <w:tc>
          <w:tcPr>
            <w:tcW w:w="8558" w:type="dxa"/>
            <w:noWrap w:val="0"/>
            <w:vAlign w:val="center"/>
          </w:tcPr>
          <w:p w14:paraId="46585ACA">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合同纠纷的解决方式：</w:t>
            </w:r>
          </w:p>
          <w:p w14:paraId="3EF7DEBC">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首先通过双方协商解决，协商解决不成，则通过以下途径之一解决纠纷(请在方框内画“√”选择)：</w:t>
            </w:r>
          </w:p>
          <w:p w14:paraId="52013F23">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□提请______仲裁委员会按照仲裁程序在______(仲裁地)仲裁</w:t>
            </w:r>
          </w:p>
          <w:p w14:paraId="47CB57A4">
            <w:pPr>
              <w:pStyle w:val="7"/>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□向甲方所在地人民法院提起诉讼</w:t>
            </w:r>
          </w:p>
        </w:tc>
      </w:tr>
    </w:tbl>
    <w:p w14:paraId="20FDAFF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1.定义</w:t>
      </w:r>
    </w:p>
    <w:p w14:paraId="23CC30A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本合同下列术语应解释为：</w:t>
      </w:r>
    </w:p>
    <w:p w14:paraId="0835555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　“甲方”是指采购人。</w:t>
      </w:r>
    </w:p>
    <w:p w14:paraId="73B69EF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　“乙方”是指中标人。</w:t>
      </w:r>
    </w:p>
    <w:p w14:paraId="721675D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  “见证方”是指采购代理机构。</w:t>
      </w:r>
    </w:p>
    <w:p w14:paraId="1D8B1EB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　“合同”系指甲乙双方签署的、合同中载明的甲乙双方所达成的协议，包括所有的附件、附录和上述文件所提到的构成合同的所有文件。</w:t>
      </w:r>
    </w:p>
    <w:p w14:paraId="2B73E78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　“货物”是指根据本合同规定，乙方按照招标(采购)、投标文件，向甲方提供符合要求的全部产品，包括一切设备、机械、仪器仪表、备品备件、工具及与信息处理和交流有关的硬件、软件以及所有有关的文件等。</w:t>
      </w:r>
    </w:p>
    <w:p w14:paraId="0400B4F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　“服务”是指根据本合同规定，乙方承担与货物有关的相关服务，包括但不限于运输、保险、安装、调试、技术支持、质量保障、售后服务、培训和合同中规定乙方应承担的其他义务。</w:t>
      </w:r>
    </w:p>
    <w:p w14:paraId="4FE9321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　除非特别指出，“天”均为自然天。</w:t>
      </w:r>
    </w:p>
    <w:p w14:paraId="6710117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　合同标的标准</w:t>
      </w:r>
    </w:p>
    <w:p w14:paraId="3521997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　乙方为甲方交付的货物及服务应符合招标文件所述的内容，如果没有提及适用标准，则应符合相应的国家标准。这些标准必须是有关机构发布的最新版本的标准。</w:t>
      </w:r>
    </w:p>
    <w:p w14:paraId="04D96B1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　除非技术要求中另有规定，计量单位均采用中华人民共和国法定计量单位。</w:t>
      </w:r>
    </w:p>
    <w:p w14:paraId="4F6A284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　货物还应符合国家有关安全、环保、卫生的相关规定。</w:t>
      </w:r>
    </w:p>
    <w:p w14:paraId="2A1998D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　质量保证</w:t>
      </w:r>
    </w:p>
    <w:p w14:paraId="3C8908A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　乙方应保证所供货物是全新的、未使用过的，并完全符合或高于合同要求的质量、规格和技术性能的要求。</w:t>
      </w:r>
    </w:p>
    <w:p w14:paraId="1ECCC29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　乙方应保证其货物在正确安装、正常使用和保养条件下，在其使用寿命期内具有满意的性能，或者没有因乙方的行为或疏忽而产生的缺陷。在货物最终交付验收后不少于合同规定或乙方承诺(两者以较长的为准)的质量保证期内，本保证保持有效。</w:t>
      </w:r>
    </w:p>
    <w:p w14:paraId="735404B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281674C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3.4在质量保证期内所发现的缺陷，甲方应尽快以书面形式通知乙方。</w:t>
      </w:r>
    </w:p>
    <w:p w14:paraId="099632D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3.5　乙方收到通知后应在本合同规定的响应时间内以合理的速度免费维修或更换有缺陷的货物或部件。</w:t>
      </w:r>
    </w:p>
    <w:p w14:paraId="4678504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3.6　在质量保证期内，如果货物的质量或规格与合同不符，或证实货物是有缺陷的，包括潜在的缺陷或使用不符合要求的材料等，甲方可以根据本合同第10.1条规定以书面形式向乙方提出补救措施或索赔。</w:t>
      </w:r>
    </w:p>
    <w:p w14:paraId="73BE95A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3.7　乙方在约定的时间内未能弥补缺陷，甲方可采取必要的补救措施，但其风险和费用将由乙方承担，甲方根据合同规定对乙方行使的其他权利不受影响。</w:t>
      </w:r>
    </w:p>
    <w:p w14:paraId="0AFE7FE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3.8　本合同的质量保证期见合同条款前附表。</w:t>
      </w:r>
    </w:p>
    <w:p w14:paraId="72EF079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4.包装要求</w:t>
      </w:r>
    </w:p>
    <w:p w14:paraId="3695C87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4.1　除合同另有规定外，乙方提供的全部货物均应按标准保护措施进行包装，这类包装应适应于远距离运输、防潮、防震、防锈和防野蛮装卸，以确保货物安全无损运抵指定现场。</w:t>
      </w:r>
    </w:p>
    <w:p w14:paraId="495272F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　乙方应承担由于其包装或防护措施不当而引起的货物损坏和丢失的任何损失责任和费用。</w:t>
      </w:r>
    </w:p>
    <w:p w14:paraId="7E3676B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4.3　每一个包装箱内应附一份详细装箱单和质量证书。</w:t>
      </w:r>
    </w:p>
    <w:p w14:paraId="334C2DD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5.知识产权</w:t>
      </w:r>
    </w:p>
    <w:p w14:paraId="4E07D165">
      <w:pPr>
        <w:pStyle w:val="16"/>
        <w:spacing w:line="360" w:lineRule="auto"/>
        <w:ind w:firstLine="480"/>
        <w:rPr>
          <w:rFonts w:hint="eastAsia" w:ascii="宋体" w:hAnsi="宋体" w:eastAsia="宋体" w:cs="宋体"/>
          <w:color w:val="auto"/>
          <w:kern w:val="2"/>
          <w:sz w:val="24"/>
          <w:szCs w:val="24"/>
          <w:lang w:val="en-US" w:eastAsia="ko-KR" w:bidi="ar-SA"/>
        </w:rPr>
      </w:pPr>
      <w:r>
        <w:rPr>
          <w:rFonts w:hint="eastAsia" w:ascii="宋体" w:hAnsi="宋体" w:eastAsia="宋体" w:cs="宋体"/>
          <w:color w:val="auto"/>
          <w:kern w:val="2"/>
          <w:sz w:val="24"/>
          <w:szCs w:val="24"/>
          <w:lang w:val="en-US" w:eastAsia="ko-KR" w:bidi="ar-SA"/>
        </w:rPr>
        <w:t xml:space="preserve"> </w:t>
      </w:r>
      <w:r>
        <w:rPr>
          <w:rFonts w:hint="eastAsia" w:ascii="宋体" w:hAnsi="宋体" w:eastAsia="宋体" w:cs="宋体"/>
          <w:color w:val="auto"/>
          <w:kern w:val="2"/>
          <w:sz w:val="24"/>
          <w:szCs w:val="24"/>
          <w:lang w:val="en-US" w:eastAsia="zh-CN" w:bidi="ar-SA"/>
        </w:rPr>
        <w:t>5.1（1）</w:t>
      </w:r>
      <w:r>
        <w:rPr>
          <w:rFonts w:hint="eastAsia" w:ascii="宋体" w:hAnsi="宋体" w:eastAsia="宋体" w:cs="宋体"/>
          <w:color w:val="auto"/>
          <w:kern w:val="2"/>
          <w:sz w:val="24"/>
          <w:szCs w:val="24"/>
          <w:lang w:val="en-US" w:eastAsia="ko-KR" w:bidi="ar-SA"/>
        </w:rPr>
        <w:t>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71285601">
      <w:pPr>
        <w:pStyle w:val="16"/>
        <w:spacing w:line="360" w:lineRule="auto"/>
        <w:ind w:firstLine="480"/>
        <w:rPr>
          <w:rFonts w:hint="eastAsia" w:ascii="宋体" w:hAnsi="宋体" w:eastAsia="宋体" w:cs="宋体"/>
          <w:color w:val="auto"/>
          <w:kern w:val="2"/>
          <w:sz w:val="24"/>
          <w:szCs w:val="24"/>
          <w:lang w:val="en-US" w:eastAsia="ko-KR" w:bidi="ar-SA"/>
        </w:rPr>
      </w:pPr>
      <w:r>
        <w:rPr>
          <w:rFonts w:hint="eastAsia" w:ascii="宋体" w:hAnsi="宋体" w:eastAsia="宋体" w:cs="宋体"/>
          <w:color w:val="auto"/>
          <w:kern w:val="2"/>
          <w:sz w:val="24"/>
          <w:szCs w:val="24"/>
          <w:lang w:val="en-US" w:eastAsia="ko-KR" w:bidi="ar-SA"/>
        </w:rPr>
        <w:t xml:space="preserve"> </w:t>
      </w:r>
      <w:r>
        <w:rPr>
          <w:rFonts w:hint="eastAsia" w:ascii="宋体" w:hAnsi="宋体" w:eastAsia="宋体" w:cs="宋体"/>
          <w:color w:val="auto"/>
          <w:kern w:val="2"/>
          <w:sz w:val="24"/>
          <w:szCs w:val="24"/>
          <w:lang w:val="en-US" w:eastAsia="zh-CN" w:bidi="ar-SA"/>
        </w:rPr>
        <w:t xml:space="preserve">  （2）</w:t>
      </w:r>
      <w:r>
        <w:rPr>
          <w:rFonts w:hint="eastAsia" w:ascii="宋体" w:hAnsi="宋体" w:eastAsia="宋体" w:cs="宋体"/>
          <w:color w:val="auto"/>
          <w:kern w:val="2"/>
          <w:sz w:val="24"/>
          <w:szCs w:val="24"/>
          <w:lang w:val="en-US" w:eastAsia="ko-KR" w:bidi="ar-SA"/>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1CF4A1D0">
      <w:pPr>
        <w:pStyle w:val="16"/>
        <w:spacing w:line="360" w:lineRule="auto"/>
        <w:ind w:firstLine="960" w:firstLineChars="400"/>
        <w:rPr>
          <w:rFonts w:hint="eastAsia" w:ascii="宋体" w:hAnsi="宋体" w:eastAsia="宋体" w:cs="宋体"/>
          <w:color w:val="auto"/>
          <w:kern w:val="2"/>
          <w:sz w:val="24"/>
          <w:szCs w:val="24"/>
          <w:lang w:val="en-US" w:eastAsia="ko-KR" w:bidi="ar-SA"/>
        </w:rPr>
      </w:pP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kern w:val="2"/>
          <w:sz w:val="24"/>
          <w:szCs w:val="24"/>
          <w:lang w:val="en-US" w:eastAsia="ko-KR" w:bidi="ar-SA"/>
        </w:rPr>
        <w:t>如采用投标人所不拥有的知识产权，则在投标报价中必须包括合法使用该知识产权的相关费用。</w:t>
      </w:r>
    </w:p>
    <w:p w14:paraId="3CEECCB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29E4EC2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5.3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0A9C56B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6.权利瑕疵担保</w:t>
      </w:r>
    </w:p>
    <w:p w14:paraId="51FBD7F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6.1　乙方保证对其出售的货物享有合法的权利。</w:t>
      </w:r>
    </w:p>
    <w:p w14:paraId="16C33B3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6.2　乙方保证在其出售的货物上不存在任何未曾向甲方透露的担保物权，如抵押权、质押权、留置权等。</w:t>
      </w:r>
    </w:p>
    <w:p w14:paraId="34586AF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6.3　如甲方使用该货物构成上述侵权的，则由乙方承担全部责任。</w:t>
      </w:r>
    </w:p>
    <w:p w14:paraId="6690888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7.保密义务</w:t>
      </w:r>
    </w:p>
    <w:p w14:paraId="52496CD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7.1　甲乙双方在采购和履行合同过程中所获悉的对方属于保密的内容，双方均有保密义务。</w:t>
      </w:r>
    </w:p>
    <w:p w14:paraId="5FE43D1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8.履约保证金</w:t>
      </w:r>
    </w:p>
    <w:p w14:paraId="541CC1B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8.1　乙方应以银行转账等非现金形式向甲方提供。乙方以银行、保险公司出具保函形式提交履约保证金的，甲方不得拒收。</w:t>
      </w:r>
    </w:p>
    <w:p w14:paraId="2E72AAF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8.2　履约保证金具体金额及返还要求见合同条款前附表。</w:t>
      </w:r>
    </w:p>
    <w:p w14:paraId="62E2DC1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8.3　如乙方未能履行合同规定的义务，甲方有权按照本合同的约定从履约保证金中进行相应扣除。乙方应在甲方扣除履约保证金后15天内，及时补充扣除部分金额。</w:t>
      </w:r>
    </w:p>
    <w:p w14:paraId="66D9C1E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8.4　乙方不履行合同，或者履行合同义务不符合约定使得合同目的不能实现，履约保证金不予退还，给甲方造成的损失超过履约保证金数额的，还应当对超过部分予以赔偿。</w:t>
      </w:r>
    </w:p>
    <w:p w14:paraId="14E151D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9.交货与验收</w:t>
      </w:r>
    </w:p>
    <w:p w14:paraId="76F936A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9.1　交货地点：合同条款前附表指定地点。</w:t>
      </w:r>
    </w:p>
    <w:p w14:paraId="41345DD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9.2　交货时间：合同条款前附表指定时间。</w:t>
      </w:r>
    </w:p>
    <w:p w14:paraId="0ABB8D5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9.3　甲方在收到乙方交付的货物后应当及时组织验收。</w:t>
      </w:r>
    </w:p>
    <w:p w14:paraId="414ABCE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9.4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5060D6C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　在验收过程中发现数量不足或有质量、技术等问题，乙方应按照合同要求采取补足、更换或退货等处理措施，并承担由此发生的一切费用和损失。</w:t>
      </w:r>
    </w:p>
    <w:p w14:paraId="30CE7CA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9.6　甲方对货物进行检查验收合格后，应当及时履行验收手续。</w:t>
      </w:r>
    </w:p>
    <w:p w14:paraId="0A197E90">
      <w:pPr>
        <w:pStyle w:val="7"/>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9.7　大型或者复杂的货物采购项目，甲方可以邀请国家认可的质量检测机构参加验收工作，并由其出具验收报告。</w:t>
      </w:r>
    </w:p>
    <w:p w14:paraId="3AEE68D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9.8  在履约验收环节，乙方须按照《商品包装政府采购需求标准（试行）《快递包装政府采购需求标准（试行）》的环保要求出具检测报告。</w:t>
      </w:r>
    </w:p>
    <w:p w14:paraId="1DE4E14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10.违约责任</w:t>
      </w:r>
    </w:p>
    <w:p w14:paraId="48A55EA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10.1　质量缺陷的补救措施和索赔</w:t>
      </w:r>
    </w:p>
    <w:p w14:paraId="0DC3F5C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6A86C1F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①乙方同意退货并将货款退还给甲方，由此发生的一切费用和损失由乙方承担。如甲方以适当的条件和方法购买与未履约标的相类似的货物，乙方应负担新购买类似货物所超出的费用。</w:t>
      </w:r>
    </w:p>
    <w:p w14:paraId="0F5506A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②根据货物的质量状况以及甲方所遭受的损失，经过甲乙双方商定降低货物的价格。</w:t>
      </w:r>
    </w:p>
    <w:p w14:paraId="44833D7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20F201C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或者没收履约保证金，如不足以弥补甲方损失的，甲方有权进一步要求乙方赔偿。</w:t>
      </w:r>
    </w:p>
    <w:p w14:paraId="2DFD3C2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　迟延交货的违约责任</w:t>
      </w:r>
    </w:p>
    <w:p w14:paraId="48FEC16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(1)乙方应按照本合同规定的时间、地点交货和提供服务。</w:t>
      </w:r>
    </w:p>
    <w:p w14:paraId="6EC7E39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3DCD498C">
      <w:pPr>
        <w:pStyle w:val="7"/>
        <w:spacing w:line="360" w:lineRule="auto"/>
        <w:ind w:firstLine="456" w:firstLineChars="200"/>
        <w:rPr>
          <w:rFonts w:hint="eastAsia" w:ascii="宋体" w:hAnsi="宋体" w:eastAsia="宋体" w:cs="宋体"/>
          <w:color w:val="auto"/>
          <w:sz w:val="24"/>
          <w:szCs w:val="24"/>
        </w:rPr>
      </w:pPr>
      <w:r>
        <w:rPr>
          <w:rFonts w:hint="eastAsia" w:ascii="宋体" w:hAnsi="宋体" w:eastAsia="宋体" w:cs="宋体"/>
          <w:color w:val="auto"/>
          <w:spacing w:val="-6"/>
          <w:sz w:val="24"/>
          <w:szCs w:val="24"/>
        </w:rPr>
        <w:t>(3)除甲乙双方另有约定外，如果乙方没有按照合同规定的时间交货和提供服务，甲方有权从货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w:t>
      </w:r>
      <w:r>
        <w:rPr>
          <w:rFonts w:hint="eastAsia" w:ascii="宋体" w:hAnsi="宋体" w:eastAsia="宋体" w:cs="宋体"/>
          <w:color w:val="auto"/>
          <w:sz w:val="24"/>
          <w:szCs w:val="24"/>
        </w:rPr>
        <w:t>重新设定)。</w:t>
      </w:r>
    </w:p>
    <w:p w14:paraId="1EB6D2F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(4)如果乙方迟延交货超过30日，甲方有权终止全部或部分合同，并依其认为适当的条件和方法购买与未交货物类似的货物，乙方应负担购买类似货物所超出的费用。但是，乙方应继续执行合同中未终止的部分。</w:t>
      </w:r>
    </w:p>
    <w:p w14:paraId="785F8E14">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10.3　未履行合同义务的违约责任</w:t>
      </w:r>
    </w:p>
    <w:p w14:paraId="0E0D3BF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(1)守约方有权终止全部或部分合同。</w:t>
      </w:r>
    </w:p>
    <w:p w14:paraId="3CA6F22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(2)乙方违约的，甲方有权没收全额履约保证金。</w:t>
      </w:r>
    </w:p>
    <w:p w14:paraId="2A872CC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(3)由违约一方支付违约金，违约金标准见合同条款前附表(各单位可根据实际情况自行约定)。</w:t>
      </w:r>
    </w:p>
    <w:p w14:paraId="6FFF047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(4)违约金不足以弥补守约方实际损失、可预见或者应当预见的损失，由违约方全额予以赔偿。</w:t>
      </w:r>
    </w:p>
    <w:p w14:paraId="4900B0B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11.不可抗力</w:t>
      </w:r>
    </w:p>
    <w:p w14:paraId="16BE951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　如果合同双方因不可抗力而导致合同实施延误或合同无法实施，不应该承担误期赔偿或不能履行合同义务的责任。</w:t>
      </w:r>
    </w:p>
    <w:p w14:paraId="5F96B2D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　本条所述的“不可抗力”系指那些双方不可预见、不可避免、不可克服的客观情况，但不包括双方的违约或疏忽。这些事件包括但不限于：战争、严重火灾、洪水、台风、地震等。</w:t>
      </w:r>
    </w:p>
    <w:p w14:paraId="172C85B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68F7BA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12.合同纠纷的解决方式</w:t>
      </w:r>
    </w:p>
    <w:p w14:paraId="2F4C3CC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12.1　合同各方应通过友好协商，解决在执行合同过程中所发生的或与合同有关的一切争端。如协商30日内(根据实际情况设定)不能解决，可以按合同规定的方式提起仲裁或诉讼。</w:t>
      </w:r>
    </w:p>
    <w:p w14:paraId="4B41722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　仲裁裁决应为最终裁决，对双方均具有约束力。</w:t>
      </w:r>
    </w:p>
    <w:p w14:paraId="0C981E3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12.3　仲裁费除仲裁机关另有裁决外应由败诉方负担。</w:t>
      </w:r>
    </w:p>
    <w:p w14:paraId="068F704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12.4　诉讼应由甲方住所地人民法院管辖。财产保全担保保险费、财产保全申请费、律师代理费、差旅费、评估费、鉴定费及诉讼费等与仲裁或诉讼活动相关费用应由败诉方负担。</w:t>
      </w:r>
    </w:p>
    <w:p w14:paraId="7FD29ED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12.5　如仲裁或诉讼事项不影响合同其他部分的履行，则在仲裁或诉讼期间，除正在进行仲裁或诉讼的部分外，合同的其他部分应继续执行。</w:t>
      </w:r>
    </w:p>
    <w:p w14:paraId="7C27D8E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13.合同修改或变更</w:t>
      </w:r>
    </w:p>
    <w:p w14:paraId="47F44F8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13.1　如无重大变故，甲方双方不得擅自变更合同。</w:t>
      </w:r>
    </w:p>
    <w:p w14:paraId="1196AB8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13.2　如确需变更合同，甲乙双方应签署书面变更协议。变更协议为本合同不可分割的一部分。</w:t>
      </w:r>
    </w:p>
    <w:p w14:paraId="61E4DE1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13.3　在不改变合同其他条款的前提下，甲方有权在合同价款10%的范围内追加与合同标的相同的货物或服务，并就此与乙方签订补充合同，乙方不得拒绝。</w:t>
      </w:r>
    </w:p>
    <w:p w14:paraId="3D6D373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14.合同中止</w:t>
      </w:r>
    </w:p>
    <w:p w14:paraId="6C50DA3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14.1　合同在履行过程中，因采购计划调整，甲方可以要求中止履行，待计划确定后继续履行；合同履行过程中因</w:t>
      </w:r>
      <w:r>
        <w:rPr>
          <w:rFonts w:hint="eastAsia" w:ascii="宋体" w:hAnsi="宋体" w:eastAsia="宋体" w:cs="宋体"/>
          <w:color w:val="auto"/>
          <w:kern w:val="0"/>
          <w:sz w:val="24"/>
          <w:szCs w:val="24"/>
        </w:rPr>
        <w:t>投标人</w:t>
      </w:r>
      <w:r>
        <w:rPr>
          <w:rFonts w:hint="eastAsia" w:ascii="宋体" w:hAnsi="宋体" w:eastAsia="宋体" w:cs="宋体"/>
          <w:color w:val="auto"/>
          <w:sz w:val="24"/>
          <w:szCs w:val="24"/>
        </w:rPr>
        <w:t>就采购过程或结果提起投诉的，甲方认为有必要或财政部门责令中止的，应当中止合同的履行。</w:t>
      </w:r>
    </w:p>
    <w:p w14:paraId="63C567E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15.终止合同</w:t>
      </w:r>
    </w:p>
    <w:p w14:paraId="74121E0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15.1　若出现如下情形，在甲方对乙方违约行为而采取的任何补救措施不受影响的情况下，甲方可向乙方发出书面通知书，提出终止部分或全部合同：</w:t>
      </w:r>
    </w:p>
    <w:p w14:paraId="15C63B9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(1)如果乙方未能在合同规定的期限或甲方同意延长的期限内提供货物或服务；</w:t>
      </w:r>
    </w:p>
    <w:p w14:paraId="17C1825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(2)如果乙方未能履行合同规定的其他任何义务，出现两次服务达不到承诺标准情况，甲方有权终止合同；</w:t>
      </w:r>
    </w:p>
    <w:p w14:paraId="283E5CA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(3)如果甲方认为乙方在本合同的竞争或实施中有腐败和欺诈行为。</w:t>
      </w:r>
    </w:p>
    <w:p w14:paraId="7F1707B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14:paraId="3830004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16.破产终止合同</w:t>
      </w:r>
    </w:p>
    <w:p w14:paraId="1370895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　如果乙方破产或无清偿能力，甲方可在任何时候以书面形式通知乙方终止合同而不给乙方补偿。</w:t>
      </w:r>
    </w:p>
    <w:p w14:paraId="0CA1A40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16.2　该终止行为将不损害或影响甲方已经采取或将要采取的任何行动或补救措施的权利。</w:t>
      </w:r>
    </w:p>
    <w:p w14:paraId="26C3461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17.其他终止合同情况</w:t>
      </w:r>
    </w:p>
    <w:p w14:paraId="2355B10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17.1　若合同继续履行将给甲方造成重大损失的，甲方可以终止合同而不给予乙方任何补偿。</w:t>
      </w:r>
    </w:p>
    <w:p w14:paraId="1E8A99D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17.2　乙方在执行合同的过程中发生重大事故，对履行合同有直接影响的，甲方可以终止合同而不给予乙方任何补偿。</w:t>
      </w:r>
    </w:p>
    <w:p w14:paraId="5D20A64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17.3　甲方因重大变故取消或部分取消原来的采购任务，导致合同全部或部分内容无须继续履行的，可以终止合同而不给予乙方任何补偿。</w:t>
      </w:r>
    </w:p>
    <w:p w14:paraId="4DFFFDE9">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18.合同转让和分包</w:t>
      </w:r>
    </w:p>
    <w:p w14:paraId="79033B1C">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18.1　乙方不得以任何形式将合同转包，或部分或全部转让其应履行的合同义务。</w:t>
      </w:r>
    </w:p>
    <w:p w14:paraId="0D96D2F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18.2　除经甲方事先书面同意外，乙方不得以任何形式将合同分包。</w:t>
      </w:r>
    </w:p>
    <w:p w14:paraId="73DAFE7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19.适用法律</w:t>
      </w:r>
    </w:p>
    <w:p w14:paraId="7192010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19.1　本合同适用中华人民共和国现行法律、行政法规和规章，如合同条款与法律、行政法规和规章不一致的，按照法律、行政法规和规章修改本合同。</w:t>
      </w:r>
    </w:p>
    <w:p w14:paraId="2026C51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20.合同语言</w:t>
      </w:r>
    </w:p>
    <w:p w14:paraId="090C1AF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20.1　本合同语言为中文。</w:t>
      </w:r>
    </w:p>
    <w:p w14:paraId="7677C58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20.2　双方交换的与合同有关的信件和其他文件应用合同语言书写。</w:t>
      </w:r>
    </w:p>
    <w:p w14:paraId="01E8098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21.合同生效</w:t>
      </w:r>
    </w:p>
    <w:p w14:paraId="09731E1E">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21.1　本合同应在双方签字盖章和甲方收到乙方提供的履约保证金后生效。</w:t>
      </w:r>
    </w:p>
    <w:p w14:paraId="52A501C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22.合同效力</w:t>
      </w:r>
    </w:p>
    <w:p w14:paraId="34A40A23">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22.1　除本合同和甲乙双方书面签署的补充协议外，其他任何形式的双方约定和往来函件均不具有法律效力，对本项目无约束力。</w:t>
      </w:r>
    </w:p>
    <w:p w14:paraId="4D82A88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23.检查和审计</w:t>
      </w:r>
    </w:p>
    <w:p w14:paraId="799C6BE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23.1在本合同的履行过程中，甲方有权对乙方的合同履约情况进行阶段性检查，并对乙方投标时提供的相关资料进行复核。</w:t>
      </w:r>
    </w:p>
    <w:p w14:paraId="4110BBAB">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23.2　在本合同的履行过程中，如果甲乙双方发生争议或者乙方没有按照合同约定履行义务，乙方应允许甲方检查乙方与实施本合同有关的账户和记录，并由甲方指定的审计人员对其进行审计。</w:t>
      </w:r>
      <w:bookmarkStart w:id="0" w:name="_GoBack"/>
      <w:bookmarkEnd w:id="0"/>
    </w:p>
    <w:p w14:paraId="612AFD4D">
      <w:pPr>
        <w:spacing w:line="360" w:lineRule="auto"/>
        <w:rPr>
          <w:rFonts w:hint="eastAsia" w:ascii="宋体" w:hAnsi="宋体" w:eastAsia="宋体" w:cs="宋体"/>
          <w:color w:val="auto"/>
          <w:sz w:val="24"/>
          <w:szCs w:val="24"/>
        </w:rPr>
      </w:pPr>
    </w:p>
    <w:p w14:paraId="23CD9C43">
      <w:pPr>
        <w:pStyle w:val="16"/>
        <w:rPr>
          <w:rFonts w:hint="default" w:ascii="宋体" w:hAnsi="宋体" w:eastAsia="宋体" w:cs="宋体"/>
        </w:rPr>
      </w:pPr>
      <w:r>
        <w:rPr>
          <w:rFonts w:ascii="宋体" w:hAnsi="宋体" w:eastAsia="宋体" w:cs="宋体"/>
        </w:rPr>
        <w:t xml:space="preserve"> </w:t>
      </w:r>
    </w:p>
    <w:p w14:paraId="3C461AEC"/>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CE9663A"/>
    <w:rsid w:val="264F0079"/>
    <w:rsid w:val="329A7F81"/>
    <w:rsid w:val="36DE2219"/>
    <w:rsid w:val="38DE590C"/>
    <w:rsid w:val="403B217E"/>
    <w:rsid w:val="4AA86BE1"/>
    <w:rsid w:val="58BC239B"/>
    <w:rsid w:val="5B895A3B"/>
    <w:rsid w:val="64DF3A6C"/>
    <w:rsid w:val="68064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qFormat/>
    <w:uiPriority w:val="1"/>
    <w:pPr>
      <w:ind w:left="100" w:firstLine="420"/>
    </w:pPr>
    <w:rPr>
      <w:rFonts w:ascii="宋体" w:hAnsi="宋体" w:eastAsia="宋体" w:cs="宋体"/>
    </w:rPr>
  </w:style>
  <w:style w:type="paragraph" w:customStyle="1" w:styleId="15">
    <w:name w:val="Table Paragraph"/>
    <w:basedOn w:val="1"/>
    <w:qFormat/>
    <w:uiPriority w:val="1"/>
    <w:rPr>
      <w:rFonts w:ascii="宋体" w:hAnsi="宋体" w:eastAsia="宋体" w:cs="宋体"/>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6235</Words>
  <Characters>6623</Characters>
  <Lines>0</Lines>
  <Paragraphs>0</Paragraphs>
  <TotalTime>2</TotalTime>
  <ScaleCrop>false</ScaleCrop>
  <LinksUpToDate>false</LinksUpToDate>
  <CharactersWithSpaces>6901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欢欢</cp:lastModifiedBy>
  <dcterms:modified xsi:type="dcterms:W3CDTF">2026-05-09T06:40:55Z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1C5C188EE19943F0A7F30E53E3656961_12</vt:lpwstr>
  </property>
  <property fmtid="{D5CDD505-2E9C-101B-9397-08002B2CF9AE}" pid="4" name="KSOTemplateDocerSaveRecord">
    <vt:lpwstr>eyJoZGlkIjoiMDQ2ZGM3MjY5N2IwZDg5OWU0OTJmNGFhNzNkZWFlMzYiLCJ1c2VySWQiOiIyNDYyOTI0MjEifQ==</vt:lpwstr>
  </property>
</Properties>
</file>