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版本号：YSGS-2026ZB042120260602002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西安市灞桥区2026年中央水利发展资金山洪灾害防治项目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YSGS-2026ZB0421</w:t>
      </w:r>
      <w:r>
        <w:br/>
      </w:r>
      <w:r>
        <w:br/>
      </w:r>
      <w:r>
        <w:br/>
      </w:r>
    </w:p>
    <w:p>
      <w:pPr>
        <w:pStyle w:val="null3"/>
        <w:jc w:val="center"/>
        <w:outlineLvl w:val="2"/>
      </w:pPr>
      <w:r>
        <w:rPr>
          <w:rFonts w:ascii="仿宋_GB2312" w:hAnsi="仿宋_GB2312" w:cs="仿宋_GB2312" w:eastAsia="仿宋_GB2312"/>
          <w:sz w:val="28"/>
          <w:b/>
        </w:rPr>
        <w:t>西安市灞桥区水务局</w:t>
      </w:r>
    </w:p>
    <w:p>
      <w:pPr>
        <w:pStyle w:val="null3"/>
        <w:jc w:val="center"/>
        <w:outlineLvl w:val="2"/>
      </w:pPr>
      <w:r>
        <w:rPr>
          <w:rFonts w:ascii="仿宋_GB2312" w:hAnsi="仿宋_GB2312" w:cs="仿宋_GB2312" w:eastAsia="仿宋_GB2312"/>
          <w:sz w:val="28"/>
          <w:b/>
        </w:rPr>
        <w:t>陕西衍森项目管理有限公司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陕西衍森项目管理有限公司</w:t>
      </w:r>
      <w:r>
        <w:rPr>
          <w:rFonts w:ascii="仿宋_GB2312" w:hAnsi="仿宋_GB2312" w:cs="仿宋_GB2312" w:eastAsia="仿宋_GB2312"/>
        </w:rPr>
        <w:t>（以下简称“代理机构”）受</w:t>
      </w:r>
      <w:r>
        <w:rPr>
          <w:rFonts w:ascii="仿宋_GB2312" w:hAnsi="仿宋_GB2312" w:cs="仿宋_GB2312" w:eastAsia="仿宋_GB2312"/>
        </w:rPr>
        <w:t>西安市灞桥区水务局</w:t>
      </w:r>
      <w:r>
        <w:rPr>
          <w:rFonts w:ascii="仿宋_GB2312" w:hAnsi="仿宋_GB2312" w:cs="仿宋_GB2312" w:eastAsia="仿宋_GB2312"/>
        </w:rPr>
        <w:t>委托，拟对</w:t>
      </w:r>
      <w:r>
        <w:rPr>
          <w:rFonts w:ascii="仿宋_GB2312" w:hAnsi="仿宋_GB2312" w:cs="仿宋_GB2312" w:eastAsia="仿宋_GB2312"/>
        </w:rPr>
        <w:t>西安市灞桥区2026年中央水利发展资金山洪灾害防治项目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YSGS-2026ZB0421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西安市灞桥区2026年中央水利发展资金山洪灾害防治项目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⼀、项⽬概况 灞桥区辖区下共7个街道办，涉及⼭洪灾害的街办有洪庆街办、红旗街办，狄寨街办以及席王街办，其中⼭洪灾害致灾点主要是集中在洪庆街办，本次主要防御对象为洪庆街办栗沟村⼆组、燎原村及丁张胡村三组共三个⾃然村。 ⼆、服务内容(包括⼯作区域、⼯作内容等) 补充新建⾃动⾬量站2个、制作明⽩卡8张、制作宣传⼿册100本、宣传展板10个、铜锣10只、⼝哨20只、⼿摇报警器8个、⼿持扩⾳器8个、应急照明8把、⼭洪灾培训1场、⼭洪灾演练1场、区级预案修编1项、街办(乡)预案修编1项、村级预案修编2项、安置点标识牌1套、安置点指向标识牌1套、安置点责任⼈标识牌1套。</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采购包1（西安市灞桥区2026年中央水利发展资金山洪灾害防治项目）：属于专门面向中小企业采购。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承担⺠事责任能力的法人、其他组织或自然人，并出具合法有效的营业执照或事业单位法人证书等国家规定的相关证明，自然人参与的提供其身份证明；供应商需在项⽬电⼦化交易系统中按要求上传相应证明文件并进行电子章；</w:t>
      </w:r>
    </w:p>
    <w:p>
      <w:pPr>
        <w:pStyle w:val="null3"/>
      </w:pPr>
      <w:r>
        <w:rPr>
          <w:rFonts w:ascii="仿宋_GB2312" w:hAnsi="仿宋_GB2312" w:cs="仿宋_GB2312" w:eastAsia="仿宋_GB2312"/>
        </w:rPr>
        <w:t>2、法定代表人授权书：被授权人参与磋商的需提供法定代表人身份证明书及授权委托书；法定代表人或负责人直接参与磋商的，须出具法定代表人身份证明书；供应商需在项目电子化交易系统中按要求上传相应证明文件并进行电子签章；</w:t>
      </w:r>
    </w:p>
    <w:p>
      <w:pPr>
        <w:pStyle w:val="null3"/>
      </w:pPr>
      <w:r>
        <w:rPr>
          <w:rFonts w:ascii="仿宋_GB2312" w:hAnsi="仿宋_GB2312" w:cs="仿宋_GB2312" w:eastAsia="仿宋_GB2312"/>
        </w:rPr>
        <w:t>3、本项目不接受联合体响应，不允许分包：本项目不接受联合体响应，不允许分包:供应商应提供承诺书，供应商需在项目电子化交易系统中按要求上传相应证明文件并进行电子签章;</w:t>
      </w:r>
    </w:p>
    <w:p>
      <w:pPr>
        <w:pStyle w:val="null3"/>
      </w:pPr>
      <w:r>
        <w:rPr>
          <w:rFonts w:ascii="仿宋_GB2312" w:hAnsi="仿宋_GB2312" w:cs="仿宋_GB2312" w:eastAsia="仿宋_GB2312"/>
        </w:rPr>
        <w:t>4、参加政府采购活动前3年内在经营活动中没有重大违法记录：出具参加政府采购活动前3年内在经营活动中没有重大违法记录的书面声明；供应商需在项⽬电⼦化交易系统中按要求上传相应证明文件并进行电子签章；</w:t>
      </w:r>
    </w:p>
    <w:p>
      <w:pPr>
        <w:pStyle w:val="null3"/>
      </w:pPr>
      <w:r>
        <w:rPr>
          <w:rFonts w:ascii="仿宋_GB2312" w:hAnsi="仿宋_GB2312" w:cs="仿宋_GB2312" w:eastAsia="仿宋_GB2312"/>
        </w:rPr>
        <w:t>5、信用主体查询：信用主体查询：供应商应在中国执⾏信息公开网网站(http://zxgk.court.gov.cn/)中未列入失信被执行人，在信用中国网站(www.creditchina.gov.cn)中未列入重打税收违法失信主体，在中国政府采购网(w ww.ccgp.gov.cn)未被列入政府采购严重失信行为记录名单(处罚期限届满的除外，如相关失信记录已失效，供应商需提供相关证明资料；磋商当天代理公司核查为准，供应商无需提供)。</w:t>
      </w:r>
    </w:p>
    <w:p>
      <w:pPr>
        <w:pStyle w:val="null3"/>
      </w:pPr>
      <w:r>
        <w:rPr>
          <w:rFonts w:ascii="仿宋_GB2312" w:hAnsi="仿宋_GB2312" w:cs="仿宋_GB2312" w:eastAsia="仿宋_GB2312"/>
        </w:rPr>
        <w:t>6、财务状况报告：提供2025年度经审计的财务报告（成立时间⾄提交投标文件截止时间不足⼀年的可提供成⽴后任意时段的资产负债表），或提交开标日期前六个月内银⾏出具的资信证明，或信用担保机构出具的投标担保函（以上三种形式的资料提供任何⼀种即可）；供应商需在项目电子化交易系统中按要求上传相应证明文件并进行电子签章；</w:t>
      </w:r>
    </w:p>
    <w:p>
      <w:pPr>
        <w:pStyle w:val="null3"/>
      </w:pPr>
      <w:r>
        <w:rPr>
          <w:rFonts w:ascii="仿宋_GB2312" w:hAnsi="仿宋_GB2312" w:cs="仿宋_GB2312" w:eastAsia="仿宋_GB2312"/>
        </w:rPr>
        <w:t>7、社保缴纳证明：提供投标截止之日前近六个月内至少⼀个月的社会保障资⾦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8、税收缴纳证明：提供投标截止之日前近六个月内至少⼀个月的纳税证明或完税证明（增值税，印花税，城市维护建设费，企业所得税等⼀种或多种税种），依法免税的单位应提供相关证明材料；供应商需在项⽬电子化交易系统中按要求上传相应证明文件并进行电子签章；</w:t>
      </w:r>
    </w:p>
    <w:p>
      <w:pPr>
        <w:pStyle w:val="null3"/>
      </w:pPr>
      <w:r>
        <w:rPr>
          <w:rFonts w:ascii="仿宋_GB2312" w:hAnsi="仿宋_GB2312" w:cs="仿宋_GB2312" w:eastAsia="仿宋_GB2312"/>
        </w:rPr>
        <w:t>9、具有履行本合同所必需的设备和专业技术能力的声明：提供具有履行本合同所必需的设备和专业技术能力的声明；供应商需在项⽬电子化交易系统中按要求上传相应证明文件并进行电子签章；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西安市灞桥区水务局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纺一路809号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029-83510107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陕西衍森项目管理有限公司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陕西省西安市浐灞生态区欧亚大道3399号欧亚国际一期B座0712室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刘敏、白琪琪、张乐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18700871150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西安市灞桥区财政局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唐鹏翙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83519160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采购包1：111,000.00元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及《国家发展和改革委员会办公厅关于招标代理服务收费有关问题的通知》（发改办价格〔2003〕857号）文件中服务类收费标准收取，由中标（成交）供应商向采购代理机构支付。 账户信息：（账户名称：陕西衍森项目管理有限公司 开户行名称：平安银行西安分行营业部 银行账号：15122099180091）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西安市灞桥区水务局</w:t>
      </w:r>
      <w:r>
        <w:rPr>
          <w:rFonts w:ascii="仿宋_GB2312" w:hAnsi="仿宋_GB2312" w:cs="仿宋_GB2312" w:eastAsia="仿宋_GB2312"/>
        </w:rPr>
        <w:t>和</w:t>
      </w:r>
      <w:r>
        <w:rPr>
          <w:rFonts w:ascii="仿宋_GB2312" w:hAnsi="仿宋_GB2312" w:cs="仿宋_GB2312" w:eastAsia="仿宋_GB2312"/>
        </w:rPr>
        <w:t>陕西衍森项目管理有限公司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西安市灞桥区水务局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陕西衍森项目管理有限公司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西安市灞桥区水务局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陕西衍森项目管理有限公司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磋商文件、响应文件、澄清表（函）、本合同及其附件文本、国家及行业相应的标准和规范。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陕西衍森项目管理有限公司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陕西衍森项目管理有限公司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陕西衍森项目管理有限公司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联系人：刘敏、白琪琪、张乐</w:t>
      </w:r>
    </w:p>
    <w:p>
      <w:pPr>
        <w:pStyle w:val="null3"/>
      </w:pPr>
      <w:r>
        <w:rPr>
          <w:rFonts w:ascii="仿宋_GB2312" w:hAnsi="仿宋_GB2312" w:cs="仿宋_GB2312" w:eastAsia="仿宋_GB2312"/>
        </w:rPr>
        <w:t>联系电话：029-68325822</w:t>
      </w:r>
    </w:p>
    <w:p>
      <w:pPr>
        <w:pStyle w:val="null3"/>
      </w:pPr>
      <w:r>
        <w:rPr>
          <w:rFonts w:ascii="仿宋_GB2312" w:hAnsi="仿宋_GB2312" w:cs="仿宋_GB2312" w:eastAsia="仿宋_GB2312"/>
        </w:rPr>
        <w:t>地址：陕西省西安市浐灞生态区欧亚大道3399号欧亚国际一期B座0712室</w:t>
      </w:r>
    </w:p>
    <w:p>
      <w:pPr>
        <w:pStyle w:val="null3"/>
      </w:pPr>
      <w:r>
        <w:rPr>
          <w:rFonts w:ascii="仿宋_GB2312" w:hAnsi="仿宋_GB2312" w:cs="仿宋_GB2312" w:eastAsia="仿宋_GB2312"/>
        </w:rPr>
        <w:t>邮编：710024</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灞桥区辖区下共7个街道办，涉及山洪灾害的街办有洪庆街办、红旗街办，狄寨街办以及席王街办，其中⼭洪灾害致灾点主要是集中在洪庆街办，本次主要防御对象为洪庆街办栗沟村⼆组、燎原村及丁张胡村三组共三个⾃然村。补充新建⾃动⾬量站2个、制作明⽩卡8张、制作宣传⼿册100本、宣传展板10个、铜锣10只、⼝哨20只、⼿摇报警器8个、⼿持扩⾳器8个、应急照明8把、⼭洪灾培训1场、⼭洪灾演练1场、区级预案修编1项、街办(乡)预案修编1项、村级预案修编2项、安置点标识牌1套、安置点指向标识牌1套、安置点责任⼈标识牌1套。</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111,000.00</w:t>
      </w:r>
    </w:p>
    <w:p>
      <w:pPr>
        <w:pStyle w:val="null3"/>
      </w:pPr>
      <w:r>
        <w:rPr>
          <w:rFonts w:ascii="仿宋_GB2312" w:hAnsi="仿宋_GB2312" w:cs="仿宋_GB2312" w:eastAsia="仿宋_GB2312"/>
        </w:rPr>
        <w:t>采购包最高限价（元）: 111,000.00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西安市灞桥区2026年中央水利发展资金山洪灾害防治项目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111,000.00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标的名称：西安市灞桥区2026年中央水利发展资金山洪灾害防治项目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r>
              <w:br/>
            </w:r>
            <w:r>
              <w:rPr>
                <w:rFonts w:ascii="仿宋_GB2312" w:hAnsi="仿宋_GB2312" w:cs="仿宋_GB2312" w:eastAsia="仿宋_GB2312"/>
              </w:rPr>
              <w:t xml:space="preserve"> 灞桥区辖区下共7个街道办，涉及山洪灾害的街办有洪庆街办、红旗街办，狄寨街办以及席王街办，其中山洪灾害致灾点主要是集中在洪庆街办，本次主要防御对象为洪庆街办栗沟村二组、燎原村及丁张胡村三组共三个自然村。</w:t>
            </w:r>
            <w:r>
              <w:br/>
            </w:r>
            <w:r>
              <w:rPr>
                <w:rFonts w:ascii="仿宋_GB2312" w:hAnsi="仿宋_GB2312" w:cs="仿宋_GB2312" w:eastAsia="仿宋_GB2312"/>
              </w:rPr>
              <w:t xml:space="preserve"> 二、服务内容(包括工作区域、工作内容等)</w:t>
            </w:r>
            <w:r>
              <w:br/>
            </w:r>
            <w:r>
              <w:rPr>
                <w:rFonts w:ascii="仿宋_GB2312" w:hAnsi="仿宋_GB2312" w:cs="仿宋_GB2312" w:eastAsia="仿宋_GB2312"/>
              </w:rPr>
              <w:t xml:space="preserve"> （一）补充新建自动雨量站2个、制作明白卡8张、制作宣传手册100本、宣传展板10个、铜锣10只、口哨20只、手摇报警器8个、手持扩音器8个、应急照明8把、山洪灾培训1场、山洪灾演练1场、区级预案修编1项、街办(乡)预案修编1项、村级预案修编2项、安置点标识牌1套、安置点指向标识牌1套、安置点责任人标识牌1套。</w:t>
            </w:r>
          </w:p>
          <w:tbl>
            <w:tblPr>
              <w:tblInd w:type="dxa" w:w="120"/>
              <w:tblBorders>
                <w:top w:val="none" w:color="000000" w:sz="4"/>
                <w:left w:val="none" w:color="000000" w:sz="4"/>
                <w:bottom w:val="none" w:color="000000" w:sz="4"/>
                <w:right w:val="none" w:color="000000" w:sz="4"/>
                <w:insideH w:val="none"/>
                <w:insideV w:val="none"/>
              </w:tblBorders>
            </w:tblPr>
            <w:tblGrid>
              <w:gridCol w:w="199"/>
              <w:gridCol w:w="713"/>
              <w:gridCol w:w="1088"/>
              <w:gridCol w:w="259"/>
              <w:gridCol w:w="282"/>
            </w:tblGrid>
            <w:tr>
              <w:tc>
                <w:tcPr>
                  <w:tcW w:type="dxa" w:w="199"/>
                  <w:tcBorders>
                    <w:top w:val="single" w:color="000000" w:sz="8"/>
                    <w:left w:val="single" w:color="000000" w:sz="8"/>
                    <w:bottom w:val="single" w:color="000000" w:sz="4"/>
                    <w:right w:val="single" w:color="000000" w:sz="4"/>
                  </w:tcBorders>
                  <w:tcMar>
                    <w:top w:type="dxa" w:w="0"/>
                    <w:left w:type="dxa" w:w="0"/>
                    <w:bottom w:type="dxa" w:w="0"/>
                    <w:right w:type="dxa" w:w="0"/>
                  </w:tcMar>
                  <w:vAlign w:val="top"/>
                </w:tcPr>
                <w:p>
                  <w:pPr>
                    <w:pStyle w:val="null3"/>
                    <w:spacing w:before="60"/>
                    <w:ind w:left="105"/>
                    <w:jc w:val="center"/>
                  </w:pPr>
                  <w:r>
                    <w:rPr>
                      <w:rFonts w:ascii="仿宋_GB2312" w:hAnsi="仿宋_GB2312" w:cs="仿宋_GB2312" w:eastAsia="仿宋_GB2312"/>
                      <w:sz w:val="22"/>
                    </w:rPr>
                    <w:t>序号</w:t>
                  </w:r>
                </w:p>
              </w:tc>
              <w:tc>
                <w:tcPr>
                  <w:tcW w:type="dxa" w:w="713"/>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rPr>
                    <w:t>项目</w:t>
                  </w:r>
                </w:p>
              </w:tc>
              <w:tc>
                <w:tcPr>
                  <w:tcW w:type="dxa" w:w="1088"/>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rPr>
                    <w:t>规格</w:t>
                  </w:r>
                </w:p>
              </w:tc>
              <w:tc>
                <w:tcPr>
                  <w:tcW w:type="dxa" w:w="259"/>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20"/>
                    <w:jc w:val="center"/>
                  </w:pPr>
                  <w:r>
                    <w:rPr>
                      <w:rFonts w:ascii="仿宋_GB2312" w:hAnsi="仿宋_GB2312" w:cs="仿宋_GB2312" w:eastAsia="仿宋_GB2312"/>
                      <w:sz w:val="22"/>
                    </w:rPr>
                    <w:t>数量</w:t>
                  </w:r>
                </w:p>
              </w:tc>
              <w:tc>
                <w:tcPr>
                  <w:tcW w:type="dxa" w:w="282"/>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20"/>
                    <w:jc w:val="center"/>
                  </w:pPr>
                  <w:r>
                    <w:rPr>
                      <w:rFonts w:ascii="仿宋_GB2312" w:hAnsi="仿宋_GB2312" w:cs="仿宋_GB2312" w:eastAsia="仿宋_GB2312"/>
                      <w:sz w:val="22"/>
                    </w:rPr>
                    <w:t>单位</w:t>
                  </w:r>
                </w:p>
              </w:tc>
            </w:tr>
            <w:tr>
              <w:tc>
                <w:tcPr>
                  <w:tcW w:type="dxa" w:w="19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05"/>
                    <w:ind w:left="210"/>
                    <w:jc w:val="center"/>
                  </w:pPr>
                  <w:r>
                    <w:rPr>
                      <w:rFonts w:ascii="仿宋_GB2312" w:hAnsi="仿宋_GB2312" w:cs="仿宋_GB2312" w:eastAsia="仿宋_GB2312"/>
                      <w:sz w:val="22"/>
                    </w:rPr>
                    <w:t>1</w:t>
                  </w:r>
                </w:p>
              </w:tc>
              <w:tc>
                <w:tcPr>
                  <w:tcW w:type="dxa" w:w="7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rPr>
                    <w:t>制作明白卡</w:t>
                  </w:r>
                </w:p>
              </w:tc>
              <w:tc>
                <w:tcPr>
                  <w:tcW w:type="dxa" w:w="10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rPr>
                    <w:t>15cm×10cm</w:t>
                  </w:r>
                  <w:r>
                    <w:rPr>
                      <w:rFonts w:ascii="仿宋_GB2312" w:hAnsi="仿宋_GB2312" w:cs="仿宋_GB2312" w:eastAsia="仿宋_GB2312"/>
                    </w:rPr>
                    <w:t xml:space="preserve"> </w:t>
                  </w:r>
                  <w:r>
                    <w:rPr>
                      <w:rFonts w:ascii="仿宋_GB2312" w:hAnsi="仿宋_GB2312" w:cs="仿宋_GB2312" w:eastAsia="仿宋_GB2312"/>
                      <w:sz w:val="22"/>
                    </w:rPr>
                    <w:t>，不干胶油光硬卡纸单张</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285"/>
                    <w:jc w:val="center"/>
                  </w:pPr>
                  <w:r>
                    <w:rPr>
                      <w:rFonts w:ascii="仿宋_GB2312" w:hAnsi="仿宋_GB2312" w:cs="仿宋_GB2312" w:eastAsia="仿宋_GB2312"/>
                      <w:sz w:val="22"/>
                    </w:rPr>
                    <w:t>8</w:t>
                  </w:r>
                </w:p>
              </w:tc>
              <w:tc>
                <w:tcPr>
                  <w:tcW w:type="dxa" w:w="2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40"/>
                    <w:jc w:val="center"/>
                  </w:pPr>
                  <w:r>
                    <w:rPr>
                      <w:rFonts w:ascii="仿宋_GB2312" w:hAnsi="仿宋_GB2312" w:cs="仿宋_GB2312" w:eastAsia="仿宋_GB2312"/>
                      <w:sz w:val="22"/>
                    </w:rPr>
                    <w:t>张</w:t>
                  </w:r>
                </w:p>
              </w:tc>
            </w:tr>
            <w:tr>
              <w:tc>
                <w:tcPr>
                  <w:tcW w:type="dxa" w:w="19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05"/>
                    <w:ind w:left="210"/>
                    <w:jc w:val="center"/>
                  </w:pPr>
                  <w:r>
                    <w:rPr>
                      <w:rFonts w:ascii="仿宋_GB2312" w:hAnsi="仿宋_GB2312" w:cs="仿宋_GB2312" w:eastAsia="仿宋_GB2312"/>
                      <w:sz w:val="22"/>
                    </w:rPr>
                    <w:t>2</w:t>
                  </w:r>
                </w:p>
              </w:tc>
              <w:tc>
                <w:tcPr>
                  <w:tcW w:type="dxa" w:w="7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rPr>
                    <w:t>制作宣传手册</w:t>
                  </w:r>
                </w:p>
              </w:tc>
              <w:tc>
                <w:tcPr>
                  <w:tcW w:type="dxa" w:w="10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rPr>
                    <w:t>折页（三折页）</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95"/>
                    <w:jc w:val="center"/>
                  </w:pPr>
                  <w:r>
                    <w:rPr>
                      <w:rFonts w:ascii="仿宋_GB2312" w:hAnsi="仿宋_GB2312" w:cs="仿宋_GB2312" w:eastAsia="仿宋_GB2312"/>
                      <w:sz w:val="22"/>
                    </w:rPr>
                    <w:t>100</w:t>
                  </w:r>
                </w:p>
              </w:tc>
              <w:tc>
                <w:tcPr>
                  <w:tcW w:type="dxa" w:w="2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25"/>
                    <w:jc w:val="center"/>
                  </w:pPr>
                  <w:r>
                    <w:rPr>
                      <w:rFonts w:ascii="仿宋_GB2312" w:hAnsi="仿宋_GB2312" w:cs="仿宋_GB2312" w:eastAsia="仿宋_GB2312"/>
                      <w:sz w:val="22"/>
                    </w:rPr>
                    <w:t>本</w:t>
                  </w:r>
                </w:p>
              </w:tc>
            </w:tr>
            <w:tr>
              <w:tc>
                <w:tcPr>
                  <w:tcW w:type="dxa" w:w="19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05"/>
                    <w:ind w:left="210"/>
                    <w:jc w:val="center"/>
                  </w:pPr>
                  <w:r>
                    <w:rPr>
                      <w:rFonts w:ascii="仿宋_GB2312" w:hAnsi="仿宋_GB2312" w:cs="仿宋_GB2312" w:eastAsia="仿宋_GB2312"/>
                      <w:sz w:val="22"/>
                    </w:rPr>
                    <w:t>3</w:t>
                  </w:r>
                </w:p>
              </w:tc>
              <w:tc>
                <w:tcPr>
                  <w:tcW w:type="dxa" w:w="7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rPr>
                    <w:t>宣传展板</w:t>
                  </w:r>
                </w:p>
              </w:tc>
              <w:tc>
                <w:tcPr>
                  <w:tcW w:type="dxa" w:w="10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2"/>
                    </w:rPr>
                    <w:t>2m×1.2m</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240"/>
                    <w:jc w:val="center"/>
                  </w:pPr>
                  <w:r>
                    <w:rPr>
                      <w:rFonts w:ascii="仿宋_GB2312" w:hAnsi="仿宋_GB2312" w:cs="仿宋_GB2312" w:eastAsia="仿宋_GB2312"/>
                      <w:sz w:val="22"/>
                    </w:rPr>
                    <w:t>10</w:t>
                  </w:r>
                </w:p>
              </w:tc>
              <w:tc>
                <w:tcPr>
                  <w:tcW w:type="dxa" w:w="2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25"/>
                    <w:jc w:val="center"/>
                  </w:pPr>
                  <w:r>
                    <w:rPr>
                      <w:rFonts w:ascii="仿宋_GB2312" w:hAnsi="仿宋_GB2312" w:cs="仿宋_GB2312" w:eastAsia="仿宋_GB2312"/>
                      <w:sz w:val="22"/>
                    </w:rPr>
                    <w:t>个</w:t>
                  </w:r>
                </w:p>
              </w:tc>
            </w:tr>
            <w:tr>
              <w:tc>
                <w:tcPr>
                  <w:tcW w:type="dxa" w:w="19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05"/>
                    <w:ind w:left="210"/>
                    <w:jc w:val="center"/>
                  </w:pPr>
                  <w:r>
                    <w:rPr>
                      <w:rFonts w:ascii="仿宋_GB2312" w:hAnsi="仿宋_GB2312" w:cs="仿宋_GB2312" w:eastAsia="仿宋_GB2312"/>
                      <w:sz w:val="22"/>
                    </w:rPr>
                    <w:t>4</w:t>
                  </w:r>
                </w:p>
              </w:tc>
              <w:tc>
                <w:tcPr>
                  <w:tcW w:type="dxa" w:w="7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rPr>
                    <w:t>铜锣</w:t>
                  </w:r>
                </w:p>
              </w:tc>
              <w:tc>
                <w:tcPr>
                  <w:tcW w:type="dxa" w:w="10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rPr>
                    <w:t>厚度：</w:t>
                  </w:r>
                  <w:r>
                    <w:rPr>
                      <w:rFonts w:ascii="仿宋_GB2312" w:hAnsi="仿宋_GB2312" w:cs="仿宋_GB2312" w:eastAsia="仿宋_GB2312"/>
                      <w:sz w:val="22"/>
                    </w:rPr>
                    <w:t>2mm</w:t>
                  </w:r>
                  <w:r>
                    <w:rPr>
                      <w:rFonts w:ascii="仿宋_GB2312" w:hAnsi="仿宋_GB2312" w:cs="仿宋_GB2312" w:eastAsia="仿宋_GB2312"/>
                    </w:rPr>
                    <w:t xml:space="preserve"> </w:t>
                  </w:r>
                  <w:r>
                    <w:rPr>
                      <w:rFonts w:ascii="仿宋_GB2312" w:hAnsi="仿宋_GB2312" w:cs="仿宋_GB2312" w:eastAsia="仿宋_GB2312"/>
                      <w:sz w:val="22"/>
                    </w:rPr>
                    <w:t>，直径：</w:t>
                  </w:r>
                  <w:r>
                    <w:rPr>
                      <w:rFonts w:ascii="仿宋_GB2312" w:hAnsi="仿宋_GB2312" w:cs="仿宋_GB2312" w:eastAsia="仿宋_GB2312"/>
                      <w:sz w:val="22"/>
                    </w:rPr>
                    <w:t>≥290mm</w:t>
                  </w:r>
                  <w:r>
                    <w:rPr>
                      <w:rFonts w:ascii="仿宋_GB2312" w:hAnsi="仿宋_GB2312" w:cs="仿宋_GB2312" w:eastAsia="仿宋_GB2312"/>
                    </w:rPr>
                    <w:t xml:space="preserve"> </w:t>
                  </w:r>
                  <w:r>
                    <w:rPr>
                      <w:rFonts w:ascii="仿宋_GB2312" w:hAnsi="仿宋_GB2312" w:cs="仿宋_GB2312" w:eastAsia="仿宋_GB2312"/>
                      <w:sz w:val="22"/>
                    </w:rPr>
                    <w:t>，高度：</w:t>
                  </w:r>
                  <w:r>
                    <w:rPr>
                      <w:rFonts w:ascii="仿宋_GB2312" w:hAnsi="仿宋_GB2312" w:cs="仿宋_GB2312" w:eastAsia="仿宋_GB2312"/>
                      <w:sz w:val="22"/>
                    </w:rPr>
                    <w:t>3.5cm</w:t>
                  </w:r>
                  <w:r>
                    <w:rPr>
                      <w:rFonts w:ascii="仿宋_GB2312" w:hAnsi="仿宋_GB2312" w:cs="仿宋_GB2312" w:eastAsia="仿宋_GB2312"/>
                    </w:rPr>
                    <w:t xml:space="preserve"> </w:t>
                  </w:r>
                  <w:r>
                    <w:rPr>
                      <w:rFonts w:ascii="仿宋_GB2312" w:hAnsi="仿宋_GB2312" w:cs="仿宋_GB2312" w:eastAsia="仿宋_GB2312"/>
                      <w:sz w:val="22"/>
                    </w:rPr>
                    <w:t>，重量：一斤左右</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240"/>
                    <w:jc w:val="center"/>
                  </w:pPr>
                  <w:r>
                    <w:rPr>
                      <w:rFonts w:ascii="仿宋_GB2312" w:hAnsi="仿宋_GB2312" w:cs="仿宋_GB2312" w:eastAsia="仿宋_GB2312"/>
                      <w:sz w:val="22"/>
                    </w:rPr>
                    <w:t>10</w:t>
                  </w:r>
                </w:p>
              </w:tc>
              <w:tc>
                <w:tcPr>
                  <w:tcW w:type="dxa" w:w="2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40"/>
                    <w:jc w:val="center"/>
                  </w:pPr>
                  <w:r>
                    <w:rPr>
                      <w:rFonts w:ascii="仿宋_GB2312" w:hAnsi="仿宋_GB2312" w:cs="仿宋_GB2312" w:eastAsia="仿宋_GB2312"/>
                      <w:sz w:val="22"/>
                    </w:rPr>
                    <w:t>只</w:t>
                  </w:r>
                </w:p>
              </w:tc>
            </w:tr>
            <w:tr>
              <w:tc>
                <w:tcPr>
                  <w:tcW w:type="dxa" w:w="19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05"/>
                    <w:ind w:left="210"/>
                    <w:jc w:val="center"/>
                  </w:pPr>
                  <w:r>
                    <w:rPr>
                      <w:rFonts w:ascii="仿宋_GB2312" w:hAnsi="仿宋_GB2312" w:cs="仿宋_GB2312" w:eastAsia="仿宋_GB2312"/>
                      <w:sz w:val="22"/>
                    </w:rPr>
                    <w:t>5</w:t>
                  </w:r>
                </w:p>
              </w:tc>
              <w:tc>
                <w:tcPr>
                  <w:tcW w:type="dxa" w:w="7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rPr>
                    <w:t>口哨</w:t>
                  </w:r>
                </w:p>
              </w:tc>
              <w:tc>
                <w:tcPr>
                  <w:tcW w:type="dxa" w:w="10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rPr>
                    <w:t>规格</w:t>
                  </w:r>
                  <w:r>
                    <w:rPr>
                      <w:rFonts w:ascii="仿宋_GB2312" w:hAnsi="仿宋_GB2312" w:cs="仿宋_GB2312" w:eastAsia="仿宋_GB2312"/>
                    </w:rPr>
                    <w:t xml:space="preserve"> </w:t>
                  </w:r>
                  <w:r>
                    <w:rPr>
                      <w:rFonts w:ascii="仿宋_GB2312" w:hAnsi="仿宋_GB2312" w:cs="仿宋_GB2312" w:eastAsia="仿宋_GB2312"/>
                      <w:sz w:val="22"/>
                    </w:rPr>
                    <w:t>7mm×51mm</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225"/>
                    <w:jc w:val="center"/>
                  </w:pPr>
                  <w:r>
                    <w:rPr>
                      <w:rFonts w:ascii="仿宋_GB2312" w:hAnsi="仿宋_GB2312" w:cs="仿宋_GB2312" w:eastAsia="仿宋_GB2312"/>
                      <w:sz w:val="22"/>
                    </w:rPr>
                    <w:t>20</w:t>
                  </w:r>
                </w:p>
              </w:tc>
              <w:tc>
                <w:tcPr>
                  <w:tcW w:type="dxa" w:w="2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40"/>
                    <w:jc w:val="center"/>
                  </w:pPr>
                  <w:r>
                    <w:rPr>
                      <w:rFonts w:ascii="仿宋_GB2312" w:hAnsi="仿宋_GB2312" w:cs="仿宋_GB2312" w:eastAsia="仿宋_GB2312"/>
                      <w:sz w:val="22"/>
                    </w:rPr>
                    <w:t>只</w:t>
                  </w:r>
                </w:p>
              </w:tc>
            </w:tr>
            <w:tr>
              <w:tc>
                <w:tcPr>
                  <w:tcW w:type="dxa" w:w="19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255"/>
                    <w:ind w:left="210"/>
                    <w:jc w:val="center"/>
                  </w:pPr>
                  <w:r>
                    <w:rPr>
                      <w:rFonts w:ascii="仿宋_GB2312" w:hAnsi="仿宋_GB2312" w:cs="仿宋_GB2312" w:eastAsia="仿宋_GB2312"/>
                      <w:sz w:val="22"/>
                    </w:rPr>
                    <w:t>6</w:t>
                  </w:r>
                </w:p>
              </w:tc>
              <w:tc>
                <w:tcPr>
                  <w:tcW w:type="dxa" w:w="7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22"/>
                    </w:rPr>
                    <w:t>手摇报警器</w:t>
                  </w:r>
                </w:p>
              </w:tc>
              <w:tc>
                <w:tcPr>
                  <w:tcW w:type="dxa" w:w="10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rPr>
                    <w:t>音响频率</w:t>
                  </w:r>
                  <w:r>
                    <w:rPr>
                      <w:rFonts w:ascii="仿宋_GB2312" w:hAnsi="仿宋_GB2312" w:cs="仿宋_GB2312" w:eastAsia="仿宋_GB2312"/>
                    </w:rPr>
                    <w:t xml:space="preserve"> </w:t>
                  </w:r>
                  <w:r>
                    <w:rPr>
                      <w:rFonts w:ascii="仿宋_GB2312" w:hAnsi="仿宋_GB2312" w:cs="仿宋_GB2312" w:eastAsia="仿宋_GB2312"/>
                      <w:sz w:val="22"/>
                    </w:rPr>
                    <w:t>600 士</w:t>
                  </w:r>
                  <w:r>
                    <w:rPr>
                      <w:rFonts w:ascii="仿宋_GB2312" w:hAnsi="仿宋_GB2312" w:cs="仿宋_GB2312" w:eastAsia="仿宋_GB2312"/>
                    </w:rPr>
                    <w:t xml:space="preserve"> </w:t>
                  </w:r>
                  <w:r>
                    <w:rPr>
                      <w:rFonts w:ascii="仿宋_GB2312" w:hAnsi="仿宋_GB2312" w:cs="仿宋_GB2312" w:eastAsia="仿宋_GB2312"/>
                      <w:sz w:val="22"/>
                    </w:rPr>
                    <w:t>20Hz</w:t>
                  </w:r>
                  <w:r>
                    <w:rPr>
                      <w:rFonts w:ascii="仿宋_GB2312" w:hAnsi="仿宋_GB2312" w:cs="仿宋_GB2312" w:eastAsia="仿宋_GB2312"/>
                    </w:rPr>
                    <w:t xml:space="preserve"> </w:t>
                  </w:r>
                  <w:r>
                    <w:rPr>
                      <w:rFonts w:ascii="仿宋_GB2312" w:hAnsi="仿宋_GB2312" w:cs="仿宋_GB2312" w:eastAsia="仿宋_GB2312"/>
                      <w:sz w:val="22"/>
                    </w:rPr>
                    <w:t>，产品款式：便携式，产品材质：铝合金，产品</w:t>
                  </w:r>
                  <w:r>
                    <w:rPr>
                      <w:rFonts w:ascii="仿宋_GB2312" w:hAnsi="仿宋_GB2312" w:cs="仿宋_GB2312" w:eastAsia="仿宋_GB2312"/>
                      <w:sz w:val="22"/>
                    </w:rPr>
                    <w:t>重量：</w:t>
                  </w:r>
                  <w:r>
                    <w:rPr>
                      <w:rFonts w:ascii="仿宋_GB2312" w:hAnsi="仿宋_GB2312" w:cs="仿宋_GB2312" w:eastAsia="仿宋_GB2312"/>
                      <w:sz w:val="22"/>
                    </w:rPr>
                    <w:t>4-4.5kg</w:t>
                  </w:r>
                  <w:r>
                    <w:rPr>
                      <w:rFonts w:ascii="仿宋_GB2312" w:hAnsi="仿宋_GB2312" w:cs="仿宋_GB2312" w:eastAsia="仿宋_GB2312"/>
                    </w:rPr>
                    <w:t xml:space="preserve"> </w:t>
                  </w:r>
                  <w:r>
                    <w:rPr>
                      <w:rFonts w:ascii="仿宋_GB2312" w:hAnsi="仿宋_GB2312" w:cs="仿宋_GB2312" w:eastAsia="仿宋_GB2312"/>
                      <w:sz w:val="22"/>
                    </w:rPr>
                    <w:t>，声音等级</w:t>
                  </w:r>
                  <w:r>
                    <w:rPr>
                      <w:rFonts w:ascii="仿宋_GB2312" w:hAnsi="仿宋_GB2312" w:cs="仿宋_GB2312" w:eastAsia="仿宋_GB2312"/>
                    </w:rPr>
                    <w:t xml:space="preserve"> </w:t>
                  </w:r>
                  <w:r>
                    <w:rPr>
                      <w:rFonts w:ascii="仿宋_GB2312" w:hAnsi="仿宋_GB2312" w:cs="仿宋_GB2312" w:eastAsia="仿宋_GB2312"/>
                      <w:sz w:val="22"/>
                    </w:rPr>
                    <w:t>120+2db(a)1m</w:t>
                  </w:r>
                  <w:r>
                    <w:rPr>
                      <w:rFonts w:ascii="仿宋_GB2312" w:hAnsi="仿宋_GB2312" w:cs="仿宋_GB2312" w:eastAsia="仿宋_GB2312"/>
                    </w:rPr>
                    <w:t xml:space="preserve"> </w:t>
                  </w:r>
                  <w:r>
                    <w:rPr>
                      <w:rFonts w:ascii="仿宋_GB2312" w:hAnsi="仿宋_GB2312" w:cs="仿宋_GB2312" w:eastAsia="仿宋_GB2312"/>
                      <w:sz w:val="22"/>
                    </w:rPr>
                    <w:t>，传送距离</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ind w:left="285"/>
                    <w:jc w:val="center"/>
                  </w:pPr>
                  <w:r>
                    <w:rPr>
                      <w:rFonts w:ascii="仿宋_GB2312" w:hAnsi="仿宋_GB2312" w:cs="仿宋_GB2312" w:eastAsia="仿宋_GB2312"/>
                      <w:sz w:val="22"/>
                    </w:rPr>
                    <w:t>8</w:t>
                  </w:r>
                </w:p>
              </w:tc>
              <w:tc>
                <w:tcPr>
                  <w:tcW w:type="dxa" w:w="2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225"/>
                    <w:jc w:val="center"/>
                  </w:pPr>
                  <w:r>
                    <w:rPr>
                      <w:rFonts w:ascii="仿宋_GB2312" w:hAnsi="仿宋_GB2312" w:cs="仿宋_GB2312" w:eastAsia="仿宋_GB2312"/>
                      <w:sz w:val="22"/>
                    </w:rPr>
                    <w:t>个</w:t>
                  </w:r>
                </w:p>
              </w:tc>
            </w:tr>
            <w:tr>
              <w:tc>
                <w:tcPr>
                  <w:tcW w:type="dxa" w:w="19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255"/>
                    <w:ind w:left="210"/>
                    <w:jc w:val="center"/>
                  </w:pPr>
                  <w:r>
                    <w:rPr>
                      <w:rFonts w:ascii="仿宋_GB2312" w:hAnsi="仿宋_GB2312" w:cs="仿宋_GB2312" w:eastAsia="仿宋_GB2312"/>
                      <w:sz w:val="22"/>
                    </w:rPr>
                    <w:t>7</w:t>
                  </w:r>
                </w:p>
              </w:tc>
              <w:tc>
                <w:tcPr>
                  <w:tcW w:type="dxa" w:w="7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22"/>
                    </w:rPr>
                    <w:t>手持扩音器</w:t>
                  </w:r>
                </w:p>
              </w:tc>
              <w:tc>
                <w:tcPr>
                  <w:tcW w:type="dxa" w:w="10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2"/>
                    </w:rPr>
                    <w:t>频响范围：</w:t>
                  </w:r>
                  <w:r>
                    <w:rPr>
                      <w:rFonts w:ascii="仿宋_GB2312" w:hAnsi="仿宋_GB2312" w:cs="仿宋_GB2312" w:eastAsia="仿宋_GB2312"/>
                      <w:sz w:val="22"/>
                    </w:rPr>
                    <w:t>50-</w:t>
                  </w:r>
                  <w:r>
                    <w:rPr>
                      <w:rFonts w:ascii="仿宋_GB2312" w:hAnsi="仿宋_GB2312" w:cs="仿宋_GB2312" w:eastAsia="仿宋_GB2312"/>
                    </w:rPr>
                    <w:t xml:space="preserve"> </w:t>
                  </w:r>
                  <w:r>
                    <w:rPr>
                      <w:rFonts w:ascii="仿宋_GB2312" w:hAnsi="仿宋_GB2312" w:cs="仿宋_GB2312" w:eastAsia="仿宋_GB2312"/>
                      <w:sz w:val="22"/>
                    </w:rPr>
                    <w:t>100000，输出功率：15-75，信噪比：≥75dB，供电方式：</w:t>
                  </w:r>
                </w:p>
                <w:p>
                  <w:pPr>
                    <w:pStyle w:val="null3"/>
                    <w:spacing w:before="60"/>
                    <w:jc w:val="center"/>
                  </w:pPr>
                  <w:r>
                    <w:rPr>
                      <w:rFonts w:ascii="仿宋_GB2312" w:hAnsi="仿宋_GB2312" w:cs="仿宋_GB2312" w:eastAsia="仿宋_GB2312"/>
                      <w:sz w:val="22"/>
                    </w:rPr>
                    <w:t>内置锂电池，操作方式：按键，扩展存储：</w:t>
                  </w:r>
                  <w:r>
                    <w:rPr>
                      <w:rFonts w:ascii="仿宋_GB2312" w:hAnsi="仿宋_GB2312" w:cs="仿宋_GB2312" w:eastAsia="仿宋_GB2312"/>
                      <w:sz w:val="22"/>
                    </w:rPr>
                    <w:t>32GB</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ind w:left="285"/>
                    <w:jc w:val="center"/>
                  </w:pPr>
                  <w:r>
                    <w:rPr>
                      <w:rFonts w:ascii="仿宋_GB2312" w:hAnsi="仿宋_GB2312" w:cs="仿宋_GB2312" w:eastAsia="仿宋_GB2312"/>
                      <w:sz w:val="22"/>
                    </w:rPr>
                    <w:t>8</w:t>
                  </w:r>
                </w:p>
              </w:tc>
              <w:tc>
                <w:tcPr>
                  <w:tcW w:type="dxa" w:w="2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225"/>
                    <w:jc w:val="center"/>
                  </w:pPr>
                  <w:r>
                    <w:rPr>
                      <w:rFonts w:ascii="仿宋_GB2312" w:hAnsi="仿宋_GB2312" w:cs="仿宋_GB2312" w:eastAsia="仿宋_GB2312"/>
                      <w:sz w:val="22"/>
                    </w:rPr>
                    <w:t>个</w:t>
                  </w:r>
                </w:p>
              </w:tc>
            </w:tr>
            <w:tr>
              <w:tc>
                <w:tcPr>
                  <w:tcW w:type="dxa" w:w="19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270"/>
                    <w:ind w:left="210"/>
                    <w:jc w:val="center"/>
                  </w:pPr>
                  <w:r>
                    <w:rPr>
                      <w:rFonts w:ascii="仿宋_GB2312" w:hAnsi="仿宋_GB2312" w:cs="仿宋_GB2312" w:eastAsia="仿宋_GB2312"/>
                      <w:sz w:val="22"/>
                    </w:rPr>
                    <w:t>8</w:t>
                  </w:r>
                </w:p>
              </w:tc>
              <w:tc>
                <w:tcPr>
                  <w:tcW w:type="dxa" w:w="7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22"/>
                    </w:rPr>
                    <w:t>应急照明</w:t>
                  </w:r>
                </w:p>
              </w:tc>
              <w:tc>
                <w:tcPr>
                  <w:tcW w:type="dxa" w:w="10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20"/>
                    <w:jc w:val="center"/>
                  </w:pPr>
                  <w:r>
                    <w:rPr>
                      <w:rFonts w:ascii="仿宋_GB2312" w:hAnsi="仿宋_GB2312" w:cs="仿宋_GB2312" w:eastAsia="仿宋_GB2312"/>
                      <w:sz w:val="22"/>
                    </w:rPr>
                    <w:t>亮度</w:t>
                  </w:r>
                  <w:r>
                    <w:rPr>
                      <w:rFonts w:ascii="仿宋_GB2312" w:hAnsi="仿宋_GB2312" w:cs="仿宋_GB2312" w:eastAsia="仿宋_GB2312"/>
                      <w:sz w:val="22"/>
                    </w:rPr>
                    <w:t>(LM)：5000</w:t>
                  </w:r>
                  <w:r>
                    <w:rPr>
                      <w:rFonts w:ascii="仿宋_GB2312" w:hAnsi="仿宋_GB2312" w:cs="仿宋_GB2312" w:eastAsia="仿宋_GB2312"/>
                    </w:rPr>
                    <w:t xml:space="preserve"> </w:t>
                  </w:r>
                  <w:r>
                    <w:rPr>
                      <w:rFonts w:ascii="仿宋_GB2312" w:hAnsi="仿宋_GB2312" w:cs="仿宋_GB2312" w:eastAsia="仿宋_GB2312"/>
                      <w:sz w:val="22"/>
                    </w:rPr>
                    <w:t>，功率</w:t>
                  </w:r>
                  <w:r>
                    <w:rPr>
                      <w:rFonts w:ascii="仿宋_GB2312" w:hAnsi="仿宋_GB2312" w:cs="仿宋_GB2312" w:eastAsia="仿宋_GB2312"/>
                      <w:sz w:val="22"/>
                    </w:rPr>
                    <w:t>(W)：60</w:t>
                  </w:r>
                  <w:r>
                    <w:rPr>
                      <w:rFonts w:ascii="仿宋_GB2312" w:hAnsi="仿宋_GB2312" w:cs="仿宋_GB2312" w:eastAsia="仿宋_GB2312"/>
                    </w:rPr>
                    <w:t xml:space="preserve"> </w:t>
                  </w:r>
                  <w:r>
                    <w:rPr>
                      <w:rFonts w:ascii="仿宋_GB2312" w:hAnsi="仿宋_GB2312" w:cs="仿宋_GB2312" w:eastAsia="仿宋_GB2312"/>
                      <w:sz w:val="22"/>
                    </w:rPr>
                    <w:t>，射程</w:t>
                  </w:r>
                  <w:r>
                    <w:rPr>
                      <w:rFonts w:ascii="仿宋_GB2312" w:hAnsi="仿宋_GB2312" w:cs="仿宋_GB2312" w:eastAsia="仿宋_GB2312"/>
                      <w:sz w:val="22"/>
                    </w:rPr>
                    <w:t>(M)：600</w:t>
                  </w:r>
                  <w:r>
                    <w:rPr>
                      <w:rFonts w:ascii="仿宋_GB2312" w:hAnsi="仿宋_GB2312" w:cs="仿宋_GB2312" w:eastAsia="仿宋_GB2312"/>
                    </w:rPr>
                    <w:t xml:space="preserve"> </w:t>
                  </w:r>
                  <w:r>
                    <w:rPr>
                      <w:rFonts w:ascii="仿宋_GB2312" w:hAnsi="仿宋_GB2312" w:cs="仿宋_GB2312" w:eastAsia="仿宋_GB2312"/>
                      <w:sz w:val="22"/>
                    </w:rPr>
                    <w:t>，电池：</w:t>
                  </w:r>
                  <w:r>
                    <w:rPr>
                      <w:rFonts w:ascii="仿宋_GB2312" w:hAnsi="仿宋_GB2312" w:cs="仿宋_GB2312" w:eastAsia="仿宋_GB2312"/>
                      <w:sz w:val="22"/>
                    </w:rPr>
                    <w:t>18650</w:t>
                  </w:r>
                  <w:r>
                    <w:rPr>
                      <w:rFonts w:ascii="仿宋_GB2312" w:hAnsi="仿宋_GB2312" w:cs="仿宋_GB2312" w:eastAsia="仿宋_GB2312"/>
                    </w:rPr>
                    <w:t xml:space="preserve"> </w:t>
                  </w:r>
                  <w:r>
                    <w:rPr>
                      <w:rFonts w:ascii="仿宋_GB2312" w:hAnsi="仿宋_GB2312" w:cs="仿宋_GB2312" w:eastAsia="仿宋_GB2312"/>
                      <w:sz w:val="22"/>
                    </w:rPr>
                    <w:t>，续航时间</w:t>
                  </w:r>
                  <w:r>
                    <w:rPr>
                      <w:rFonts w:ascii="仿宋_GB2312" w:hAnsi="仿宋_GB2312" w:cs="仿宋_GB2312" w:eastAsia="仿宋_GB2312"/>
                      <w:sz w:val="22"/>
                    </w:rPr>
                    <w:t>(H)：约</w:t>
                  </w:r>
                  <w:r>
                    <w:rPr>
                      <w:rFonts w:ascii="仿宋_GB2312" w:hAnsi="仿宋_GB2312" w:cs="仿宋_GB2312" w:eastAsia="仿宋_GB2312"/>
                    </w:rPr>
                    <w:t xml:space="preserve"> </w:t>
                  </w:r>
                  <w:r>
                    <w:rPr>
                      <w:rFonts w:ascii="仿宋_GB2312" w:hAnsi="仿宋_GB2312" w:cs="仿宋_GB2312" w:eastAsia="仿宋_GB2312"/>
                      <w:sz w:val="22"/>
                    </w:rPr>
                    <w:t>5-8H</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285"/>
                    <w:jc w:val="center"/>
                  </w:pPr>
                  <w:r>
                    <w:rPr>
                      <w:rFonts w:ascii="仿宋_GB2312" w:hAnsi="仿宋_GB2312" w:cs="仿宋_GB2312" w:eastAsia="仿宋_GB2312"/>
                      <w:sz w:val="22"/>
                    </w:rPr>
                    <w:t>8</w:t>
                  </w:r>
                </w:p>
              </w:tc>
              <w:tc>
                <w:tcPr>
                  <w:tcW w:type="dxa" w:w="2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225"/>
                    <w:jc w:val="center"/>
                  </w:pPr>
                  <w:r>
                    <w:rPr>
                      <w:rFonts w:ascii="仿宋_GB2312" w:hAnsi="仿宋_GB2312" w:cs="仿宋_GB2312" w:eastAsia="仿宋_GB2312"/>
                      <w:sz w:val="22"/>
                    </w:rPr>
                    <w:t>把</w:t>
                  </w:r>
                </w:p>
              </w:tc>
            </w:tr>
            <w:tr>
              <w:tc>
                <w:tcPr>
                  <w:tcW w:type="dxa" w:w="19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20"/>
                    <w:ind w:left="210"/>
                    <w:jc w:val="center"/>
                  </w:pPr>
                  <w:r>
                    <w:rPr>
                      <w:rFonts w:ascii="仿宋_GB2312" w:hAnsi="仿宋_GB2312" w:cs="仿宋_GB2312" w:eastAsia="仿宋_GB2312"/>
                      <w:sz w:val="22"/>
                    </w:rPr>
                    <w:t>9</w:t>
                  </w:r>
                </w:p>
              </w:tc>
              <w:tc>
                <w:tcPr>
                  <w:tcW w:type="dxa" w:w="7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2"/>
                    </w:rPr>
                    <w:t>山洪灾培训</w:t>
                  </w:r>
                </w:p>
              </w:tc>
              <w:tc>
                <w:tcPr>
                  <w:tcW w:type="dxa" w:w="10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2"/>
                    </w:rPr>
                    <w:t>场地：</w:t>
                  </w:r>
                  <w:r>
                    <w:rPr>
                      <w:rFonts w:ascii="仿宋_GB2312" w:hAnsi="仿宋_GB2312" w:cs="仿宋_GB2312" w:eastAsia="仿宋_GB2312"/>
                      <w:sz w:val="22"/>
                    </w:rPr>
                    <w:t>50 人，满足培训会议要求</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00"/>
                    <w:jc w:val="center"/>
                  </w:pPr>
                  <w:r>
                    <w:rPr>
                      <w:rFonts w:ascii="仿宋_GB2312" w:hAnsi="仿宋_GB2312" w:cs="仿宋_GB2312" w:eastAsia="仿宋_GB2312"/>
                      <w:sz w:val="22"/>
                    </w:rPr>
                    <w:t>1</w:t>
                  </w:r>
                </w:p>
              </w:tc>
              <w:tc>
                <w:tcPr>
                  <w:tcW w:type="dxa" w:w="2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25"/>
                    <w:jc w:val="center"/>
                  </w:pPr>
                  <w:r>
                    <w:rPr>
                      <w:rFonts w:ascii="仿宋_GB2312" w:hAnsi="仿宋_GB2312" w:cs="仿宋_GB2312" w:eastAsia="仿宋_GB2312"/>
                      <w:sz w:val="22"/>
                    </w:rPr>
                    <w:t>场</w:t>
                  </w:r>
                </w:p>
              </w:tc>
            </w:tr>
            <w:tr>
              <w:tc>
                <w:tcPr>
                  <w:tcW w:type="dxa" w:w="19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20"/>
                    <w:ind w:left="150"/>
                    <w:jc w:val="center"/>
                  </w:pPr>
                  <w:r>
                    <w:rPr>
                      <w:rFonts w:ascii="仿宋_GB2312" w:hAnsi="仿宋_GB2312" w:cs="仿宋_GB2312" w:eastAsia="仿宋_GB2312"/>
                      <w:sz w:val="22"/>
                    </w:rPr>
                    <w:t>10</w:t>
                  </w:r>
                </w:p>
              </w:tc>
              <w:tc>
                <w:tcPr>
                  <w:tcW w:type="dxa" w:w="7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2"/>
                    </w:rPr>
                    <w:t>山洪灾演练</w:t>
                  </w:r>
                </w:p>
              </w:tc>
              <w:tc>
                <w:tcPr>
                  <w:tcW w:type="dxa" w:w="10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2"/>
                    </w:rPr>
                    <w:t>结合实际，在灞桥区山洪灾害危险区选择演练位置</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00"/>
                    <w:jc w:val="center"/>
                  </w:pPr>
                  <w:r>
                    <w:rPr>
                      <w:rFonts w:ascii="仿宋_GB2312" w:hAnsi="仿宋_GB2312" w:cs="仿宋_GB2312" w:eastAsia="仿宋_GB2312"/>
                      <w:sz w:val="22"/>
                    </w:rPr>
                    <w:t>1</w:t>
                  </w:r>
                </w:p>
              </w:tc>
              <w:tc>
                <w:tcPr>
                  <w:tcW w:type="dxa" w:w="2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25"/>
                    <w:jc w:val="center"/>
                  </w:pPr>
                  <w:r>
                    <w:rPr>
                      <w:rFonts w:ascii="仿宋_GB2312" w:hAnsi="仿宋_GB2312" w:cs="仿宋_GB2312" w:eastAsia="仿宋_GB2312"/>
                      <w:sz w:val="22"/>
                    </w:rPr>
                    <w:t>场</w:t>
                  </w:r>
                </w:p>
              </w:tc>
            </w:tr>
            <w:tr>
              <w:tc>
                <w:tcPr>
                  <w:tcW w:type="dxa" w:w="19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20"/>
                    <w:ind w:left="150"/>
                    <w:jc w:val="center"/>
                  </w:pPr>
                  <w:r>
                    <w:rPr>
                      <w:rFonts w:ascii="仿宋_GB2312" w:hAnsi="仿宋_GB2312" w:cs="仿宋_GB2312" w:eastAsia="仿宋_GB2312"/>
                      <w:sz w:val="22"/>
                    </w:rPr>
                    <w:t>11</w:t>
                  </w:r>
                </w:p>
              </w:tc>
              <w:tc>
                <w:tcPr>
                  <w:tcW w:type="dxa" w:w="7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2"/>
                    </w:rPr>
                    <w:t>区级预案修编</w:t>
                  </w:r>
                </w:p>
              </w:tc>
              <w:tc>
                <w:tcPr>
                  <w:tcW w:type="dxa" w:w="10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1</w:t>
                  </w:r>
                </w:p>
              </w:tc>
              <w:tc>
                <w:tcPr>
                  <w:tcW w:type="dxa" w:w="2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40"/>
                    <w:jc w:val="center"/>
                  </w:pPr>
                  <w:r>
                    <w:rPr>
                      <w:rFonts w:ascii="仿宋_GB2312" w:hAnsi="仿宋_GB2312" w:cs="仿宋_GB2312" w:eastAsia="仿宋_GB2312"/>
                      <w:sz w:val="22"/>
                    </w:rPr>
                    <w:t>项</w:t>
                  </w:r>
                </w:p>
              </w:tc>
            </w:tr>
            <w:tr>
              <w:tc>
                <w:tcPr>
                  <w:tcW w:type="dxa" w:w="19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20"/>
                    <w:ind w:left="150"/>
                    <w:jc w:val="center"/>
                  </w:pPr>
                  <w:r>
                    <w:rPr>
                      <w:rFonts w:ascii="仿宋_GB2312" w:hAnsi="仿宋_GB2312" w:cs="仿宋_GB2312" w:eastAsia="仿宋_GB2312"/>
                      <w:sz w:val="22"/>
                    </w:rPr>
                    <w:t>12</w:t>
                  </w:r>
                </w:p>
              </w:tc>
              <w:tc>
                <w:tcPr>
                  <w:tcW w:type="dxa" w:w="7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2"/>
                    </w:rPr>
                    <w:t>街办（乡）预案修编</w:t>
                  </w:r>
                </w:p>
              </w:tc>
              <w:tc>
                <w:tcPr>
                  <w:tcW w:type="dxa" w:w="10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1</w:t>
                  </w:r>
                </w:p>
              </w:tc>
              <w:tc>
                <w:tcPr>
                  <w:tcW w:type="dxa" w:w="2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40"/>
                    <w:jc w:val="center"/>
                  </w:pPr>
                  <w:r>
                    <w:rPr>
                      <w:rFonts w:ascii="仿宋_GB2312" w:hAnsi="仿宋_GB2312" w:cs="仿宋_GB2312" w:eastAsia="仿宋_GB2312"/>
                      <w:sz w:val="22"/>
                    </w:rPr>
                    <w:t>项</w:t>
                  </w:r>
                </w:p>
              </w:tc>
            </w:tr>
            <w:tr>
              <w:tc>
                <w:tcPr>
                  <w:tcW w:type="dxa" w:w="19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20"/>
                    <w:ind w:left="150"/>
                    <w:jc w:val="center"/>
                  </w:pPr>
                  <w:r>
                    <w:rPr>
                      <w:rFonts w:ascii="仿宋_GB2312" w:hAnsi="仿宋_GB2312" w:cs="仿宋_GB2312" w:eastAsia="仿宋_GB2312"/>
                      <w:sz w:val="22"/>
                    </w:rPr>
                    <w:t>13</w:t>
                  </w:r>
                </w:p>
              </w:tc>
              <w:tc>
                <w:tcPr>
                  <w:tcW w:type="dxa" w:w="7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2"/>
                    </w:rPr>
                    <w:t>村级预案修编</w:t>
                  </w:r>
                </w:p>
              </w:tc>
              <w:tc>
                <w:tcPr>
                  <w:tcW w:type="dxa" w:w="10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3</w:t>
                  </w:r>
                </w:p>
              </w:tc>
              <w:tc>
                <w:tcPr>
                  <w:tcW w:type="dxa" w:w="2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40"/>
                    <w:jc w:val="center"/>
                  </w:pPr>
                  <w:r>
                    <w:rPr>
                      <w:rFonts w:ascii="仿宋_GB2312" w:hAnsi="仿宋_GB2312" w:cs="仿宋_GB2312" w:eastAsia="仿宋_GB2312"/>
                      <w:sz w:val="22"/>
                    </w:rPr>
                    <w:t>项</w:t>
                  </w:r>
                </w:p>
              </w:tc>
            </w:tr>
            <w:tr>
              <w:tc>
                <w:tcPr>
                  <w:tcW w:type="dxa" w:w="19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20"/>
                    <w:ind w:left="150"/>
                    <w:jc w:val="center"/>
                  </w:pPr>
                  <w:r>
                    <w:rPr>
                      <w:rFonts w:ascii="仿宋_GB2312" w:hAnsi="仿宋_GB2312" w:cs="仿宋_GB2312" w:eastAsia="仿宋_GB2312"/>
                      <w:sz w:val="22"/>
                    </w:rPr>
                    <w:t>14</w:t>
                  </w:r>
                </w:p>
              </w:tc>
              <w:tc>
                <w:tcPr>
                  <w:tcW w:type="dxa" w:w="7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2"/>
                    </w:rPr>
                    <w:t>安置点标识牌</w:t>
                  </w:r>
                </w:p>
              </w:tc>
              <w:tc>
                <w:tcPr>
                  <w:tcW w:type="dxa" w:w="10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1</w:t>
                  </w:r>
                </w:p>
              </w:tc>
              <w:tc>
                <w:tcPr>
                  <w:tcW w:type="dxa" w:w="2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25"/>
                    <w:jc w:val="center"/>
                  </w:pPr>
                  <w:r>
                    <w:rPr>
                      <w:rFonts w:ascii="仿宋_GB2312" w:hAnsi="仿宋_GB2312" w:cs="仿宋_GB2312" w:eastAsia="仿宋_GB2312"/>
                      <w:sz w:val="22"/>
                    </w:rPr>
                    <w:t>套</w:t>
                  </w:r>
                </w:p>
              </w:tc>
            </w:tr>
            <w:tr>
              <w:tc>
                <w:tcPr>
                  <w:tcW w:type="dxa" w:w="19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20"/>
                    <w:ind w:left="150"/>
                    <w:jc w:val="center"/>
                  </w:pPr>
                  <w:r>
                    <w:rPr>
                      <w:rFonts w:ascii="仿宋_GB2312" w:hAnsi="仿宋_GB2312" w:cs="仿宋_GB2312" w:eastAsia="仿宋_GB2312"/>
                      <w:sz w:val="22"/>
                    </w:rPr>
                    <w:t>15</w:t>
                  </w:r>
                </w:p>
              </w:tc>
              <w:tc>
                <w:tcPr>
                  <w:tcW w:type="dxa" w:w="7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2"/>
                    </w:rPr>
                    <w:t>安置点指向标识牌</w:t>
                  </w:r>
                </w:p>
              </w:tc>
              <w:tc>
                <w:tcPr>
                  <w:tcW w:type="dxa" w:w="10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1</w:t>
                  </w:r>
                </w:p>
              </w:tc>
              <w:tc>
                <w:tcPr>
                  <w:tcW w:type="dxa" w:w="2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25"/>
                    <w:jc w:val="center"/>
                  </w:pPr>
                  <w:r>
                    <w:rPr>
                      <w:rFonts w:ascii="仿宋_GB2312" w:hAnsi="仿宋_GB2312" w:cs="仿宋_GB2312" w:eastAsia="仿宋_GB2312"/>
                      <w:sz w:val="22"/>
                    </w:rPr>
                    <w:t>套</w:t>
                  </w:r>
                </w:p>
              </w:tc>
            </w:tr>
            <w:tr>
              <w:tc>
                <w:tcPr>
                  <w:tcW w:type="dxa" w:w="19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20"/>
                    <w:ind w:left="150"/>
                    <w:jc w:val="center"/>
                  </w:pPr>
                  <w:r>
                    <w:rPr>
                      <w:rFonts w:ascii="仿宋_GB2312" w:hAnsi="仿宋_GB2312" w:cs="仿宋_GB2312" w:eastAsia="仿宋_GB2312"/>
                      <w:sz w:val="22"/>
                    </w:rPr>
                    <w:t>16</w:t>
                  </w:r>
                </w:p>
              </w:tc>
              <w:tc>
                <w:tcPr>
                  <w:tcW w:type="dxa" w:w="7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2"/>
                    </w:rPr>
                    <w:t>安置点责任人标识牌</w:t>
                  </w:r>
                </w:p>
              </w:tc>
              <w:tc>
                <w:tcPr>
                  <w:tcW w:type="dxa" w:w="10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1</w:t>
                  </w:r>
                </w:p>
              </w:tc>
              <w:tc>
                <w:tcPr>
                  <w:tcW w:type="dxa" w:w="2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25"/>
                    <w:jc w:val="center"/>
                  </w:pPr>
                  <w:r>
                    <w:rPr>
                      <w:rFonts w:ascii="仿宋_GB2312" w:hAnsi="仿宋_GB2312" w:cs="仿宋_GB2312" w:eastAsia="仿宋_GB2312"/>
                      <w:sz w:val="22"/>
                    </w:rPr>
                    <w:t>套</w:t>
                  </w:r>
                </w:p>
              </w:tc>
            </w:tr>
            <w:tr>
              <w:tc>
                <w:tcPr>
                  <w:tcW w:type="dxa" w:w="19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20"/>
                    <w:ind w:left="150"/>
                    <w:jc w:val="center"/>
                  </w:pPr>
                  <w:r>
                    <w:rPr>
                      <w:rFonts w:ascii="仿宋_GB2312" w:hAnsi="仿宋_GB2312" w:cs="仿宋_GB2312" w:eastAsia="仿宋_GB2312"/>
                      <w:sz w:val="22"/>
                    </w:rPr>
                    <w:t>17</w:t>
                  </w:r>
                </w:p>
              </w:tc>
              <w:tc>
                <w:tcPr>
                  <w:tcW w:type="dxa" w:w="7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2"/>
                    </w:rPr>
                    <w:t>补充新建自动雨量站</w:t>
                  </w:r>
                </w:p>
              </w:tc>
              <w:tc>
                <w:tcPr>
                  <w:tcW w:type="dxa" w:w="10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2</w:t>
                  </w:r>
                </w:p>
              </w:tc>
              <w:tc>
                <w:tcPr>
                  <w:tcW w:type="dxa" w:w="2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25"/>
                    <w:jc w:val="center"/>
                  </w:pPr>
                  <w:r>
                    <w:rPr>
                      <w:rFonts w:ascii="仿宋_GB2312" w:hAnsi="仿宋_GB2312" w:cs="仿宋_GB2312" w:eastAsia="仿宋_GB2312"/>
                      <w:sz w:val="22"/>
                    </w:rPr>
                    <w:t>个</w:t>
                  </w:r>
                </w:p>
              </w:tc>
            </w:tr>
          </w:tbl>
          <w:p>
            <w:pPr>
              <w:pStyle w:val="null3"/>
            </w:pPr>
            <w:r>
              <w:rPr>
                <w:rFonts w:ascii="仿宋_GB2312" w:hAnsi="仿宋_GB2312" w:cs="仿宋_GB2312" w:eastAsia="仿宋_GB2312"/>
              </w:rPr>
              <w:t>（二）宣传主要内容</w:t>
            </w:r>
          </w:p>
          <w:p>
            <w:pPr>
              <w:pStyle w:val="null3"/>
            </w:pPr>
            <w:r>
              <w:rPr>
                <w:rFonts w:ascii="仿宋_GB2312" w:hAnsi="仿宋_GB2312" w:cs="仿宋_GB2312" w:eastAsia="仿宋_GB2312"/>
              </w:rPr>
              <w:t>（1）宣传手册</w:t>
            </w:r>
          </w:p>
          <w:p>
            <w:pPr>
              <w:pStyle w:val="null3"/>
            </w:pPr>
            <w:r>
              <w:rPr>
                <w:rFonts w:ascii="仿宋_GB2312" w:hAnsi="仿宋_GB2312" w:cs="仿宋_GB2312" w:eastAsia="仿宋_GB2312"/>
              </w:rPr>
              <w:t>本手册包含：山洪灾害的成因，山洪灾害的危害，山洪灾害的种类，山洪灾害的防御常识，如何观察天气征兆躲避山洪灾害，降水强度等级划分标准。</w:t>
            </w:r>
          </w:p>
          <w:p>
            <w:pPr>
              <w:pStyle w:val="null3"/>
            </w:pPr>
            <w:r>
              <w:drawing>
                <wp:inline distT="0" distR="0" distB="0" distL="0">
                  <wp:extent cx="1621155" cy="1190992"/>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1190992"/>
                          </a:xfrm>
                          <a:prstGeom prst="rect">
                            <a:avLst/>
                          </a:prstGeom>
                        </pic:spPr>
                      </pic:pic>
                    </a:graphicData>
                  </a:graphic>
                </wp:inline>
              </w:drawing>
            </w:r>
          </w:p>
          <w:p>
            <w:pPr>
              <w:pStyle w:val="null3"/>
            </w:pPr>
            <w:r>
              <w:rPr>
                <w:rFonts w:ascii="仿宋_GB2312" w:hAnsi="仿宋_GB2312" w:cs="仿宋_GB2312" w:eastAsia="仿宋_GB2312"/>
              </w:rPr>
              <w:t>（2）宣传展板</w:t>
            </w:r>
          </w:p>
          <w:p>
            <w:pPr>
              <w:pStyle w:val="null3"/>
            </w:pPr>
            <w:r>
              <w:rPr>
                <w:rFonts w:ascii="仿宋_GB2312" w:hAnsi="仿宋_GB2312" w:cs="仿宋_GB2312" w:eastAsia="仿宋_GB2312"/>
              </w:rPr>
              <w:t>本次设置山洪灾害宣传栏 10 块 ，尺寸一般不小于 200cm × 120cm ，可根据实际情况，采用户外立牌、墙面挂牌、宣传橱窗等形式，应考虑风雨侵蚀影响。主体支架及边框要求用不锈钢材质，如有顶部设计，需要防水、防晒、防侵蚀设计。</w:t>
            </w:r>
          </w:p>
          <w:p>
            <w:pPr>
              <w:pStyle w:val="null3"/>
            </w:pPr>
            <w:r>
              <w:drawing>
                <wp:inline distT="0" distR="0" distB="0" distL="0">
                  <wp:extent cx="1621155" cy="889586"/>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1621155" cy="889586"/>
                          </a:xfrm>
                          <a:prstGeom prst="rect">
                            <a:avLst/>
                          </a:prstGeom>
                        </pic:spPr>
                      </pic:pic>
                    </a:graphicData>
                  </a:graphic>
                </wp:inline>
              </w:drawing>
            </w:r>
          </w:p>
          <w:p>
            <w:pPr>
              <w:pStyle w:val="null3"/>
              <w:jc w:val="both"/>
            </w:pPr>
            <w:r>
              <w:rPr>
                <w:rFonts w:ascii="仿宋_GB2312" w:hAnsi="仿宋_GB2312" w:cs="仿宋_GB2312" w:eastAsia="仿宋_GB2312"/>
              </w:rPr>
              <w:t>（3）危险区警示牌</w:t>
            </w:r>
          </w:p>
          <w:p>
            <w:pPr>
              <w:pStyle w:val="null3"/>
            </w:pPr>
            <w:r>
              <w:rPr>
                <w:rFonts w:ascii="仿宋_GB2312" w:hAnsi="仿宋_GB2312" w:cs="仿宋_GB2312" w:eastAsia="仿宋_GB2312"/>
              </w:rPr>
              <w:t>尺寸一般比例按照 1.5:1 进行设计制作 (宽高比)，根据当地实际情况和需要，采取户外立牌、喷绘或粉刷上墙等形式。主体支架及边框要求用不锈钢材质，如有顶部设计，需要防水、防晒、防侵蚀设计。警示牌应醒目、直观、易见，不易被遮挡，能够起到警示和提醒的作用。警示牌由标题名称、文字区域、辅助图案、落款栏等部分组成。</w:t>
            </w:r>
          </w:p>
          <w:p>
            <w:pPr>
              <w:pStyle w:val="null3"/>
            </w:pPr>
            <w:r>
              <w:drawing>
                <wp:inline distT="0" distR="0" distB="0" distL="0">
                  <wp:extent cx="1621155" cy="915923"/>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8"/>
                          <a:stretch>
                            <a:fillRect/>
                          </a:stretch>
                        </pic:blipFill>
                        <pic:spPr>
                          <a:xfrm>
                            <a:off x="0" y="0"/>
                            <a:ext cx="1621155" cy="915923"/>
                          </a:xfrm>
                          <a:prstGeom prst="rect">
                            <a:avLst/>
                          </a:prstGeom>
                        </pic:spPr>
                      </pic:pic>
                    </a:graphicData>
                  </a:graphic>
                </wp:inline>
              </w:drawing>
            </w:r>
          </w:p>
          <w:p>
            <w:pPr>
              <w:pStyle w:val="null3"/>
              <w:jc w:val="both"/>
            </w:pPr>
            <w:r>
              <w:rPr>
                <w:rFonts w:ascii="仿宋_GB2312" w:hAnsi="仿宋_GB2312" w:cs="仿宋_GB2312" w:eastAsia="仿宋_GB2312"/>
              </w:rPr>
              <w:t>（三） 山洪灾害的培训</w:t>
            </w:r>
          </w:p>
          <w:p>
            <w:pPr>
              <w:pStyle w:val="null3"/>
            </w:pPr>
            <w:r>
              <w:rPr>
                <w:rFonts w:ascii="仿宋_GB2312" w:hAnsi="仿宋_GB2312" w:cs="仿宋_GB2312" w:eastAsia="仿宋_GB2312"/>
              </w:rPr>
              <w:t>介绍山洪灾害的危害，山洪灾害成因分析、山洪灾害预警与监测技术、山洪灾害防御措施与策略、山洪灾害应急处置与救援工作、山洪灾害培训与宣传教育。</w:t>
            </w:r>
          </w:p>
          <w:p>
            <w:pPr>
              <w:pStyle w:val="null3"/>
            </w:pPr>
            <w:r>
              <w:rPr>
                <w:rFonts w:ascii="仿宋_GB2312" w:hAnsi="仿宋_GB2312" w:cs="仿宋_GB2312" w:eastAsia="仿宋_GB2312"/>
              </w:rPr>
              <w:t>根据实际情况，本次培训在汛前组织 1  次，参与人数约 50  人。</w:t>
            </w:r>
          </w:p>
          <w:p>
            <w:pPr>
              <w:pStyle w:val="null3"/>
              <w:jc w:val="both"/>
            </w:pPr>
            <w:r>
              <w:rPr>
                <w:rFonts w:ascii="仿宋_GB2312" w:hAnsi="仿宋_GB2312" w:cs="仿宋_GB2312" w:eastAsia="仿宋_GB2312"/>
              </w:rPr>
              <w:t>（四）演练主要内容</w:t>
            </w:r>
          </w:p>
          <w:p>
            <w:pPr>
              <w:pStyle w:val="null3"/>
            </w:pPr>
            <w:r>
              <w:rPr>
                <w:rFonts w:ascii="仿宋_GB2312" w:hAnsi="仿宋_GB2312" w:cs="仿宋_GB2312" w:eastAsia="仿宋_GB2312"/>
              </w:rPr>
              <w:t>（1）演练目的</w:t>
            </w:r>
          </w:p>
          <w:p>
            <w:pPr>
              <w:pStyle w:val="null3"/>
            </w:pPr>
            <w:r>
              <w:rPr>
                <w:rFonts w:ascii="仿宋_GB2312" w:hAnsi="仿宋_GB2312" w:cs="仿宋_GB2312" w:eastAsia="仿宋_GB2312"/>
              </w:rPr>
              <w:t>检验预案：通过演练，检验山洪灾害应急预案的科学性、实用性和可操作性，确保预案在紧急情况下能够迅速启动并有效执行。</w:t>
            </w:r>
          </w:p>
          <w:p>
            <w:pPr>
              <w:pStyle w:val="null3"/>
              <w:jc w:val="both"/>
            </w:pPr>
            <w:r>
              <w:rPr>
                <w:rFonts w:ascii="仿宋_GB2312" w:hAnsi="仿宋_GB2312" w:cs="仿宋_GB2312" w:eastAsia="仿宋_GB2312"/>
              </w:rPr>
              <w:t>提高能力：提高相关部门应对山洪灾害的综合处置能力，包括应急指挥、抢险救援、群众转移安置等方面的能力。</w:t>
            </w:r>
          </w:p>
          <w:p>
            <w:pPr>
              <w:pStyle w:val="null3"/>
            </w:pPr>
            <w:r>
              <w:rPr>
                <w:rFonts w:ascii="仿宋_GB2312" w:hAnsi="仿宋_GB2312" w:cs="仿宋_GB2312" w:eastAsia="仿宋_GB2312"/>
              </w:rPr>
              <w:t>增强意识：增强干部群众的防灾减灾意识和自救互救能力，确保在灾害发生时能够迅速、有序地撤离危险区域。</w:t>
            </w:r>
          </w:p>
          <w:p>
            <w:pPr>
              <w:pStyle w:val="null3"/>
            </w:pPr>
            <w:r>
              <w:rPr>
                <w:rFonts w:ascii="仿宋_GB2312" w:hAnsi="仿宋_GB2312" w:cs="仿宋_GB2312" w:eastAsia="仿宋_GB2312"/>
              </w:rPr>
              <w:t>（2）演练任务</w:t>
            </w:r>
          </w:p>
          <w:p>
            <w:pPr>
              <w:pStyle w:val="null3"/>
              <w:jc w:val="both"/>
            </w:pPr>
            <w:r>
              <w:rPr>
                <w:rFonts w:ascii="仿宋_GB2312" w:hAnsi="仿宋_GB2312" w:cs="仿宋_GB2312" w:eastAsia="仿宋_GB2312"/>
              </w:rPr>
              <w:t>模拟山洪灾害：根据山洪灾害的特点和可能发生的情景，模拟山洪灾害的发生过程，包括降雨、洪水形成、淹没范围等。</w:t>
            </w:r>
          </w:p>
          <w:p>
            <w:pPr>
              <w:pStyle w:val="null3"/>
            </w:pPr>
            <w:r>
              <w:rPr>
                <w:rFonts w:ascii="仿宋_GB2312" w:hAnsi="仿宋_GB2312" w:cs="仿宋_GB2312" w:eastAsia="仿宋_GB2312"/>
              </w:rPr>
              <w:t>应急响应：在模拟灾害发生后，迅速启动应急预案，组织相关部门和人员开展应急响应工作，包括监测预警、人员疏散、抢险救援等。</w:t>
            </w:r>
          </w:p>
          <w:p>
            <w:pPr>
              <w:pStyle w:val="null3"/>
              <w:jc w:val="both"/>
            </w:pPr>
            <w:r>
              <w:rPr>
                <w:rFonts w:ascii="仿宋_GB2312" w:hAnsi="仿宋_GB2312" w:cs="仿宋_GB2312" w:eastAsia="仿宋_GB2312"/>
              </w:rPr>
              <w:t>群众转移安置：组织受威胁群众按照预定的安全转移路线有序转移至安全地带，并做好安置工作，确保群众的基本生活需求得到满足。</w:t>
            </w:r>
          </w:p>
          <w:p>
            <w:pPr>
              <w:pStyle w:val="null3"/>
            </w:pPr>
            <w:r>
              <w:rPr>
                <w:rFonts w:ascii="仿宋_GB2312" w:hAnsi="仿宋_GB2312" w:cs="仿宋_GB2312" w:eastAsia="仿宋_GB2312"/>
              </w:rPr>
              <w:t>灾后处置：模拟灾后环境，开展消毒防疫、物资供应、心理安抚等工作，确保灾区秩序稳定和社会和谐。</w:t>
            </w:r>
          </w:p>
          <w:p>
            <w:pPr>
              <w:pStyle w:val="null3"/>
            </w:pPr>
            <w:r>
              <w:rPr>
                <w:rFonts w:ascii="仿宋_GB2312" w:hAnsi="仿宋_GB2312" w:cs="仿宋_GB2312" w:eastAsia="仿宋_GB2312"/>
              </w:rPr>
              <w:t>（3）演练原则</w:t>
            </w:r>
          </w:p>
          <w:p>
            <w:pPr>
              <w:pStyle w:val="null3"/>
              <w:jc w:val="both"/>
            </w:pPr>
            <w:r>
              <w:rPr>
                <w:rFonts w:ascii="仿宋_GB2312" w:hAnsi="仿宋_GB2312" w:cs="仿宋_GB2312" w:eastAsia="仿宋_GB2312"/>
              </w:rPr>
              <w:t>以人为本：始终把保障人民群众生命财产安全放在首位，确保在演练过程中不出现任何安全事故。</w:t>
            </w:r>
          </w:p>
          <w:p>
            <w:pPr>
              <w:pStyle w:val="null3"/>
            </w:pPr>
            <w:r>
              <w:rPr>
                <w:rFonts w:ascii="仿宋_GB2312" w:hAnsi="仿宋_GB2312" w:cs="仿宋_GB2312" w:eastAsia="仿宋_GB2312"/>
              </w:rPr>
              <w:t>统一指挥：在演练过程中，实行统一指挥、分级负责的原则，确保各项工作有序开展。</w:t>
            </w:r>
          </w:p>
          <w:p>
            <w:pPr>
              <w:pStyle w:val="null3"/>
            </w:pPr>
            <w:r>
              <w:rPr>
                <w:rFonts w:ascii="仿宋_GB2312" w:hAnsi="仿宋_GB2312" w:cs="仿宋_GB2312" w:eastAsia="仿宋_GB2312"/>
              </w:rPr>
              <w:t>协调配合：各相关部门和人员要密切协作、相互配合，形成工作合力。</w:t>
            </w:r>
          </w:p>
          <w:p>
            <w:pPr>
              <w:pStyle w:val="null3"/>
            </w:pPr>
            <w:r>
              <w:rPr>
                <w:rFonts w:ascii="仿宋_GB2312" w:hAnsi="仿宋_GB2312" w:cs="仿宋_GB2312" w:eastAsia="仿宋_GB2312"/>
              </w:rPr>
              <w:t>注重实效：通过演练，切实提高应对山洪灾害的能力和水平，确保在实战中能够迅速、有效地处置灾害。</w:t>
            </w:r>
          </w:p>
          <w:p>
            <w:pPr>
              <w:pStyle w:val="null3"/>
              <w:jc w:val="both"/>
            </w:pPr>
            <w:r>
              <w:rPr>
                <w:rFonts w:ascii="仿宋_GB2312" w:hAnsi="仿宋_GB2312" w:cs="仿宋_GB2312" w:eastAsia="仿宋_GB2312"/>
              </w:rPr>
              <w:t>（4）演练步骤</w:t>
            </w:r>
          </w:p>
          <w:p>
            <w:pPr>
              <w:pStyle w:val="null3"/>
            </w:pPr>
            <w:r>
              <w:rPr>
                <w:rFonts w:ascii="仿宋_GB2312" w:hAnsi="仿宋_GB2312" w:cs="仿宋_GB2312" w:eastAsia="仿宋_GB2312"/>
              </w:rPr>
              <w:t>准备阶段：制定详细的演练方案，明确演练目的、任务、原则、步骤和要求；组织相关人员进行培训，熟悉演练流程和各自职责；准备必要的演练物资和设备。</w:t>
            </w:r>
          </w:p>
          <w:p>
            <w:pPr>
              <w:pStyle w:val="null3"/>
            </w:pPr>
            <w:r>
              <w:rPr>
                <w:rFonts w:ascii="仿宋_GB2312" w:hAnsi="仿宋_GB2312" w:cs="仿宋_GB2312" w:eastAsia="仿宋_GB2312"/>
              </w:rPr>
              <w:t>实施阶段：按照演练方案，模拟山洪灾害的发生过</w:t>
            </w:r>
            <w:r>
              <w:rPr>
                <w:rFonts w:ascii="仿宋_GB2312" w:hAnsi="仿宋_GB2312" w:cs="仿宋_GB2312" w:eastAsia="仿宋_GB2312"/>
              </w:rPr>
              <w:t>程，启动应急预案，组织相关部门和人员开展应急响应工作；组织受威胁群众按照预定的安全转移路线有序转移至安全地带；开展灾后处置工作。</w:t>
            </w:r>
          </w:p>
          <w:p>
            <w:pPr>
              <w:pStyle w:val="null3"/>
            </w:pPr>
            <w:r>
              <w:rPr>
                <w:rFonts w:ascii="仿宋_GB2312" w:hAnsi="仿宋_GB2312" w:cs="仿宋_GB2312" w:eastAsia="仿宋_GB2312"/>
              </w:rPr>
              <w:t>总结阶段：对演练过程进行全面总结评估，分析存在的问题和不足，提出改进措施和建议；完善应急预案和演练方案，为今后的应对工作提供参考和借鉴。</w:t>
            </w:r>
          </w:p>
          <w:p>
            <w:pPr>
              <w:pStyle w:val="null3"/>
              <w:jc w:val="both"/>
            </w:pPr>
            <w:r>
              <w:rPr>
                <w:rFonts w:ascii="仿宋_GB2312" w:hAnsi="仿宋_GB2312" w:cs="仿宋_GB2312" w:eastAsia="仿宋_GB2312"/>
              </w:rPr>
              <w:t>（5）参演部门及职责</w:t>
            </w:r>
          </w:p>
          <w:p>
            <w:pPr>
              <w:pStyle w:val="null3"/>
            </w:pPr>
            <w:r>
              <w:rPr>
                <w:rFonts w:ascii="仿宋_GB2312" w:hAnsi="仿宋_GB2312" w:cs="仿宋_GB2312" w:eastAsia="仿宋_GB2312"/>
              </w:rPr>
              <w:t>指挥机构：成立山洪灾害应急演练指挥部，负责整个演练的组织、指挥和协调工作。</w:t>
            </w:r>
          </w:p>
          <w:p>
            <w:pPr>
              <w:pStyle w:val="null3"/>
            </w:pPr>
            <w:r>
              <w:rPr>
                <w:rFonts w:ascii="仿宋_GB2312" w:hAnsi="仿宋_GB2312" w:cs="仿宋_GB2312" w:eastAsia="仿宋_GB2312"/>
              </w:rPr>
              <w:t>监测预警组：负责监测降雨、洪水等灾害信息，及时发布预警信息。</w:t>
            </w:r>
          </w:p>
          <w:p>
            <w:pPr>
              <w:pStyle w:val="null3"/>
            </w:pPr>
            <w:r>
              <w:rPr>
                <w:rFonts w:ascii="仿宋_GB2312" w:hAnsi="仿宋_GB2312" w:cs="仿宋_GB2312" w:eastAsia="仿宋_GB2312"/>
              </w:rPr>
              <w:t>抢险救援组：负责组织抢险救援队伍，开展抢险救援工作。</w:t>
            </w:r>
          </w:p>
          <w:p>
            <w:pPr>
              <w:pStyle w:val="null3"/>
            </w:pPr>
            <w:r>
              <w:rPr>
                <w:rFonts w:ascii="仿宋_GB2312" w:hAnsi="仿宋_GB2312" w:cs="仿宋_GB2312" w:eastAsia="仿宋_GB2312"/>
              </w:rPr>
              <w:t>群众转移安置组：负责组织受威胁群众的安全转移和安置工作。后勤保障组：负责提供演练所需的物资、设备和其他后勤保障工作。</w:t>
            </w:r>
          </w:p>
          <w:p>
            <w:pPr>
              <w:pStyle w:val="null3"/>
            </w:pPr>
            <w:r>
              <w:rPr>
                <w:rFonts w:ascii="仿宋_GB2312" w:hAnsi="仿宋_GB2312" w:cs="仿宋_GB2312" w:eastAsia="仿宋_GB2312"/>
              </w:rPr>
              <w:t>医疗卫生组：负责受伤人员的救治和灾区的卫生防疫工作。</w:t>
            </w:r>
          </w:p>
          <w:p>
            <w:pPr>
              <w:pStyle w:val="null3"/>
            </w:pPr>
            <w:r>
              <w:rPr>
                <w:rFonts w:ascii="仿宋_GB2312" w:hAnsi="仿宋_GB2312" w:cs="仿宋_GB2312" w:eastAsia="仿宋_GB2312"/>
              </w:rPr>
              <w:t>治安防护组：负责维护演练现场的治安秩序和安全防护工作</w:t>
            </w:r>
            <w:r>
              <w:rPr>
                <w:rFonts w:ascii="仿宋_GB2312" w:hAnsi="仿宋_GB2312" w:cs="仿宋_GB2312" w:eastAsia="仿宋_GB2312"/>
                <w:sz w:val="21"/>
              </w:rPr>
              <w:t>。</w:t>
            </w:r>
          </w:p>
          <w:p>
            <w:pPr>
              <w:pStyle w:val="null3"/>
              <w:jc w:val="both"/>
            </w:pPr>
            <w:r>
              <w:rPr>
                <w:rFonts w:ascii="仿宋_GB2312" w:hAnsi="仿宋_GB2312" w:cs="仿宋_GB2312" w:eastAsia="仿宋_GB2312"/>
              </w:rPr>
              <w:t>根据实际情况，本次综合演练在汛前演练 1  次，多部门联动、全流程实战，覆盖预警、转移、救援、安置等实战演练，参与人数约50  人。</w:t>
            </w:r>
          </w:p>
          <w:p>
            <w:pPr>
              <w:pStyle w:val="null3"/>
              <w:jc w:val="both"/>
            </w:pPr>
            <w:r>
              <w:rPr>
                <w:rFonts w:ascii="仿宋_GB2312" w:hAnsi="仿宋_GB2312" w:cs="仿宋_GB2312" w:eastAsia="仿宋_GB2312"/>
              </w:rPr>
              <w:t>（五）主要设备型号</w:t>
            </w:r>
          </w:p>
          <w:p>
            <w:pPr>
              <w:pStyle w:val="null3"/>
            </w:pPr>
            <w:r>
              <w:rPr>
                <w:rFonts w:ascii="仿宋_GB2312" w:hAnsi="仿宋_GB2312" w:cs="仿宋_GB2312" w:eastAsia="仿宋_GB2312"/>
              </w:rPr>
              <w:t>1、入户明白卡一般不小于 A4 纸张尺寸，材质应以 KT 板、PVC 、过塑印刷纸张等材料布设于房屋醒目处，一般可固定在每户正门侧。明白卡版面应当简洁、直观、不花哨，防雨、防晒、防腐蚀。</w:t>
            </w:r>
          </w:p>
          <w:p>
            <w:pPr>
              <w:pStyle w:val="null3"/>
            </w:pPr>
            <w:r>
              <w:rPr>
                <w:rFonts w:ascii="仿宋_GB2312" w:hAnsi="仿宋_GB2312" w:cs="仿宋_GB2312" w:eastAsia="仿宋_GB2312"/>
              </w:rPr>
              <w:t>入户明白卡 8 张，由标题栏、文字区域、辅助图案、落款栏等部分组成。</w:t>
            </w:r>
          </w:p>
          <w:p>
            <w:pPr>
              <w:pStyle w:val="null3"/>
            </w:pPr>
            <w:r>
              <w:drawing>
                <wp:inline distT="0" distR="0" distB="0" distL="0">
                  <wp:extent cx="1621155" cy="1207107"/>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9"/>
                          <a:stretch>
                            <a:fillRect/>
                          </a:stretch>
                        </pic:blipFill>
                        <pic:spPr>
                          <a:xfrm>
                            <a:off x="0" y="0"/>
                            <a:ext cx="1621155" cy="1207107"/>
                          </a:xfrm>
                          <a:prstGeom prst="rect">
                            <a:avLst/>
                          </a:prstGeom>
                        </pic:spPr>
                      </pic:pic>
                    </a:graphicData>
                  </a:graphic>
                </wp:inline>
              </w:drawing>
            </w:r>
          </w:p>
          <w:p>
            <w:pPr>
              <w:pStyle w:val="null3"/>
            </w:pPr>
            <w:r>
              <w:rPr>
                <w:rFonts w:ascii="仿宋_GB2312" w:hAnsi="仿宋_GB2312" w:cs="仿宋_GB2312" w:eastAsia="仿宋_GB2312"/>
              </w:rPr>
              <w:t>2 、铜锣</w:t>
            </w:r>
          </w:p>
          <w:p>
            <w:pPr>
              <w:pStyle w:val="null3"/>
            </w:pPr>
            <w:r>
              <w:rPr>
                <w:rFonts w:ascii="仿宋_GB2312" w:hAnsi="仿宋_GB2312" w:cs="仿宋_GB2312" w:eastAsia="仿宋_GB2312"/>
              </w:rPr>
              <w:t>直径：300mm；</w:t>
            </w:r>
            <w:r>
              <w:rPr>
                <w:rFonts w:ascii="仿宋_GB2312" w:hAnsi="仿宋_GB2312" w:cs="仿宋_GB2312" w:eastAsia="仿宋_GB2312"/>
              </w:rPr>
              <w:t>材质：响铜；</w:t>
            </w:r>
            <w:r>
              <w:rPr>
                <w:rFonts w:ascii="仿宋_GB2312" w:hAnsi="仿宋_GB2312" w:cs="仿宋_GB2312" w:eastAsia="仿宋_GB2312"/>
              </w:rPr>
              <w:t>厚度：1mm</w:t>
            </w:r>
          </w:p>
          <w:p>
            <w:pPr>
              <w:pStyle w:val="null3"/>
              <w:jc w:val="both"/>
            </w:pPr>
            <w:r>
              <w:rPr>
                <w:rFonts w:ascii="仿宋_GB2312" w:hAnsi="仿宋_GB2312" w:cs="仿宋_GB2312" w:eastAsia="仿宋_GB2312"/>
              </w:rPr>
              <w:t>制作要求：锣槌与锣用尼龙绳相连，采用铜锡合金铸造，锣面平整无裂纹，声音洪亮穿透力强，配专用锣槌，外观醒目耐用，满足灾害预警传声需求。</w:t>
            </w:r>
          </w:p>
          <w:p>
            <w:pPr>
              <w:pStyle w:val="null3"/>
            </w:pPr>
            <w:r>
              <w:drawing>
                <wp:inline distT="0" distR="0" distB="0" distL="0">
                  <wp:extent cx="1621155" cy="1292639"/>
                  <wp:docPr id="5" name="Drawing 5" descr="img"/>
                  <a:graphic xmlns:a="http://schemas.openxmlformats.org/drawingml/2006/main">
                    <a:graphicData uri="http://schemas.openxmlformats.org/drawingml/2006/picture">
                      <pic:pic xmlns:pic="http://schemas.openxmlformats.org/drawingml/2006/picture">
                        <pic:nvPicPr>
                          <pic:cNvPr id="0" name="Picture 5" descr="img"/>
                          <pic:cNvPicPr>
                            <a:picLocks noChangeAspect="true"/>
                          </pic:cNvPicPr>
                        </pic:nvPicPr>
                        <pic:blipFill>
                          <a:blip r:embed="rId10"/>
                          <a:stretch>
                            <a:fillRect/>
                          </a:stretch>
                        </pic:blipFill>
                        <pic:spPr>
                          <a:xfrm>
                            <a:off x="0" y="0"/>
                            <a:ext cx="1621155" cy="1292639"/>
                          </a:xfrm>
                          <a:prstGeom prst="rect">
                            <a:avLst/>
                          </a:prstGeom>
                        </pic:spPr>
                      </pic:pic>
                    </a:graphicData>
                  </a:graphic>
                </wp:inline>
              </w:drawing>
            </w:r>
            <w:r>
              <w:br/>
            </w:r>
            <w:r>
              <w:rPr>
                <w:rFonts w:ascii="仿宋_GB2312" w:hAnsi="仿宋_GB2312" w:cs="仿宋_GB2312" w:eastAsia="仿宋_GB2312"/>
              </w:rPr>
              <w:t xml:space="preserve"> 3、高频口哨</w:t>
            </w:r>
          </w:p>
          <w:p>
            <w:pPr>
              <w:pStyle w:val="null3"/>
            </w:pPr>
            <w:r>
              <w:rPr>
                <w:rFonts w:ascii="仿宋_GB2312" w:hAnsi="仿宋_GB2312" w:cs="仿宋_GB2312" w:eastAsia="仿宋_GB2312"/>
              </w:rPr>
              <w:t>制作要求：高频预警口哨采用高强度</w:t>
            </w:r>
            <w:r>
              <w:rPr>
                <w:rFonts w:ascii="仿宋_GB2312" w:hAnsi="仿宋_GB2312" w:cs="仿宋_GB2312" w:eastAsia="仿宋_GB2312"/>
              </w:rPr>
              <w:t>ABS 或金属材质，结构坚固耐用，哨口设</w:t>
            </w:r>
            <w:r>
              <w:rPr>
                <w:rFonts w:ascii="仿宋_GB2312" w:hAnsi="仿宋_GB2312" w:cs="仿宋_GB2312" w:eastAsia="仿宋_GB2312"/>
              </w:rPr>
              <w:t>计合理，发声尖锐响亮、穿透力强，传播距</w:t>
            </w:r>
            <w:r>
              <w:rPr>
                <w:rFonts w:ascii="仿宋_GB2312" w:hAnsi="仿宋_GB2312" w:cs="仿宋_GB2312" w:eastAsia="仿宋_GB2312"/>
              </w:rPr>
              <w:t>离远。无毛刺、无异味，抗摔防水，适配灾</w:t>
            </w:r>
            <w:r>
              <w:rPr>
                <w:rFonts w:ascii="仿宋_GB2312" w:hAnsi="仿宋_GB2312" w:cs="仿宋_GB2312" w:eastAsia="仿宋_GB2312"/>
              </w:rPr>
              <w:t>害预警场景。重量轻便易携带，可挂绳固定，</w:t>
            </w:r>
            <w:r>
              <w:rPr>
                <w:rFonts w:ascii="仿宋_GB2312" w:hAnsi="仿宋_GB2312" w:cs="仿宋_GB2312" w:eastAsia="仿宋_GB2312"/>
              </w:rPr>
              <w:t>发声稳定无杂音，满足应急预警快速警示要求。</w:t>
            </w:r>
          </w:p>
          <w:p>
            <w:pPr>
              <w:pStyle w:val="null3"/>
            </w:pPr>
            <w:r>
              <w:drawing>
                <wp:inline distT="0" distR="0" distB="0" distL="0">
                  <wp:extent cx="1621155" cy="1490810"/>
                  <wp:docPr id="6" name="Drawing 6" descr="img"/>
                  <a:graphic xmlns:a="http://schemas.openxmlformats.org/drawingml/2006/main">
                    <a:graphicData uri="http://schemas.openxmlformats.org/drawingml/2006/picture">
                      <pic:pic xmlns:pic="http://schemas.openxmlformats.org/drawingml/2006/picture">
                        <pic:nvPicPr>
                          <pic:cNvPr id="0" name="Picture 6" descr="img"/>
                          <pic:cNvPicPr>
                            <a:picLocks noChangeAspect="true"/>
                          </pic:cNvPicPr>
                        </pic:nvPicPr>
                        <pic:blipFill>
                          <a:blip r:embed="rId11"/>
                          <a:stretch>
                            <a:fillRect/>
                          </a:stretch>
                        </pic:blipFill>
                        <pic:spPr>
                          <a:xfrm>
                            <a:off x="0" y="0"/>
                            <a:ext cx="1621155" cy="1490810"/>
                          </a:xfrm>
                          <a:prstGeom prst="rect">
                            <a:avLst/>
                          </a:prstGeom>
                        </pic:spPr>
                      </pic:pic>
                    </a:graphicData>
                  </a:graphic>
                </wp:inline>
              </w:drawing>
            </w:r>
          </w:p>
          <w:p>
            <w:pPr>
              <w:pStyle w:val="null3"/>
            </w:pPr>
            <w:r>
              <w:rPr>
                <w:rFonts w:ascii="仿宋_GB2312" w:hAnsi="仿宋_GB2312" w:cs="仿宋_GB2312" w:eastAsia="仿宋_GB2312"/>
              </w:rPr>
              <w:t>4、手摇报警器</w:t>
            </w:r>
          </w:p>
          <w:p>
            <w:pPr>
              <w:pStyle w:val="null3"/>
            </w:pPr>
            <w:r>
              <w:rPr>
                <w:rFonts w:ascii="仿宋_GB2312" w:hAnsi="仿宋_GB2312" w:cs="仿宋_GB2312" w:eastAsia="仿宋_GB2312"/>
              </w:rPr>
              <w:t>手摇报警器是一种简单易用的预警设备，通过手摇带动发声器发出声音报警，其结构简单操作方便，是山洪灾害监测预警系统人工预警的重要手段之一。</w:t>
            </w:r>
            <w:r>
              <w:rPr>
                <w:rFonts w:ascii="仿宋_GB2312" w:hAnsi="仿宋_GB2312" w:cs="仿宋_GB2312" w:eastAsia="仿宋_GB2312"/>
              </w:rPr>
              <w:t>声压级：110±2；</w:t>
            </w:r>
            <w:r>
              <w:rPr>
                <w:rFonts w:ascii="仿宋_GB2312" w:hAnsi="仿宋_GB2312" w:cs="仿宋_GB2312" w:eastAsia="仿宋_GB2312"/>
              </w:rPr>
              <w:t>输出频率：550±20；</w:t>
            </w:r>
            <w:r>
              <w:rPr>
                <w:rFonts w:ascii="仿宋_GB2312" w:hAnsi="仿宋_GB2312" w:cs="仿宋_GB2312" w:eastAsia="仿宋_GB2312"/>
              </w:rPr>
              <w:t>平均声压级：(A 级)110 分贝(在半径 1 米处)；</w:t>
            </w:r>
            <w:r>
              <w:rPr>
                <w:rFonts w:ascii="仿宋_GB2312" w:hAnsi="仿宋_GB2312" w:cs="仿宋_GB2312" w:eastAsia="仿宋_GB2312"/>
              </w:rPr>
              <w:t>有效范围：500m；</w:t>
            </w:r>
            <w:r>
              <w:rPr>
                <w:rFonts w:ascii="仿宋_GB2312" w:hAnsi="仿宋_GB2312" w:cs="仿宋_GB2312" w:eastAsia="仿宋_GB2312"/>
              </w:rPr>
              <w:t>材质：铝合金；</w:t>
            </w:r>
            <w:r>
              <w:rPr>
                <w:rFonts w:ascii="仿宋_GB2312" w:hAnsi="仿宋_GB2312" w:cs="仿宋_GB2312" w:eastAsia="仿宋_GB2312"/>
              </w:rPr>
              <w:t>重量：1.2kg。</w:t>
            </w:r>
            <w:r>
              <w:rPr>
                <w:rFonts w:ascii="仿宋_GB2312" w:hAnsi="仿宋_GB2312" w:cs="仿宋_GB2312" w:eastAsia="仿宋_GB2312"/>
              </w:rPr>
              <w:t>制作要求：手摇报警器采用金属壳体，结构牢固、抗摔耐用；手摇传动顺畅无卡顿，报警声高频响亮、穿透力强，传播距离满足预警需求。防水防锈，操作简单，配有固定底座或悬挂孔，噪音稳定无杂音，符合应急避险警示使用要求。</w:t>
            </w:r>
          </w:p>
          <w:p>
            <w:pPr>
              <w:pStyle w:val="null3"/>
            </w:pPr>
            <w:r>
              <w:drawing>
                <wp:inline distT="0" distR="0" distB="0" distL="0">
                  <wp:extent cx="1621155" cy="1717548"/>
                  <wp:docPr id="7" name="Drawing 7" descr="img"/>
                  <a:graphic xmlns:a="http://schemas.openxmlformats.org/drawingml/2006/main">
                    <a:graphicData uri="http://schemas.openxmlformats.org/drawingml/2006/picture">
                      <pic:pic xmlns:pic="http://schemas.openxmlformats.org/drawingml/2006/picture">
                        <pic:nvPicPr>
                          <pic:cNvPr id="0" name="Picture 7" descr="img"/>
                          <pic:cNvPicPr>
                            <a:picLocks noChangeAspect="true"/>
                          </pic:cNvPicPr>
                        </pic:nvPicPr>
                        <pic:blipFill>
                          <a:blip r:embed="rId12"/>
                          <a:stretch>
                            <a:fillRect/>
                          </a:stretch>
                        </pic:blipFill>
                        <pic:spPr>
                          <a:xfrm>
                            <a:off x="0" y="0"/>
                            <a:ext cx="1621155" cy="1717548"/>
                          </a:xfrm>
                          <a:prstGeom prst="rect">
                            <a:avLst/>
                          </a:prstGeom>
                        </pic:spPr>
                      </pic:pic>
                    </a:graphicData>
                  </a:graphic>
                </wp:inline>
              </w:drawing>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5、手持扩音器</w:t>
            </w:r>
          </w:p>
          <w:p>
            <w:pPr>
              <w:pStyle w:val="null3"/>
            </w:pPr>
            <w:r>
              <w:rPr>
                <w:rFonts w:ascii="仿宋_GB2312" w:hAnsi="仿宋_GB2312" w:cs="仿宋_GB2312" w:eastAsia="仿宋_GB2312"/>
              </w:rPr>
              <w:t>功率：15~30W；</w:t>
            </w:r>
            <w:r>
              <w:rPr>
                <w:rFonts w:ascii="仿宋_GB2312" w:hAnsi="仿宋_GB2312" w:cs="仿宋_GB2312" w:eastAsia="仿宋_GB2312"/>
              </w:rPr>
              <w:t>功能：支持录音功能、传送距离顺风 500m。</w:t>
            </w:r>
            <w:r>
              <w:rPr>
                <w:rFonts w:ascii="仿宋_GB2312" w:hAnsi="仿宋_GB2312" w:cs="仿宋_GB2312" w:eastAsia="仿宋_GB2312"/>
              </w:rPr>
              <w:t>制作要求：手持扩音器采用ABS 工程塑料外壳，坚固抗摔、握持舒适。音质清晰洪亮，续航持久，具备喊话、预警音功能。操作简便，防水耐磨，电池安全稳定，音量满足户外应急预警使用，整体轻便易携。</w:t>
            </w:r>
          </w:p>
          <w:p>
            <w:pPr>
              <w:pStyle w:val="null3"/>
            </w:pPr>
            <w:r>
              <w:drawing>
                <wp:inline distT="0" distR="0" distB="0" distL="0">
                  <wp:extent cx="1457325" cy="1743075"/>
                  <wp:docPr id="8" name="Drawing 8" descr="img"/>
                  <a:graphic xmlns:a="http://schemas.openxmlformats.org/drawingml/2006/main">
                    <a:graphicData uri="http://schemas.openxmlformats.org/drawingml/2006/picture">
                      <pic:pic xmlns:pic="http://schemas.openxmlformats.org/drawingml/2006/picture">
                        <pic:nvPicPr>
                          <pic:cNvPr id="0" name="Picture 8" descr="img"/>
                          <pic:cNvPicPr>
                            <a:picLocks noChangeAspect="true"/>
                          </pic:cNvPicPr>
                        </pic:nvPicPr>
                        <pic:blipFill>
                          <a:blip r:embed="rId13"/>
                          <a:stretch>
                            <a:fillRect/>
                          </a:stretch>
                        </pic:blipFill>
                        <pic:spPr>
                          <a:xfrm>
                            <a:off x="0" y="0"/>
                            <a:ext cx="1457325" cy="1743075"/>
                          </a:xfrm>
                          <a:prstGeom prst="rect">
                            <a:avLst/>
                          </a:prstGeom>
                        </pic:spPr>
                      </pic:pic>
                    </a:graphicData>
                  </a:graphic>
                </wp:inline>
              </w:drawing>
            </w:r>
          </w:p>
          <w:p>
            <w:pPr>
              <w:pStyle w:val="null3"/>
              <w:jc w:val="both"/>
            </w:pPr>
            <w:r>
              <w:rPr>
                <w:rFonts w:ascii="仿宋_GB2312" w:hAnsi="仿宋_GB2312" w:cs="仿宋_GB2312" w:eastAsia="仿宋_GB2312"/>
              </w:rPr>
              <w:t>6、应急照明</w:t>
            </w:r>
          </w:p>
          <w:p>
            <w:pPr>
              <w:pStyle w:val="null3"/>
            </w:pPr>
            <w:r>
              <w:rPr>
                <w:rFonts w:ascii="仿宋_GB2312" w:hAnsi="仿宋_GB2312" w:cs="仿宋_GB2312" w:eastAsia="仿宋_GB2312"/>
              </w:rPr>
              <w:t>应急照明选择性能可靠、持久耐用的应急照明灯，其技术参数：</w:t>
            </w:r>
            <w:r>
              <w:rPr>
                <w:rFonts w:ascii="仿宋_GB2312" w:hAnsi="仿宋_GB2312" w:cs="仿宋_GB2312" w:eastAsia="仿宋_GB2312"/>
              </w:rPr>
              <w:t>额定电压：3.7V。</w:t>
            </w:r>
          </w:p>
          <w:p>
            <w:pPr>
              <w:pStyle w:val="null3"/>
            </w:pPr>
            <w:r>
              <w:drawing>
                <wp:inline distT="0" distR="0" distB="0" distL="0">
                  <wp:extent cx="1621155" cy="1724972"/>
                  <wp:docPr id="9" name="Drawing 9" descr="img"/>
                  <a:graphic xmlns:a="http://schemas.openxmlformats.org/drawingml/2006/main">
                    <a:graphicData uri="http://schemas.openxmlformats.org/drawingml/2006/picture">
                      <pic:pic xmlns:pic="http://schemas.openxmlformats.org/drawingml/2006/picture">
                        <pic:nvPicPr>
                          <pic:cNvPr id="0" name="Picture 9" descr="img"/>
                          <pic:cNvPicPr>
                            <a:picLocks noChangeAspect="true"/>
                          </pic:cNvPicPr>
                        </pic:nvPicPr>
                        <pic:blipFill>
                          <a:blip r:embed="rId14"/>
                          <a:stretch>
                            <a:fillRect/>
                          </a:stretch>
                        </pic:blipFill>
                        <pic:spPr>
                          <a:xfrm>
                            <a:off x="0" y="0"/>
                            <a:ext cx="1621155" cy="1724972"/>
                          </a:xfrm>
                          <a:prstGeom prst="rect">
                            <a:avLst/>
                          </a:prstGeom>
                        </pic:spPr>
                      </pic:pic>
                    </a:graphicData>
                  </a:graphic>
                </wp:inline>
              </w:drawing>
            </w:r>
          </w:p>
          <w:p>
            <w:pPr>
              <w:pStyle w:val="null3"/>
              <w:jc w:val="both"/>
            </w:pPr>
            <w:r>
              <w:rPr>
                <w:rFonts w:ascii="仿宋_GB2312" w:hAnsi="仿宋_GB2312" w:cs="仿宋_GB2312" w:eastAsia="仿宋_GB2312"/>
              </w:rPr>
              <w:t xml:space="preserve"> </w:t>
            </w:r>
          </w:p>
          <w:p>
            <w:pPr>
              <w:pStyle w:val="null3"/>
            </w:pPr>
            <w:r>
              <w:rPr>
                <w:rFonts w:ascii="仿宋_GB2312" w:hAnsi="仿宋_GB2312" w:cs="仿宋_GB2312" w:eastAsia="仿宋_GB2312"/>
              </w:rPr>
              <w:t>三、技术要求</w:t>
            </w:r>
            <w:r>
              <w:br/>
            </w:r>
            <w:r>
              <w:rPr>
                <w:rFonts w:ascii="仿宋_GB2312" w:hAnsi="仿宋_GB2312" w:cs="仿宋_GB2312" w:eastAsia="仿宋_GB2312"/>
              </w:rPr>
              <w:t xml:space="preserve"> 符合国家及行业标准。</w:t>
            </w:r>
            <w:r>
              <w:br/>
            </w:r>
            <w:r>
              <w:rPr>
                <w:rFonts w:ascii="仿宋_GB2312" w:hAnsi="仿宋_GB2312" w:cs="仿宋_GB2312" w:eastAsia="仿宋_GB2312"/>
              </w:rPr>
              <w:t xml:space="preserve"> 四、服务要求</w:t>
            </w:r>
            <w:r>
              <w:br/>
            </w:r>
            <w:r>
              <w:rPr>
                <w:rFonts w:ascii="仿宋_GB2312" w:hAnsi="仿宋_GB2312" w:cs="仿宋_GB2312" w:eastAsia="仿宋_GB2312"/>
              </w:rPr>
              <w:t xml:space="preserve"> (一)人员要求</w:t>
            </w:r>
          </w:p>
          <w:p>
            <w:pPr>
              <w:pStyle w:val="null3"/>
            </w:pPr>
            <w:r>
              <w:rPr>
                <w:rFonts w:ascii="仿宋_GB2312" w:hAnsi="仿宋_GB2312" w:cs="仿宋_GB2312" w:eastAsia="仿宋_GB2312"/>
              </w:rPr>
              <w:t>要求供应商有项目实施团队及管理方案，具有专业技术能力。</w:t>
            </w:r>
            <w:r>
              <w:br/>
            </w:r>
            <w:r>
              <w:rPr>
                <w:rFonts w:ascii="仿宋_GB2312" w:hAnsi="仿宋_GB2312" w:cs="仿宋_GB2312" w:eastAsia="仿宋_GB2312"/>
              </w:rPr>
              <w:t xml:space="preserve"> (二)专业设备</w:t>
            </w:r>
            <w:r>
              <w:br/>
            </w:r>
            <w:r>
              <w:rPr>
                <w:rFonts w:ascii="仿宋_GB2312" w:hAnsi="仿宋_GB2312" w:cs="仿宋_GB2312" w:eastAsia="仿宋_GB2312"/>
              </w:rPr>
              <w:t xml:space="preserve"> 要求供应商有完成本项目所需的设备。</w:t>
            </w:r>
          </w:p>
          <w:p>
            <w:pPr>
              <w:pStyle w:val="null3"/>
            </w:pPr>
            <w:r>
              <w:rPr>
                <w:rFonts w:ascii="仿宋_GB2312" w:hAnsi="仿宋_GB2312" w:cs="仿宋_GB2312" w:eastAsia="仿宋_GB2312"/>
              </w:rPr>
              <w:t>(三)产品质保期</w:t>
            </w:r>
            <w:r>
              <w:br/>
            </w:r>
            <w:r>
              <w:rPr>
                <w:rFonts w:ascii="仿宋_GB2312" w:hAnsi="仿宋_GB2312" w:cs="仿宋_GB2312" w:eastAsia="仿宋_GB2312"/>
              </w:rPr>
              <w:t xml:space="preserve"> 以产品出厂保质期为准。</w:t>
            </w:r>
            <w:r>
              <w:br/>
            </w:r>
            <w:r>
              <w:rPr>
                <w:rFonts w:ascii="仿宋_GB2312" w:hAnsi="仿宋_GB2312" w:cs="仿宋_GB2312" w:eastAsia="仿宋_GB2312"/>
              </w:rPr>
              <w:t xml:space="preserve"> (四)服务标准</w:t>
            </w:r>
            <w:r>
              <w:br/>
            </w:r>
            <w:r>
              <w:rPr>
                <w:rFonts w:ascii="仿宋_GB2312" w:hAnsi="仿宋_GB2312" w:cs="仿宋_GB2312" w:eastAsia="仿宋_GB2312"/>
              </w:rPr>
              <w:t xml:space="preserve"> 符合国家及行业标准。</w:t>
            </w:r>
          </w:p>
          <w:p>
            <w:pPr>
              <w:pStyle w:val="null3"/>
            </w:pPr>
            <w:r>
              <w:rPr>
                <w:rFonts w:ascii="仿宋_GB2312" w:hAnsi="仿宋_GB2312" w:cs="仿宋_GB2312" w:eastAsia="仿宋_GB2312"/>
              </w:rPr>
              <w:t>五、商务要求</w:t>
            </w:r>
            <w:r>
              <w:br/>
            </w:r>
            <w:r>
              <w:rPr>
                <w:rFonts w:ascii="仿宋_GB2312" w:hAnsi="仿宋_GB2312" w:cs="仿宋_GB2312" w:eastAsia="仿宋_GB2312"/>
              </w:rPr>
              <w:t xml:space="preserve"> 一、服务期:自合同签订之日起3个月。</w:t>
            </w:r>
            <w:r>
              <w:br/>
            </w:r>
            <w:r>
              <w:rPr>
                <w:rFonts w:ascii="仿宋_GB2312" w:hAnsi="仿宋_GB2312" w:cs="仿宋_GB2312" w:eastAsia="仿宋_GB2312"/>
              </w:rPr>
              <w:t xml:space="preserve"> 二、款项结算</w:t>
            </w:r>
            <w:r>
              <w:br/>
            </w:r>
            <w:r>
              <w:rPr>
                <w:rFonts w:ascii="仿宋_GB2312" w:hAnsi="仿宋_GB2312" w:cs="仿宋_GB2312" w:eastAsia="仿宋_GB2312"/>
              </w:rPr>
              <w:t xml:space="preserve"> 1、合同签订后，支付合同金额的40%，项目验收合格后，支付合同金额的60%。</w:t>
            </w:r>
            <w:r>
              <w:br/>
            </w:r>
            <w:r>
              <w:rPr>
                <w:rFonts w:ascii="仿宋_GB2312" w:hAnsi="仿宋_GB2312" w:cs="仿宋_GB2312" w:eastAsia="仿宋_GB2312"/>
              </w:rPr>
              <w:t xml:space="preserve"> 六、其他</w:t>
            </w:r>
            <w:r>
              <w:br/>
            </w:r>
            <w:r>
              <w:rPr>
                <w:rFonts w:ascii="仿宋_GB2312" w:hAnsi="仿宋_GB2312" w:cs="仿宋_GB2312" w:eastAsia="仿宋_GB2312"/>
              </w:rPr>
              <w:t xml:space="preserve"> 采购包1:</w:t>
            </w:r>
            <w:r>
              <w:br/>
            </w:r>
            <w:r>
              <w:rPr>
                <w:rFonts w:ascii="仿宋_GB2312" w:hAnsi="仿宋_GB2312" w:cs="仿宋_GB2312" w:eastAsia="仿宋_GB2312"/>
              </w:rPr>
              <w:t xml:space="preserve"> (一)对供应商的业绩要求</w:t>
            </w:r>
            <w:r>
              <w:br/>
            </w:r>
            <w:r>
              <w:rPr>
                <w:rFonts w:ascii="仿宋_GB2312" w:hAnsi="仿宋_GB2312" w:cs="仿宋_GB2312" w:eastAsia="仿宋_GB2312"/>
              </w:rPr>
              <w:t xml:space="preserve"> 提供2023年1月1日以后的业绩。</w:t>
            </w:r>
            <w:r>
              <w:br/>
            </w:r>
            <w:r>
              <w:rPr>
                <w:rFonts w:ascii="仿宋_GB2312" w:hAnsi="仿宋_GB2312" w:cs="仿宋_GB2312" w:eastAsia="仿宋_GB2312"/>
              </w:rPr>
              <w:t xml:space="preserve"> (二)进度要求</w:t>
            </w:r>
            <w:r>
              <w:br/>
            </w:r>
            <w:r>
              <w:rPr>
                <w:rFonts w:ascii="仿宋_GB2312" w:hAnsi="仿宋_GB2312" w:cs="仿宋_GB2312" w:eastAsia="仿宋_GB2312"/>
              </w:rPr>
              <w:t xml:space="preserve"> 按照服务范围及时间完成项目。</w:t>
            </w:r>
            <w:r>
              <w:br/>
            </w:r>
            <w:r>
              <w:rPr>
                <w:rFonts w:ascii="仿宋_GB2312" w:hAnsi="仿宋_GB2312" w:cs="仿宋_GB2312" w:eastAsia="仿宋_GB2312"/>
              </w:rPr>
              <w:t xml:space="preserve"> (三)质量验收标准或规范</w:t>
            </w:r>
            <w:r>
              <w:br/>
            </w:r>
            <w:r>
              <w:rPr>
                <w:rFonts w:ascii="仿宋_GB2312" w:hAnsi="仿宋_GB2312" w:cs="仿宋_GB2312" w:eastAsia="仿宋_GB2312"/>
              </w:rPr>
              <w:t xml:space="preserve"> 供应商按照采购人要求，完成服务内容，由采购人组织验收。(2)验收依据:磋商文件、响应文件、澄清表(函)、本合同及其附件文本、国家相应的标准和规范。</w:t>
            </w:r>
            <w:r>
              <w:br/>
            </w:r>
            <w:r>
              <w:rPr>
                <w:rFonts w:ascii="仿宋_GB2312" w:hAnsi="仿宋_GB2312" w:cs="仿宋_GB2312" w:eastAsia="仿宋_GB2312"/>
              </w:rPr>
              <w:t xml:space="preserve"> (四)违约责任</w:t>
            </w:r>
            <w:r>
              <w:br/>
            </w:r>
            <w:r>
              <w:rPr>
                <w:rFonts w:ascii="仿宋_GB2312" w:hAnsi="仿宋_GB2312" w:cs="仿宋_GB2312" w:eastAsia="仿宋_GB2312"/>
              </w:rPr>
              <w:t xml:space="preserve"> 供应商在履行合同过程中，出现了合同条款内的违约条件，应按照合同约定承担相应的违约责任。</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有完善的项目实施团队。</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有完成本项目服务所需的设备，提供设备清单。</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(1)供应商按照采购人要求，完成项目全部内容，由采购人组织验收。(2)验收依据：磋商文件、响应文件、澄清表（函）、本合同及其附件文本、国家及行业相应的标准和规范。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进度款，项目验收合格后，达到付款条件起30个工作日内，支付合同总金额的60.0%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按《中华人民共和国民法典》中相关条款执行。 解决争议：项目所在地法院或仲裁机构。</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供应商企业关联关系声明函.docx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承担⺠事责任能力的法人、其他组织或自然人，并出具合法有效的营业执照或事业单位法人证书等国家规定的相关证明，自然人参与的提供其身份证明；供应商需在项⽬电⼦化交易系统中按要求上传相应证明文件并进行电子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被授权人参与磋商的需提供法定代表人身份证明书及授权委托书；法定代表人或负责人直接参与磋商的，须出具法定代表人身份证明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本项目不接受联合体响应，不允许分包</w:t>
            </w:r>
          </w:p>
        </w:tc>
        <w:tc>
          <w:tcPr>
            <w:tcW w:type="dxa" w:w="3322"/>
          </w:tcPr>
          <w:p>
            <w:pPr>
              <w:pStyle w:val="null3"/>
            </w:pPr>
            <w:r>
              <w:rPr>
                <w:rFonts w:ascii="仿宋_GB2312" w:hAnsi="仿宋_GB2312" w:cs="仿宋_GB2312" w:eastAsia="仿宋_GB2312"/>
              </w:rPr>
              <w:t>本项目不接受联合体响应，不允许分包:供应商应提供承诺书，供应商需在项目电子化交易系统中按要求上传相应证明文件并进行电子签章;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w:t>
            </w:r>
          </w:p>
        </w:tc>
        <w:tc>
          <w:tcPr>
            <w:tcW w:type="dxa" w:w="3322"/>
          </w:tcPr>
          <w:p>
            <w:pPr>
              <w:pStyle w:val="null3"/>
            </w:pPr>
            <w:r>
              <w:rPr>
                <w:rFonts w:ascii="仿宋_GB2312" w:hAnsi="仿宋_GB2312" w:cs="仿宋_GB2312" w:eastAsia="仿宋_GB2312"/>
              </w:rPr>
              <w:t>出具参加政府采购活动前3年内在经营活动中没有重大违法记录的书面声明；供应商需在项⽬电⼦化交易系统中按要求上传相应证明文件并进行电子签章；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信用主体查询：供应商应在中国执⾏信息公开网网站(http://zxgk.court.gov.cn/)中未列入失信被执行人，在信用中国网站(www.creditchina.gov.cn)中未列入重打税收违法失信主体，在中国政府采购网(w ww.ccgp.gov.cn)未被列入政府采购严重失信行为记录名单(处罚期限届满的除外，如相关失信记录已失效，供应商需提供相关证明资料；磋商当天代理公司核查为准，供应商无需提供)。</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成立时间⾄提交投标文件截止时间不足⼀年的可提供成⽴后任意时段的资产负债表），或提交开标日期前六个月内银⾏出具的资信证明，或信用担保机构出具的投标担保函（以上三种形式的资料提供任何⼀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投标截止之日前近六个月内至少⼀个月的社会保障资⾦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之日前近六个月内至少⼀个月的纳税证明或完税证明（增值税，印花税，城市维护建设费，企业所得税等⼀种或多种税种），依法免税的单位应提供相关证明材料；供应商需在项⽬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具有履行本合同所必需的设备和专业技术能力的声明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提供具有履行本合同所必需的设备和专业技术能力的声明；供应商需在项⽬电子化交易系统中按要求上传相应证明文件并进行电子签章；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供应商拒绝政府采购领域商业贿赂承诺书.docx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投标（响应）文件的签字盖章符合性</w:t>
            </w:r>
          </w:p>
        </w:tc>
        <w:tc>
          <w:tcPr>
            <w:tcW w:type="dxa" w:w="3322"/>
          </w:tcPr>
          <w:p>
            <w:pPr>
              <w:pStyle w:val="null3"/>
            </w:pPr>
            <w:r>
              <w:rPr>
                <w:rFonts w:ascii="仿宋_GB2312" w:hAnsi="仿宋_GB2312" w:cs="仿宋_GB2312" w:eastAsia="仿宋_GB2312"/>
              </w:rPr>
              <w:t>投标（响应）文件上法定代表人或其授权代表人的签字齐全或加盖公章，符合磋商文件要求</w:t>
            </w:r>
          </w:p>
        </w:tc>
        <w:tc>
          <w:tcPr>
            <w:tcW w:type="dxa" w:w="1661"/>
          </w:tcPr>
          <w:p>
            <w:pPr>
              <w:pStyle w:val="null3"/>
            </w:pPr>
            <w:r>
              <w:rPr>
                <w:rFonts w:ascii="仿宋_GB2312" w:hAnsi="仿宋_GB2312" w:cs="仿宋_GB2312" w:eastAsia="仿宋_GB2312"/>
              </w:rPr>
              <w:t>供应商类似项目业绩一览表.docx 中小企业声明函 报价表 供应商企业关联关系声明函.docx 商务条款响应说明.docx 响应文件封面 分项报价表.docx 供应商应提交的相关资格证明材料.docx 残疾人福利性单位声明函 标的清单 供应商拒绝政府采购领域商业贿赂承诺书.docx 技术、服务条款响应偏离表.docx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供应商名称字章符合性</w:t>
            </w:r>
          </w:p>
        </w:tc>
        <w:tc>
          <w:tcPr>
            <w:tcW w:type="dxa" w:w="3322"/>
          </w:tcPr>
          <w:p>
            <w:pPr>
              <w:pStyle w:val="null3"/>
            </w:pPr>
            <w:r>
              <w:rPr>
                <w:rFonts w:ascii="仿宋_GB2312" w:hAnsi="仿宋_GB2312" w:cs="仿宋_GB2312" w:eastAsia="仿宋_GB2312"/>
              </w:rPr>
              <w:t>供应商名称字章一致</w:t>
            </w:r>
          </w:p>
        </w:tc>
        <w:tc>
          <w:tcPr>
            <w:tcW w:type="dxa" w:w="1661"/>
          </w:tcPr>
          <w:p>
            <w:pPr>
              <w:pStyle w:val="null3"/>
            </w:pPr>
            <w:r>
              <w:rPr>
                <w:rFonts w:ascii="仿宋_GB2312" w:hAnsi="仿宋_GB2312" w:cs="仿宋_GB2312" w:eastAsia="仿宋_GB2312"/>
              </w:rPr>
              <w:t>供应商类似项目业绩一览表.docx 中小企业声明函 报价表 供应商企业关联关系声明函.docx 商务条款响应说明.docx 响应文件封面 分项报价表.docx 供应商应提交的相关资格证明材料.docx 残疾人福利性单位声明函 标的清单 供应商拒绝政府采购领域商业贿赂承诺书.docx 技术、服务条款响应偏离表.docx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投标（响应）有效期符合性</w:t>
            </w:r>
          </w:p>
        </w:tc>
        <w:tc>
          <w:tcPr>
            <w:tcW w:type="dxa" w:w="3322"/>
          </w:tcPr>
          <w:p>
            <w:pPr>
              <w:pStyle w:val="null3"/>
            </w:pPr>
            <w:r>
              <w:rPr>
                <w:rFonts w:ascii="仿宋_GB2312" w:hAnsi="仿宋_GB2312" w:cs="仿宋_GB2312" w:eastAsia="仿宋_GB2312"/>
              </w:rPr>
              <w:t>投标（响应）有效期满足磋商文件要求</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投标（响应）报价符合性</w:t>
            </w:r>
          </w:p>
        </w:tc>
        <w:tc>
          <w:tcPr>
            <w:tcW w:type="dxa" w:w="3322"/>
          </w:tcPr>
          <w:p>
            <w:pPr>
              <w:pStyle w:val="null3"/>
            </w:pPr>
            <w:r>
              <w:rPr>
                <w:rFonts w:ascii="仿宋_GB2312" w:hAnsi="仿宋_GB2312" w:cs="仿宋_GB2312" w:eastAsia="仿宋_GB2312"/>
              </w:rPr>
              <w:t>投标（响应）报价是唯一有效的、投标（响应 ）报价不得超出最高限价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技术、服务、商务响应满足磋商文件实质性要求</w:t>
            </w:r>
          </w:p>
        </w:tc>
        <w:tc>
          <w:tcPr>
            <w:tcW w:type="dxa" w:w="3322"/>
          </w:tcPr>
          <w:p>
            <w:pPr>
              <w:pStyle w:val="null3"/>
            </w:pPr>
            <w:r>
              <w:rPr>
                <w:rFonts w:ascii="仿宋_GB2312" w:hAnsi="仿宋_GB2312" w:cs="仿宋_GB2312" w:eastAsia="仿宋_GB2312"/>
              </w:rPr>
              <w:t>技术、服务响应满足磋商文件要求；商务响应满足磋商文件要求</w:t>
            </w:r>
          </w:p>
        </w:tc>
        <w:tc>
          <w:tcPr>
            <w:tcW w:type="dxa" w:w="1661"/>
          </w:tcPr>
          <w:p>
            <w:pPr>
              <w:pStyle w:val="null3"/>
            </w:pPr>
            <w:r>
              <w:rPr>
                <w:rFonts w:ascii="仿宋_GB2312" w:hAnsi="仿宋_GB2312" w:cs="仿宋_GB2312" w:eastAsia="仿宋_GB2312"/>
              </w:rPr>
              <w:t>技术、服务条款响应偏离表.docx 商务条款响应说明.docx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供应商类似项目业绩一览表.docx 中小企业声明函 报价表 供应商企业关联关系声明函.docx 商务条款响应说明.docx 响应文件封面 分项报价表.docx 供应商应提交的相关资格证明材料.docx 残疾人福利性单位声明函 标的清单 供应商拒绝政府采购领域商业贿赂承诺书.docx 技术、服务条款响应偏离表.docx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对本项目工作的理解与认识</w:t>
            </w:r>
          </w:p>
        </w:tc>
        <w:tc>
          <w:tcPr>
            <w:tcW w:type="dxa" w:w="2492"/>
          </w:tcPr>
          <w:p>
            <w:pPr>
              <w:pStyle w:val="null3"/>
            </w:pPr>
            <w:r>
              <w:rPr>
                <w:rFonts w:ascii="仿宋_GB2312" w:hAnsi="仿宋_GB2312" w:cs="仿宋_GB2312" w:eastAsia="仿宋_GB2312"/>
              </w:rPr>
              <w:t>一、评审内容 供应商针对本项目工作的理解与认识，内容包含:1、对项目内容、任务、目标的理解与认识；2、对任务影响因素的认识与理解；3、对主要技术依据文件、技术指标要求、成果规格要求的认识与理解。二、评审标准 1、完整性:理解必须全面，对评审内容中的各项要求有详细描述；2、可实施性:切合本项目实际情况，提出步骤清晰合理的方案；3、针对性:措施能够紧扣项目实际情况，内容科学合理。三、赋分标准(满分9分)1、对项目内容、任务、目标的理解与认识:每完全满足一个评审标准得1分，满分3分；2、对任务影响因素的认识与理解:每完全满足一个评审标准得1分，满分3分；3、对主要技术依据文件、技术指标要求、成果规格要求的认识与理解:每完全满足一个评审标准得1分，满分3分。（每一子项有缺陷时酌情扣分，缺项或漏项时，该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供应商提供针对本项目的服务方案，内容包括:1、服务计划及安排；2、服务阶段目标及任务；3、重难点分析及解决措施。 二、评审标准 1、完整性:服务方案须全面，对评审内容中的各项要求有详细描述； 2、可实施性:服务方案切合本项目实际情况，提出步骤清晰、合理的方案； 3、针对性:服务方案能够紧扣项目实际情况，内容科学合理。 三、赋分标准(满分18分) 1、服务计划及安排:每完全满足一个评审标准得2分，满分6分; 2、服务阶段目标及任务:每完全满足一个评审标准得2分，满分6分;3、重难点分析及解决措施:每完全满足一个评审标准得2分，满分6分。（每一子项有缺陷时酌情扣分，缺项或漏项时，该项不得分。）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服务实施组织计划</w:t>
            </w:r>
          </w:p>
        </w:tc>
        <w:tc>
          <w:tcPr>
            <w:tcW w:type="dxa" w:w="2492"/>
          </w:tcPr>
          <w:p>
            <w:pPr>
              <w:pStyle w:val="null3"/>
            </w:pPr>
            <w:r>
              <w:rPr>
                <w:rFonts w:ascii="仿宋_GB2312" w:hAnsi="仿宋_GB2312" w:cs="仿宋_GB2312" w:eastAsia="仿宋_GB2312"/>
              </w:rPr>
              <w:t>一、评审内容供应商提供针对本项目的服务实施组织计划，内容包括:1、项目实施目标；2、项目实施主要任务分工；3、项目实施步骤；4、项目实施技术路线与创点。二、评审标准1、完整性:服务实施组织计划须全面对评审内容中的各项要求有详细描述；2、可实施性:系服务实施组织计划须切合本项目实际情况，提出步骤清晰、图文并茂、合理的方案；3、针对性:服务实施组织计划须能够紧扣项目实际情况，内容科学合理。三、赋分标准(满分18分)1、项目实施目标:每完全满足一个评审标准得1.5分，满分4.5分；2、项目实施主要任务分工:每完全满足一个评审标准得1.5分，满分4.5分；3、项目实施步骤:每完全满足一个评审标准得1.5分，满分4.5分；4、项目实施技术路线与创点:每完全满足一个评审标准得1.5分，满分4.5分。（每一子项有缺陷时酌情扣分，缺项或漏项时，该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一、评审内容供应商提供针对本项目的服务保障措施，内容包括:1、服务质量保障措施；2、进度计划及保障措施；3、保密保障措施；4、安全管理体系与措施。二、评审标准1、完整性:服务保障措施须全面，对评审内容中的各项要求有详细描述；2可实施性:服务保障措施切合本项目实际情况，提出步骤清晰、合理的方案；3、针对性:服务保障措施能够紧扣项目实际情况，内容科学合理。三、赋分标准(满分18分)1、服务质量保障措施:每完全满足一个评审标准得1.5分，满分4.5分；2、进度计划及保障措施:每完全满足一个评审标准得1.5分，满分4.5分；3、应急保障措施:每完全满足一个评审标准得1.5分，满分4.5分；4、安全管理体系与措施:每完全满足一个评审标准得1.5分，满分4.5分。（每一子项有缺陷时酌情扣分，缺项或漏项时，该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一、评审内容提供本项目的资源配备计划，包括但不限于:对设备的分配及使用计划等内容，满足本项目需求。二、赋分标准(满分7分)1、供应商对设备的分配及使用计划的合理程度切实可行，操作性强得[4-7]分；2、计划的合理程度一般，操作性一般得[0-4)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项目人员配置方案</w:t>
            </w:r>
          </w:p>
        </w:tc>
        <w:tc>
          <w:tcPr>
            <w:tcW w:type="dxa" w:w="2492"/>
          </w:tcPr>
          <w:p>
            <w:pPr>
              <w:pStyle w:val="null3"/>
            </w:pPr>
            <w:r>
              <w:rPr>
                <w:rFonts w:ascii="仿宋_GB2312" w:hAnsi="仿宋_GB2312" w:cs="仿宋_GB2312" w:eastAsia="仿宋_GB2312"/>
              </w:rPr>
              <w:t>一、评审内容供应商提供拟派本项目的人员配置方案，包括但不限于:专业人员配备、专业人员分工、机构健全等，满足本项目需求。赋分标准(满分9分)1、项目人员及数量配备合理，经验丰富，分工明确，方案、制度内容完整，描述清晰，能针对性满足项目需求赋分;得[6-9)分;2、项目人员及数量配备较合理，经验较为丰富，分工基本明确，方案、制度内容较完整，描述简单，基本满足项目需要，得[3-6)分;3、项目人员及数量配备欠合理，分工欠明确，方案、制度内容笼统，描述简单，得[0-3)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1)供应商针对本项目及采购人实际需求提供详细具体可行的合理化建议、服务措施承诺，并阐明可提供的咨询、培训或后续服务，科学性、合理性、全面性、针对性强，得[4-5]分;2)科学性、合理性、全面性、针对性较好，得[2-4)分;3)科学性、合理性、全面性、针 对性一般，得[0-2)分。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近三年2023年1月1日以后（以合同签订日期为准）承接的类似项目业绩，每提供1项符合要求的业绩证明（需附合同复印件或中标（成交）通知书加盖公章的扫描件为准）得2分，本项最高得6分；未提供或提供材料不符合要求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 , 即满足磋商文件要求且最后磋商报价最低的报价为评审基准价，其价格分为满分。其他供应商的价格 分统一按照下列公式计算：磋商报价得分=【评审基准价/磋商报价( 最终二次报价）】 ×10。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详见附件：技术、服务条款响应偏离表.docx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详见附件：供应商企业关联关系声明函.docx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10" Target="media/image5.png" Type="http://schemas.openxmlformats.org/officeDocument/2006/relationships/image"/><Relationship Id="rId11" Target="media/image6.png" Type="http://schemas.openxmlformats.org/officeDocument/2006/relationships/image"/><Relationship Id="rId12" Target="media/image7.png" Type="http://schemas.openxmlformats.org/officeDocument/2006/relationships/image"/><Relationship Id="rId13" Target="media/image8.png" Type="http://schemas.openxmlformats.org/officeDocument/2006/relationships/image"/><Relationship Id="rId14" Target="media/image9.png" Type="http://schemas.openxmlformats.org/officeDocument/2006/relationships/image"/><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 Id="rId8" Target="media/image3.png" Type="http://schemas.openxmlformats.org/officeDocument/2006/relationships/image"/><Relationship Id="rId9" Target="media/image4.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