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A8DC2">
      <w:pPr>
        <w:pageBreakBefore w:val="0"/>
        <w:widowControl w:val="0"/>
        <w:kinsoku/>
        <w:wordWrap/>
        <w:overflowPunct/>
        <w:topLinePunct w:val="0"/>
        <w:autoSpaceDE/>
        <w:autoSpaceDN/>
        <w:bidi w:val="0"/>
        <w:spacing w:line="360" w:lineRule="auto"/>
        <w:jc w:val="center"/>
        <w:textAlignment w:val="auto"/>
        <w:rPr>
          <w:rFonts w:hint="eastAsia" w:ascii="仿宋" w:hAnsi="仿宋" w:eastAsia="仿宋" w:cs="仿宋"/>
          <w:b/>
          <w:bCs/>
          <w:sz w:val="44"/>
          <w:szCs w:val="44"/>
          <w:highlight w:val="none"/>
          <w:lang w:val="en-US" w:eastAsia="zh-CN"/>
        </w:rPr>
      </w:pPr>
      <w:r>
        <w:rPr>
          <w:rFonts w:hint="eastAsia" w:ascii="仿宋" w:hAnsi="仿宋" w:eastAsia="仿宋" w:cs="仿宋"/>
          <w:b/>
          <w:bCs/>
          <w:sz w:val="44"/>
          <w:szCs w:val="44"/>
          <w:highlight w:val="none"/>
          <w:lang w:val="en-US" w:eastAsia="zh-CN"/>
        </w:rPr>
        <w:t>西安市灞桥区2026年中央⽔利发展资⾦⼭洪灾害防治项⽬</w:t>
      </w:r>
    </w:p>
    <w:p w14:paraId="3659D5D1">
      <w:pPr>
        <w:pageBreakBefore w:val="0"/>
        <w:widowControl w:val="0"/>
        <w:kinsoku/>
        <w:wordWrap/>
        <w:overflowPunct/>
        <w:topLinePunct w:val="0"/>
        <w:autoSpaceDE/>
        <w:autoSpaceDN/>
        <w:bidi w:val="0"/>
        <w:spacing w:line="360" w:lineRule="auto"/>
        <w:jc w:val="center"/>
        <w:textAlignment w:val="auto"/>
        <w:rPr>
          <w:rFonts w:hint="eastAsia" w:ascii="仿宋" w:hAnsi="仿宋" w:eastAsia="仿宋" w:cs="仿宋"/>
          <w:b/>
          <w:bCs/>
          <w:sz w:val="44"/>
          <w:szCs w:val="44"/>
          <w:highlight w:val="none"/>
          <w:lang w:val="en-US" w:eastAsia="zh-CN"/>
        </w:rPr>
      </w:pPr>
    </w:p>
    <w:p w14:paraId="01CC0C85">
      <w:pPr>
        <w:pageBreakBefore w:val="0"/>
        <w:widowControl w:val="0"/>
        <w:kinsoku/>
        <w:wordWrap/>
        <w:overflowPunct/>
        <w:topLinePunct w:val="0"/>
        <w:autoSpaceDE/>
        <w:autoSpaceDN/>
        <w:bidi w:val="0"/>
        <w:spacing w:line="360" w:lineRule="auto"/>
        <w:jc w:val="center"/>
        <w:textAlignment w:val="auto"/>
        <w:rPr>
          <w:rFonts w:hint="eastAsia" w:ascii="仿宋" w:hAnsi="仿宋" w:eastAsia="仿宋" w:cs="仿宋"/>
          <w:b/>
          <w:bCs/>
          <w:sz w:val="24"/>
          <w:szCs w:val="24"/>
          <w:highlight w:val="none"/>
        </w:rPr>
      </w:pPr>
    </w:p>
    <w:p w14:paraId="0A278215">
      <w:pPr>
        <w:pageBreakBefore w:val="0"/>
        <w:widowControl w:val="0"/>
        <w:kinsoku/>
        <w:wordWrap/>
        <w:overflowPunct/>
        <w:topLinePunct w:val="0"/>
        <w:autoSpaceDE/>
        <w:autoSpaceDN/>
        <w:bidi w:val="0"/>
        <w:jc w:val="center"/>
        <w:textAlignment w:val="auto"/>
        <w:rPr>
          <w:rFonts w:hint="eastAsia" w:ascii="仿宋" w:hAnsi="仿宋" w:eastAsia="仿宋" w:cs="仿宋"/>
          <w:b/>
          <w:bCs/>
          <w:sz w:val="24"/>
          <w:szCs w:val="24"/>
          <w:highlight w:val="none"/>
        </w:rPr>
      </w:pPr>
    </w:p>
    <w:p w14:paraId="3A38B780">
      <w:pPr>
        <w:pageBreakBefore w:val="0"/>
        <w:widowControl w:val="0"/>
        <w:kinsoku/>
        <w:wordWrap/>
        <w:overflowPunct/>
        <w:topLinePunct w:val="0"/>
        <w:autoSpaceDE/>
        <w:autoSpaceDN/>
        <w:bidi w:val="0"/>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(项目编号：YSGS-2026ZB0421)</w:t>
      </w:r>
    </w:p>
    <w:p w14:paraId="5189FEB0">
      <w:pPr>
        <w:pageBreakBefore w:val="0"/>
        <w:widowControl w:val="0"/>
        <w:kinsoku/>
        <w:wordWrap/>
        <w:overflowPunct/>
        <w:topLinePunct w:val="0"/>
        <w:autoSpaceDE/>
        <w:autoSpaceDN/>
        <w:bidi w:val="0"/>
        <w:jc w:val="center"/>
        <w:textAlignment w:val="auto"/>
        <w:rPr>
          <w:rFonts w:hint="eastAsia" w:ascii="仿宋" w:hAnsi="仿宋" w:eastAsia="仿宋" w:cs="仿宋"/>
          <w:b/>
          <w:bCs/>
          <w:sz w:val="24"/>
          <w:szCs w:val="24"/>
          <w:highlight w:val="none"/>
        </w:rPr>
      </w:pPr>
    </w:p>
    <w:p w14:paraId="4D7A0EF2">
      <w:pPr>
        <w:pageBreakBefore w:val="0"/>
        <w:widowControl w:val="0"/>
        <w:kinsoku/>
        <w:wordWrap/>
        <w:overflowPunct/>
        <w:topLinePunct w:val="0"/>
        <w:autoSpaceDE/>
        <w:autoSpaceDN/>
        <w:bidi w:val="0"/>
        <w:adjustRightInd w:val="0"/>
        <w:snapToGrid w:val="0"/>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（本合同为原则样稿，部分内容可由双方协商后确定）</w:t>
      </w:r>
    </w:p>
    <w:p w14:paraId="1C592CCA">
      <w:pPr>
        <w:pageBreakBefore w:val="0"/>
        <w:widowControl w:val="0"/>
        <w:kinsoku/>
        <w:wordWrap/>
        <w:overflowPunct/>
        <w:topLinePunct w:val="0"/>
        <w:autoSpaceDE/>
        <w:autoSpaceDN/>
        <w:bidi w:val="0"/>
        <w:spacing w:before="0" w:after="0"/>
        <w:textAlignment w:val="auto"/>
        <w:outlineLvl w:val="9"/>
        <w:rPr>
          <w:rFonts w:hint="eastAsia" w:ascii="仿宋" w:hAnsi="仿宋" w:eastAsia="仿宋" w:cs="仿宋"/>
          <w:sz w:val="24"/>
          <w:szCs w:val="24"/>
          <w:highlight w:val="none"/>
        </w:rPr>
      </w:pPr>
    </w:p>
    <w:p w14:paraId="5E705CDA">
      <w:pPr>
        <w:pageBreakBefore w:val="0"/>
        <w:widowControl w:val="0"/>
        <w:kinsoku/>
        <w:wordWrap/>
        <w:overflowPunct/>
        <w:topLinePunct w:val="0"/>
        <w:autoSpaceDE/>
        <w:autoSpaceDN/>
        <w:bidi w:val="0"/>
        <w:jc w:val="both"/>
        <w:textAlignment w:val="auto"/>
        <w:rPr>
          <w:rFonts w:hint="eastAsia" w:ascii="仿宋" w:hAnsi="仿宋" w:eastAsia="仿宋" w:cs="仿宋"/>
          <w:b/>
          <w:bCs/>
          <w:sz w:val="72"/>
          <w:szCs w:val="72"/>
          <w:highlight w:val="none"/>
        </w:rPr>
      </w:pPr>
    </w:p>
    <w:p w14:paraId="74A2129C">
      <w:pPr>
        <w:pageBreakBefore w:val="0"/>
        <w:widowControl w:val="0"/>
        <w:kinsoku/>
        <w:wordWrap/>
        <w:overflowPunct/>
        <w:topLinePunct w:val="0"/>
        <w:autoSpaceDE/>
        <w:autoSpaceDN/>
        <w:bidi w:val="0"/>
        <w:jc w:val="center"/>
        <w:textAlignment w:val="auto"/>
        <w:rPr>
          <w:rFonts w:hint="eastAsia" w:ascii="仿宋" w:hAnsi="仿宋" w:eastAsia="仿宋" w:cs="仿宋"/>
          <w:b/>
          <w:bCs/>
          <w:sz w:val="72"/>
          <w:szCs w:val="72"/>
          <w:highlight w:val="none"/>
        </w:rPr>
      </w:pPr>
    </w:p>
    <w:p w14:paraId="62800DB6">
      <w:pPr>
        <w:pageBreakBefore w:val="0"/>
        <w:widowControl w:val="0"/>
        <w:kinsoku/>
        <w:wordWrap/>
        <w:overflowPunct/>
        <w:topLinePunct w:val="0"/>
        <w:autoSpaceDE/>
        <w:autoSpaceDN/>
        <w:bidi w:val="0"/>
        <w:jc w:val="center"/>
        <w:textAlignment w:val="auto"/>
        <w:rPr>
          <w:rFonts w:hint="eastAsia" w:ascii="仿宋" w:hAnsi="仿宋" w:eastAsia="仿宋" w:cs="仿宋"/>
          <w:b/>
          <w:bCs/>
          <w:sz w:val="72"/>
          <w:szCs w:val="72"/>
          <w:highlight w:val="none"/>
        </w:rPr>
      </w:pPr>
      <w:r>
        <w:rPr>
          <w:rFonts w:hint="eastAsia" w:ascii="仿宋" w:hAnsi="仿宋" w:eastAsia="仿宋" w:cs="仿宋"/>
          <w:b/>
          <w:bCs/>
          <w:sz w:val="72"/>
          <w:szCs w:val="72"/>
          <w:highlight w:val="none"/>
        </w:rPr>
        <w:t>服</w:t>
      </w:r>
      <w:r>
        <w:rPr>
          <w:rFonts w:hint="eastAsia" w:ascii="仿宋" w:hAnsi="仿宋" w:eastAsia="仿宋" w:cs="仿宋"/>
          <w:b/>
          <w:bCs/>
          <w:sz w:val="72"/>
          <w:szCs w:val="72"/>
          <w:highlight w:val="none"/>
          <w:lang w:val="en-US" w:eastAsia="zh-CN"/>
        </w:rPr>
        <w:t xml:space="preserve"> </w:t>
      </w:r>
      <w:r>
        <w:rPr>
          <w:rFonts w:hint="eastAsia" w:ascii="仿宋" w:hAnsi="仿宋" w:eastAsia="仿宋" w:cs="仿宋"/>
          <w:b/>
          <w:bCs/>
          <w:sz w:val="72"/>
          <w:szCs w:val="72"/>
          <w:highlight w:val="none"/>
        </w:rPr>
        <w:t>务</w:t>
      </w:r>
      <w:r>
        <w:rPr>
          <w:rFonts w:hint="eastAsia" w:ascii="仿宋" w:hAnsi="仿宋" w:eastAsia="仿宋" w:cs="仿宋"/>
          <w:b/>
          <w:bCs/>
          <w:sz w:val="72"/>
          <w:szCs w:val="72"/>
          <w:highlight w:val="none"/>
          <w:lang w:val="en-US" w:eastAsia="zh-CN"/>
        </w:rPr>
        <w:t xml:space="preserve"> </w:t>
      </w:r>
      <w:r>
        <w:rPr>
          <w:rFonts w:hint="eastAsia" w:ascii="仿宋" w:hAnsi="仿宋" w:eastAsia="仿宋" w:cs="仿宋"/>
          <w:b/>
          <w:bCs/>
          <w:sz w:val="72"/>
          <w:szCs w:val="72"/>
          <w:highlight w:val="none"/>
        </w:rPr>
        <w:t>协</w:t>
      </w:r>
      <w:r>
        <w:rPr>
          <w:rFonts w:hint="eastAsia" w:ascii="仿宋" w:hAnsi="仿宋" w:eastAsia="仿宋" w:cs="仿宋"/>
          <w:b/>
          <w:bCs/>
          <w:sz w:val="72"/>
          <w:szCs w:val="72"/>
          <w:highlight w:val="none"/>
          <w:lang w:val="en-US" w:eastAsia="zh-CN"/>
        </w:rPr>
        <w:t xml:space="preserve"> </w:t>
      </w:r>
      <w:r>
        <w:rPr>
          <w:rFonts w:hint="eastAsia" w:ascii="仿宋" w:hAnsi="仿宋" w:eastAsia="仿宋" w:cs="仿宋"/>
          <w:b/>
          <w:bCs/>
          <w:sz w:val="72"/>
          <w:szCs w:val="72"/>
          <w:highlight w:val="none"/>
        </w:rPr>
        <w:t>议</w:t>
      </w:r>
    </w:p>
    <w:p w14:paraId="4D709F83">
      <w:pPr>
        <w:pageBreakBefore w:val="0"/>
        <w:widowControl w:val="0"/>
        <w:kinsoku/>
        <w:wordWrap/>
        <w:overflowPunct/>
        <w:topLinePunct w:val="0"/>
        <w:autoSpaceDE/>
        <w:autoSpaceDN/>
        <w:bidi w:val="0"/>
        <w:jc w:val="left"/>
        <w:textAlignment w:val="auto"/>
        <w:rPr>
          <w:rFonts w:hint="eastAsia" w:ascii="仿宋" w:hAnsi="仿宋" w:eastAsia="仿宋" w:cs="仿宋"/>
          <w:b/>
          <w:bCs/>
          <w:sz w:val="24"/>
          <w:szCs w:val="24"/>
          <w:highlight w:val="none"/>
        </w:rPr>
      </w:pPr>
    </w:p>
    <w:p w14:paraId="6C317CE7">
      <w:pPr>
        <w:pageBreakBefore w:val="0"/>
        <w:widowControl w:val="0"/>
        <w:kinsoku/>
        <w:wordWrap/>
        <w:overflowPunct/>
        <w:topLinePunct w:val="0"/>
        <w:autoSpaceDE/>
        <w:autoSpaceDN/>
        <w:bidi w:val="0"/>
        <w:jc w:val="left"/>
        <w:textAlignment w:val="auto"/>
        <w:rPr>
          <w:rFonts w:hint="eastAsia" w:ascii="仿宋" w:hAnsi="仿宋" w:eastAsia="仿宋" w:cs="仿宋"/>
          <w:b/>
          <w:bCs/>
          <w:sz w:val="24"/>
          <w:szCs w:val="24"/>
          <w:highlight w:val="none"/>
        </w:rPr>
      </w:pPr>
    </w:p>
    <w:p w14:paraId="6E614823">
      <w:pPr>
        <w:pageBreakBefore w:val="0"/>
        <w:widowControl w:val="0"/>
        <w:kinsoku/>
        <w:wordWrap/>
        <w:overflowPunct/>
        <w:topLinePunct w:val="0"/>
        <w:autoSpaceDE/>
        <w:autoSpaceDN/>
        <w:bidi w:val="0"/>
        <w:jc w:val="left"/>
        <w:textAlignment w:val="auto"/>
        <w:rPr>
          <w:rFonts w:hint="eastAsia" w:ascii="仿宋" w:hAnsi="仿宋" w:eastAsia="仿宋" w:cs="仿宋"/>
          <w:b/>
          <w:bCs/>
          <w:sz w:val="24"/>
          <w:szCs w:val="24"/>
          <w:highlight w:val="none"/>
        </w:rPr>
      </w:pPr>
    </w:p>
    <w:p w14:paraId="71B650FF">
      <w:pPr>
        <w:pageBreakBefore w:val="0"/>
        <w:widowControl w:val="0"/>
        <w:kinsoku/>
        <w:wordWrap/>
        <w:overflowPunct/>
        <w:topLinePunct w:val="0"/>
        <w:autoSpaceDE/>
        <w:autoSpaceDN/>
        <w:bidi w:val="0"/>
        <w:jc w:val="left"/>
        <w:textAlignment w:val="auto"/>
        <w:rPr>
          <w:rFonts w:hint="eastAsia" w:ascii="仿宋" w:hAnsi="仿宋" w:eastAsia="仿宋" w:cs="仿宋"/>
          <w:b/>
          <w:bCs/>
          <w:sz w:val="24"/>
          <w:szCs w:val="24"/>
          <w:highlight w:val="none"/>
        </w:rPr>
      </w:pPr>
    </w:p>
    <w:p w14:paraId="5338A57A">
      <w:pPr>
        <w:pageBreakBefore w:val="0"/>
        <w:widowControl w:val="0"/>
        <w:kinsoku/>
        <w:wordWrap/>
        <w:overflowPunct/>
        <w:topLinePunct w:val="0"/>
        <w:autoSpaceDE/>
        <w:autoSpaceDN/>
        <w:bidi w:val="0"/>
        <w:jc w:val="left"/>
        <w:textAlignment w:val="auto"/>
        <w:rPr>
          <w:rFonts w:hint="eastAsia" w:ascii="仿宋" w:hAnsi="仿宋" w:eastAsia="仿宋" w:cs="仿宋"/>
          <w:b/>
          <w:bCs/>
          <w:sz w:val="24"/>
          <w:szCs w:val="24"/>
          <w:highlight w:val="none"/>
        </w:rPr>
      </w:pPr>
    </w:p>
    <w:p w14:paraId="15B33DFE">
      <w:pPr>
        <w:pageBreakBefore w:val="0"/>
        <w:widowControl w:val="0"/>
        <w:kinsoku/>
        <w:wordWrap/>
        <w:overflowPunct/>
        <w:topLinePunct w:val="0"/>
        <w:autoSpaceDE/>
        <w:autoSpaceDN/>
        <w:bidi w:val="0"/>
        <w:jc w:val="left"/>
        <w:textAlignment w:val="auto"/>
        <w:rPr>
          <w:rFonts w:hint="eastAsia" w:ascii="仿宋" w:hAnsi="仿宋" w:eastAsia="仿宋" w:cs="仿宋"/>
          <w:b/>
          <w:bCs/>
          <w:sz w:val="24"/>
          <w:szCs w:val="24"/>
          <w:highlight w:val="none"/>
        </w:rPr>
      </w:pPr>
    </w:p>
    <w:p w14:paraId="1ECDBD84">
      <w:pPr>
        <w:pStyle w:val="2"/>
        <w:rPr>
          <w:rFonts w:hint="eastAsia"/>
          <w:highlight w:val="none"/>
        </w:rPr>
      </w:pPr>
    </w:p>
    <w:p w14:paraId="61BBC390">
      <w:pPr>
        <w:pageBreakBefore w:val="0"/>
        <w:widowControl w:val="0"/>
        <w:kinsoku/>
        <w:wordWrap/>
        <w:overflowPunct/>
        <w:topLinePunct w:val="0"/>
        <w:autoSpaceDE/>
        <w:autoSpaceDN/>
        <w:bidi w:val="0"/>
        <w:jc w:val="left"/>
        <w:textAlignment w:val="auto"/>
        <w:rPr>
          <w:rFonts w:hint="eastAsia" w:ascii="仿宋" w:hAnsi="仿宋" w:eastAsia="仿宋" w:cs="仿宋"/>
          <w:b/>
          <w:bCs/>
          <w:sz w:val="24"/>
          <w:szCs w:val="24"/>
          <w:highlight w:val="none"/>
        </w:rPr>
      </w:pPr>
    </w:p>
    <w:p w14:paraId="099B1853">
      <w:pPr>
        <w:pStyle w:val="2"/>
        <w:rPr>
          <w:rFonts w:hint="eastAsia" w:ascii="仿宋" w:hAnsi="仿宋" w:eastAsia="仿宋" w:cs="仿宋"/>
          <w:b/>
          <w:bCs/>
          <w:sz w:val="24"/>
          <w:szCs w:val="24"/>
          <w:highlight w:val="none"/>
        </w:rPr>
      </w:pPr>
    </w:p>
    <w:p w14:paraId="46ED62D3">
      <w:pPr>
        <w:pStyle w:val="2"/>
        <w:rPr>
          <w:rFonts w:hint="eastAsia" w:ascii="仿宋" w:hAnsi="仿宋" w:eastAsia="仿宋" w:cs="仿宋"/>
          <w:b/>
          <w:bCs/>
          <w:sz w:val="24"/>
          <w:szCs w:val="24"/>
          <w:highlight w:val="none"/>
        </w:rPr>
      </w:pPr>
    </w:p>
    <w:p w14:paraId="7691FDEC">
      <w:pPr>
        <w:pStyle w:val="2"/>
        <w:rPr>
          <w:rFonts w:hint="eastAsia" w:ascii="仿宋" w:hAnsi="仿宋" w:eastAsia="仿宋" w:cs="仿宋"/>
          <w:b/>
          <w:bCs/>
          <w:sz w:val="24"/>
          <w:szCs w:val="24"/>
          <w:highlight w:val="none"/>
        </w:rPr>
      </w:pPr>
    </w:p>
    <w:p w14:paraId="04EAD90F">
      <w:pPr>
        <w:pageBreakBefore w:val="0"/>
        <w:widowControl w:val="0"/>
        <w:kinsoku/>
        <w:wordWrap/>
        <w:overflowPunct/>
        <w:topLinePunct w:val="0"/>
        <w:autoSpaceDE/>
        <w:autoSpaceDN/>
        <w:bidi w:val="0"/>
        <w:jc w:val="left"/>
        <w:textAlignment w:val="auto"/>
        <w:rPr>
          <w:rFonts w:hint="eastAsia" w:ascii="仿宋" w:hAnsi="仿宋" w:eastAsia="仿宋" w:cs="仿宋"/>
          <w:b/>
          <w:bCs/>
          <w:sz w:val="24"/>
          <w:szCs w:val="24"/>
          <w:highlight w:val="none"/>
        </w:rPr>
      </w:pPr>
    </w:p>
    <w:p w14:paraId="68378E6A">
      <w:pPr>
        <w:pageBreakBefore w:val="0"/>
        <w:widowControl w:val="0"/>
        <w:kinsoku/>
        <w:wordWrap/>
        <w:overflowPunct/>
        <w:topLinePunct w:val="0"/>
        <w:autoSpaceDE/>
        <w:autoSpaceDN/>
        <w:bidi w:val="0"/>
        <w:spacing w:line="360" w:lineRule="auto"/>
        <w:ind w:left="0" w:leftChars="0" w:firstLine="1260" w:firstLineChars="45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委托人：</w:t>
      </w:r>
      <w:r>
        <w:rPr>
          <w:rFonts w:hint="eastAsia" w:ascii="仿宋" w:hAnsi="仿宋" w:eastAsia="仿宋" w:cs="仿宋"/>
          <w:sz w:val="28"/>
          <w:szCs w:val="28"/>
          <w:highlight w:val="none"/>
          <w:u w:val="single"/>
        </w:rPr>
        <w:t xml:space="preserve">                          </w:t>
      </w:r>
    </w:p>
    <w:p w14:paraId="40BC4FA5">
      <w:pPr>
        <w:pageBreakBefore w:val="0"/>
        <w:widowControl w:val="0"/>
        <w:kinsoku/>
        <w:wordWrap/>
        <w:overflowPunct/>
        <w:topLinePunct w:val="0"/>
        <w:autoSpaceDE/>
        <w:autoSpaceDN/>
        <w:bidi w:val="0"/>
        <w:spacing w:line="360" w:lineRule="auto"/>
        <w:ind w:left="0" w:leftChars="0" w:firstLine="1260" w:firstLineChars="45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受托人：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w:t>
      </w:r>
    </w:p>
    <w:p w14:paraId="6EE95B8F">
      <w:pPr>
        <w:pageBreakBefore w:val="0"/>
        <w:widowControl w:val="0"/>
        <w:kinsoku/>
        <w:wordWrap/>
        <w:overflowPunct/>
        <w:topLinePunct w:val="0"/>
        <w:autoSpaceDE/>
        <w:autoSpaceDN/>
        <w:bidi w:val="0"/>
        <w:spacing w:line="360" w:lineRule="auto"/>
        <w:ind w:left="0" w:leftChars="0" w:firstLine="1260" w:firstLineChars="450"/>
        <w:jc w:val="left"/>
        <w:textAlignment w:val="auto"/>
        <w:rPr>
          <w:rFonts w:hint="eastAsia" w:ascii="仿宋" w:hAnsi="仿宋" w:eastAsia="仿宋" w:cs="仿宋"/>
          <w:sz w:val="28"/>
          <w:szCs w:val="28"/>
          <w:highlight w:val="none"/>
        </w:rPr>
        <w:sectPr>
          <w:footerReference r:id="rId5" w:type="default"/>
          <w:pgSz w:w="11906" w:h="16838"/>
          <w:pgMar w:top="1440" w:right="1800" w:bottom="1440" w:left="1800" w:header="851" w:footer="992" w:gutter="0"/>
          <w:pgNumType w:fmt="decimal" w:start="1"/>
          <w:cols w:space="425" w:num="1"/>
          <w:docGrid w:type="lines" w:linePitch="312" w:charSpace="0"/>
        </w:sectPr>
      </w:pPr>
      <w:r>
        <w:rPr>
          <w:rFonts w:hint="eastAsia" w:ascii="仿宋" w:hAnsi="仿宋" w:eastAsia="仿宋" w:cs="仿宋"/>
          <w:sz w:val="28"/>
          <w:szCs w:val="28"/>
          <w:highlight w:val="none"/>
        </w:rPr>
        <w:t xml:space="preserve">签订时间：     年     月    日    </w:t>
      </w:r>
    </w:p>
    <w:p w14:paraId="07CF4763">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sz w:val="24"/>
          <w:szCs w:val="24"/>
          <w:highlight w:val="none"/>
          <w:u w:val="single"/>
        </w:rPr>
      </w:pPr>
      <w:bookmarkStart w:id="0" w:name="_GoBack"/>
      <w:bookmarkEnd w:id="0"/>
      <w:r>
        <w:rPr>
          <w:rFonts w:hint="eastAsia" w:ascii="仿宋" w:hAnsi="仿宋" w:eastAsia="仿宋" w:cs="仿宋"/>
          <w:b/>
          <w:bCs/>
          <w:sz w:val="24"/>
          <w:szCs w:val="24"/>
          <w:highlight w:val="none"/>
        </w:rPr>
        <w:t>委托人（甲方）：</w:t>
      </w:r>
      <w:r>
        <w:rPr>
          <w:rFonts w:hint="eastAsia" w:ascii="仿宋" w:hAnsi="仿宋" w:eastAsia="仿宋" w:cs="仿宋"/>
          <w:sz w:val="24"/>
          <w:szCs w:val="24"/>
          <w:highlight w:val="none"/>
          <w:u w:val="single"/>
        </w:rPr>
        <w:t xml:space="preserve">                       </w:t>
      </w:r>
    </w:p>
    <w:p w14:paraId="5B6852D2">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sz w:val="24"/>
          <w:szCs w:val="24"/>
          <w:highlight w:val="none"/>
          <w:u w:val="single"/>
        </w:rPr>
      </w:pPr>
      <w:r>
        <w:rPr>
          <w:rFonts w:hint="eastAsia" w:ascii="仿宋" w:hAnsi="仿宋" w:eastAsia="仿宋" w:cs="仿宋"/>
          <w:b/>
          <w:bCs/>
          <w:sz w:val="24"/>
          <w:szCs w:val="24"/>
          <w:highlight w:val="none"/>
        </w:rPr>
        <w:t>受托人（乙方）：</w:t>
      </w:r>
      <w:r>
        <w:rPr>
          <w:rFonts w:hint="eastAsia" w:ascii="仿宋" w:hAnsi="仿宋" w:eastAsia="仿宋" w:cs="仿宋"/>
          <w:sz w:val="24"/>
          <w:szCs w:val="24"/>
          <w:highlight w:val="none"/>
          <w:u w:val="single"/>
        </w:rPr>
        <w:t xml:space="preserve">                       </w:t>
      </w:r>
    </w:p>
    <w:p w14:paraId="38E6087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甲、乙双方根据《中华人民共和国民法典》及相关法律法规的规定，经过友好协商，就乙方为甲方提供</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服务事宜达成如下协议，以资共同遵守。</w:t>
      </w:r>
    </w:p>
    <w:p w14:paraId="3DDB36E2">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第一条  服务事项及内容</w:t>
      </w:r>
    </w:p>
    <w:p w14:paraId="5E7C3EFF">
      <w:pPr>
        <w:keepNext w:val="0"/>
        <w:keepLines w:val="0"/>
        <w:pageBreakBefore w:val="0"/>
        <w:widowControl w:val="0"/>
        <w:tabs>
          <w:tab w:val="left" w:pos="735"/>
        </w:tabs>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color w:val="000000"/>
          <w:sz w:val="24"/>
          <w:szCs w:val="24"/>
          <w:highlight w:val="none"/>
        </w:rPr>
      </w:pPr>
      <w:r>
        <w:rPr>
          <w:rFonts w:hint="eastAsia" w:ascii="仿宋" w:hAnsi="仿宋" w:eastAsia="仿宋" w:cs="仿宋"/>
          <w:b w:val="0"/>
          <w:bCs/>
          <w:color w:val="000000"/>
          <w:sz w:val="24"/>
          <w:szCs w:val="24"/>
          <w:highlight w:val="none"/>
        </w:rPr>
        <w:t>本次项目建设内容主要包括：</w:t>
      </w:r>
      <w:r>
        <w:rPr>
          <w:rFonts w:hint="eastAsia" w:ascii="仿宋" w:hAnsi="仿宋" w:eastAsia="仿宋" w:cs="仿宋"/>
          <w:b w:val="0"/>
          <w:bCs/>
          <w:color w:val="000000"/>
          <w:sz w:val="24"/>
          <w:szCs w:val="24"/>
          <w:highlight w:val="none"/>
          <w:lang w:val="en-US" w:eastAsia="zh-CN"/>
        </w:rPr>
        <w:t xml:space="preserve">补充新建⾃动⾬量站2个、制作明⽩卡8张、制作宣传⼿册100本、宣传展板10个、铜锣10只、⼝哨20只、⼿摇报警器8个、⼿持扩⾳器8个、应急照明8把、⼭洪灾培训1场、⼭洪灾演练1场、区级预案修编1项、街办(乡)预案修编1项、村级预案修编2项、安置点标识牌1套、安置点指向标识牌1套、 </w:t>
      </w:r>
    </w:p>
    <w:p w14:paraId="3918908D">
      <w:pPr>
        <w:keepNext w:val="0"/>
        <w:keepLines w:val="0"/>
        <w:pageBreakBefore w:val="0"/>
        <w:widowControl w:val="0"/>
        <w:tabs>
          <w:tab w:val="left" w:pos="735"/>
        </w:tabs>
        <w:kinsoku/>
        <w:wordWrap/>
        <w:overflowPunct/>
        <w:topLinePunct w:val="0"/>
        <w:autoSpaceDE/>
        <w:autoSpaceDN/>
        <w:bidi w:val="0"/>
        <w:adjustRightInd w:val="0"/>
        <w:snapToGrid w:val="0"/>
        <w:spacing w:line="360" w:lineRule="auto"/>
        <w:textAlignment w:val="auto"/>
        <w:rPr>
          <w:rFonts w:hint="eastAsia" w:ascii="仿宋" w:hAnsi="仿宋" w:eastAsia="仿宋" w:cs="仿宋"/>
          <w:b w:val="0"/>
          <w:bCs/>
          <w:color w:val="000000"/>
          <w:sz w:val="24"/>
          <w:szCs w:val="24"/>
          <w:highlight w:val="none"/>
        </w:rPr>
      </w:pPr>
      <w:r>
        <w:rPr>
          <w:rFonts w:hint="eastAsia" w:ascii="仿宋" w:hAnsi="仿宋" w:eastAsia="仿宋" w:cs="仿宋"/>
          <w:b w:val="0"/>
          <w:bCs/>
          <w:color w:val="000000"/>
          <w:sz w:val="24"/>
          <w:szCs w:val="24"/>
          <w:highlight w:val="none"/>
          <w:lang w:val="en-US" w:eastAsia="zh-CN"/>
        </w:rPr>
        <w:t>安置点责任⼈标识牌1套。</w:t>
      </w:r>
    </w:p>
    <w:p w14:paraId="3F056A76">
      <w:pPr>
        <w:keepNext w:val="0"/>
        <w:keepLines w:val="0"/>
        <w:pageBreakBefore w:val="0"/>
        <w:widowControl w:val="0"/>
        <w:tabs>
          <w:tab w:val="left" w:pos="735"/>
        </w:tabs>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第二条  服务质量要求及验收</w:t>
      </w:r>
    </w:p>
    <w:p w14:paraId="3D671B0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依据现行有效的法律法规，按照水利部现行有关规范、标准开展工作，通过对灞桥区山洪灾害监测预警系统的更新完善，确保灞桥区山洪灾害监测预警系统前端监测体系正常运转，有效支撑山洪灾害监测预警平台，为灞桥区山洪灾害防御工作提供良好的帮助和支撑，达到发生一般性山洪灾害时，人员不伤亡、财产不损失，发生重大山洪灾害时，能最大限度地减少人员伤亡和财产损失。</w:t>
      </w:r>
    </w:p>
    <w:p w14:paraId="1BE1ED8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2、乙方完成服务后应及时通知甲方进行验收。验收合格的，甲方在验收合格单上签字；验收不合格的，乙方应当在</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日内进行返工或调整，并重新提交甲方验收。</w:t>
      </w:r>
    </w:p>
    <w:p w14:paraId="79A2570F">
      <w:pPr>
        <w:keepNext w:val="0"/>
        <w:keepLines w:val="0"/>
        <w:pageBreakBefore w:val="0"/>
        <w:widowControl w:val="0"/>
        <w:tabs>
          <w:tab w:val="left" w:pos="735"/>
        </w:tabs>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第三条  项目小组及人员要求</w:t>
      </w:r>
    </w:p>
    <w:p w14:paraId="1659A4D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双方各指派一名代表作为本项目负责人，项目负责人职责范围包括：</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5FADB7E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项目主要人员要求：</w:t>
      </w:r>
    </w:p>
    <w:p w14:paraId="5A599BA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甲方需根据项目要求安排一名人员作为项目负责人，负责协调处理项目中的相关问题。</w:t>
      </w:r>
    </w:p>
    <w:p w14:paraId="3A64E3E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sz w:val="24"/>
          <w:szCs w:val="24"/>
          <w:highlight w:val="none"/>
        </w:rPr>
        <w:t>乙方须根据项目要求安排具备相应经验的专业人员从事本项目的服务工作，并确保项目实施队伍的稳定。项目实施过程中，乙方如因正当理由需要调整项目主要人员的，应当提前7日通知甲方，获得甲方书面同意后方可更换。</w:t>
      </w:r>
    </w:p>
    <w:p w14:paraId="2AE9B2F9">
      <w:pPr>
        <w:keepNext w:val="0"/>
        <w:keepLines w:val="0"/>
        <w:pageBreakBefore w:val="0"/>
        <w:widowControl w:val="0"/>
        <w:tabs>
          <w:tab w:val="left" w:pos="735"/>
        </w:tabs>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第四条  服务期限</w:t>
      </w:r>
    </w:p>
    <w:p w14:paraId="70A95FF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乙方为甲方提供上述服务的期限为：自</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日起至</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日止。</w:t>
      </w:r>
    </w:p>
    <w:p w14:paraId="64C5E493">
      <w:pPr>
        <w:keepNext w:val="0"/>
        <w:keepLines w:val="0"/>
        <w:pageBreakBefore w:val="0"/>
        <w:widowControl w:val="0"/>
        <w:tabs>
          <w:tab w:val="left" w:pos="735"/>
        </w:tabs>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第五条  服务费及支付方式</w:t>
      </w:r>
    </w:p>
    <w:p w14:paraId="7165283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本合同项下服务费总额为人民币</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元，大写：</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元。前述服务费已经包含乙方完成本合同项下服务的全部费用，除前述款项外，甲方无需向乙方另行支付其他任何费用。</w:t>
      </w:r>
    </w:p>
    <w:p w14:paraId="3094BA4C">
      <w:pPr>
        <w:keepNext w:val="0"/>
        <w:keepLines w:val="0"/>
        <w:pageBreakBefore w:val="0"/>
        <w:widowControl w:val="0"/>
        <w:tabs>
          <w:tab w:val="left" w:pos="735"/>
        </w:tabs>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支付方式：</w:t>
      </w:r>
      <w:r>
        <w:rPr>
          <w:rFonts w:hint="eastAsia" w:ascii="仿宋" w:hAnsi="仿宋" w:eastAsia="仿宋" w:cs="仿宋"/>
          <w:sz w:val="24"/>
          <w:szCs w:val="24"/>
          <w:highlight w:val="none"/>
          <w:lang w:val="en-US" w:eastAsia="zh-CN"/>
        </w:rPr>
        <w:t>合同签订10日内，⽀付合同总⾦额的40%；项⽬验收合格，达到付款条件起30日内，⽀付合同总⾦额的60%。</w:t>
      </w:r>
    </w:p>
    <w:p w14:paraId="6FD26EE1">
      <w:pPr>
        <w:keepNext w:val="0"/>
        <w:keepLines w:val="0"/>
        <w:pageBreakBefore w:val="0"/>
        <w:widowControl w:val="0"/>
        <w:tabs>
          <w:tab w:val="left" w:pos="735"/>
        </w:tabs>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第六条  甲方的权利义务</w:t>
      </w:r>
    </w:p>
    <w:p w14:paraId="1C03233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甲方有权要求乙方按照本合同约定提供各项服务。</w:t>
      </w:r>
    </w:p>
    <w:p w14:paraId="0E17F81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甲方有权对乙方提供各项服务的情况进行监督和检查。</w:t>
      </w:r>
    </w:p>
    <w:p w14:paraId="4004294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甲方应按照本合同约定向乙方支付服务费。</w:t>
      </w:r>
    </w:p>
    <w:p w14:paraId="07393931">
      <w:pPr>
        <w:keepNext w:val="0"/>
        <w:keepLines w:val="0"/>
        <w:pageBreakBefore w:val="0"/>
        <w:widowControl w:val="0"/>
        <w:tabs>
          <w:tab w:val="left" w:pos="735"/>
        </w:tabs>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第七条  乙方的权利义务</w:t>
      </w:r>
    </w:p>
    <w:p w14:paraId="609A37C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乙方应按照本合同约定向甲方提供各项服务，确保服务质量符合本合同约定或甲方要求；如因乙方提供服务质量不合格给甲方造成损失的，乙方应予赔偿。</w:t>
      </w:r>
    </w:p>
    <w:p w14:paraId="56AB94F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如确有需要，乙方可以选择第三方提供优于自身能及的协作服务，但是外协费用比例不得超过项目费用总额的30％。</w:t>
      </w:r>
    </w:p>
    <w:p w14:paraId="79C2568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乙方保证其向甲方提供的服务不存在任何侵犯第三方著作权、商标权、专利权等合法权益的情形，否则乙方应赔偿因此给甲方造成的全部损失。</w:t>
      </w:r>
    </w:p>
    <w:p w14:paraId="1ABC098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乙方有义务配合甲方或相关单位根据工作需要，对其提供服务情况及项目服务费支出、使用情况进行的监督和检查，出现问题的应及时整改。</w:t>
      </w:r>
    </w:p>
    <w:p w14:paraId="5D86576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乙方应保证为甲方提供服务的员工具备提供本合同项下服务所需的相应资质和许可，并保证乙方人员在为甲方提供服务的过程中，严格遵守甲方的各项规定、服从甲方安排。</w:t>
      </w:r>
    </w:p>
    <w:p w14:paraId="3EEBBE2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如因乙方人员原因，给甲方或第三方造成人员人身伤害或财产损失的，乙方应承担赔偿责任。</w:t>
      </w:r>
    </w:p>
    <w:p w14:paraId="0318D69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未经甲方的书面许可，乙方不得以任何形式将其在本合同项下的权利义务转让给任何第三方。</w:t>
      </w:r>
    </w:p>
    <w:p w14:paraId="4D2DBA11">
      <w:pPr>
        <w:keepNext w:val="0"/>
        <w:keepLines w:val="0"/>
        <w:pageBreakBefore w:val="0"/>
        <w:widowControl w:val="0"/>
        <w:tabs>
          <w:tab w:val="left" w:pos="735"/>
        </w:tabs>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第八条 保密义务</w:t>
      </w:r>
    </w:p>
    <w:p w14:paraId="0E3BA96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乙方因承接本合同约定项目所知悉的该项目信息或甲方信息，以及在项目实施过程中所产生的与该项目有关的全部信息均为甲方的保密信息，乙方应按照《中华人民共和国保守国家秘密法》、《中华人民共和国保守国家秘密法实施办法》及甲方关于保密工作的相关要求，对上述保密信息承担保密义务。未经甲方书面同意，乙方不得将甲方保密信息透露给任何第三方。</w:t>
      </w:r>
    </w:p>
    <w:p w14:paraId="39F6A0B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乙方应对上述保密信息予以妥善保存，并保证仅将其用于与完成本合同项下约定项目实施有关的用途或目的。在缺少相关保密条款约定时，对上述保密信息，乙方应至少采取适用于对自己核心机密进行保护的同等保护措施和审慎程度进行保密。</w:t>
      </w:r>
    </w:p>
    <w:p w14:paraId="3464602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乙方保证将保密信息的披露范围严格控制在直接从事该项目工作且因工作需要有必要知悉保密信息的工作人员范围内，对乙方非从事该项目的人员一律严格保密。</w:t>
      </w:r>
    </w:p>
    <w:p w14:paraId="0A71F0B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乙方应保证在向其工作人员披露甲方的保密信息前，认真做好员工的保密教育工作，明确告知其将知悉的为甲方的保密信息，并明确告知其需承担的保密义务及泄密所应承担的法律责任，并要求全体参与该项目的人员签署书面《保密协议》。</w:t>
      </w:r>
    </w:p>
    <w:p w14:paraId="15C6490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5、任何时间内，一经甲方提出要求，乙方应按照甲方指示在收到甲方书面通知后</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日内将含有保密信息的所有文件或其他资料归还甲方，且不得擅自复制留存。</w:t>
      </w:r>
    </w:p>
    <w:p w14:paraId="292CFE3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6、非经甲方特别授权，甲方向乙方提供的任何保密信息并不包括授予乙方该保密信息包含的任何专利权、商标权、著作权、商业秘密或其它类型的知识产权。</w:t>
      </w:r>
    </w:p>
    <w:p w14:paraId="5ABFD76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乙方承担上述保密义务的期限为合同有效期间及合同终止后</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p>
    <w:p w14:paraId="3C363841">
      <w:pPr>
        <w:keepNext w:val="0"/>
        <w:keepLines w:val="0"/>
        <w:pageBreakBefore w:val="0"/>
        <w:widowControl w:val="0"/>
        <w:tabs>
          <w:tab w:val="left" w:pos="735"/>
        </w:tabs>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第九条 知识产权归属</w:t>
      </w:r>
    </w:p>
    <w:p w14:paraId="3D393FD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乙方为履行本合同义务所形成的服务成果的知识产权归甲方所有。</w:t>
      </w:r>
    </w:p>
    <w:p w14:paraId="790A22E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乙方保证向甲方提供的服务成果是其独立实施完成，不存在任何侵犯第三方专利权、商标权、著作权等合法权益。如因乙方提供的服务成果侵犯任何第三方的合法权益，导致该第三方追究甲方责任的，乙方应负责解决并赔偿因此给甲方造成的全部损失。</w:t>
      </w:r>
    </w:p>
    <w:p w14:paraId="18EC1503">
      <w:pPr>
        <w:keepNext w:val="0"/>
        <w:keepLines w:val="0"/>
        <w:pageBreakBefore w:val="0"/>
        <w:widowControl w:val="0"/>
        <w:tabs>
          <w:tab w:val="left" w:pos="735"/>
        </w:tabs>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第十条  违约责任及合同的解除</w:t>
      </w:r>
    </w:p>
    <w:p w14:paraId="71BFCBB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甲乙双方均应全面履行本合同，任何一方不履行或不按约定履行均构成违约，违约方应赔偿因此给对方造成的全部损失。</w:t>
      </w:r>
    </w:p>
    <w:p w14:paraId="7277087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乙方未按照本合同约定期限向甲方提供服务的，每迟延一日应向甲方支付本合同项下服务费总额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%的违约金；迟延</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日以上仍未提供服务的，甲方有权解除本合同，乙方应返还甲方已经支付的全部款项，并向甲方支付服务费总额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%的违约金。</w:t>
      </w:r>
    </w:p>
    <w:p w14:paraId="456895A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sz w:val="24"/>
          <w:szCs w:val="24"/>
          <w:highlight w:val="none"/>
        </w:rPr>
        <w:t>乙方提供服务不符合本合同约定标准或甲方要求的，乙方应当在甲方规定的期限内进行返工、修改，并重新提交甲方验收；如乙方提供的服务经二次验收仍未通过甲方验收或乙方拒绝按照甲方要求进行返工、修改的，甲方有权解除本合同，乙方应返还甲方已经支付的全部款项，并向甲方支付服务费总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%的违约金。</w:t>
      </w:r>
    </w:p>
    <w:p w14:paraId="7416B41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乙方未按照本合同约定提供专业技术人员团队，或擅自更换人员的，经甲方通知后，应及时予以改正，经甲方通知后仍不改正的或上述情况累计发生3次以上的，甲方有权解除合同，如因此给甲方造成损失的，由乙方承担全部赔偿责任。</w:t>
      </w:r>
    </w:p>
    <w:p w14:paraId="6741C64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sz w:val="24"/>
          <w:szCs w:val="24"/>
          <w:highlight w:val="none"/>
        </w:rPr>
        <w:t>乙方不接受甲方和相关审计部门对本项目进行监督检查的，或经检查发现存在违法违规情况的，按照国家和本市有关规定处理。</w:t>
      </w:r>
    </w:p>
    <w:p w14:paraId="3C397FB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甲方未按本合同约定向乙方支付服务费的，每迟延一日，应向乙方支付拖欠款项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%的违约金。</w:t>
      </w:r>
    </w:p>
    <w:p w14:paraId="41CE12E7">
      <w:pPr>
        <w:keepNext w:val="0"/>
        <w:keepLines w:val="0"/>
        <w:pageBreakBefore w:val="0"/>
        <w:widowControl w:val="0"/>
        <w:tabs>
          <w:tab w:val="left" w:pos="735"/>
        </w:tabs>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第十一条  争议的解决</w:t>
      </w:r>
    </w:p>
    <w:p w14:paraId="3C8C0B1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因履行合同所发生的一切争议，双方应友好协商解决，协商不成的，按下列第</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种方式解决：</w:t>
      </w:r>
    </w:p>
    <w:p w14:paraId="6ECDFC3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1、提交</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仲裁委员会仲裁；</w:t>
      </w:r>
    </w:p>
    <w:p w14:paraId="2AB3A4F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2、依法向</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人民法院起诉。</w:t>
      </w:r>
    </w:p>
    <w:p w14:paraId="11CDD147">
      <w:pPr>
        <w:keepNext w:val="0"/>
        <w:keepLines w:val="0"/>
        <w:pageBreakBefore w:val="0"/>
        <w:widowControl w:val="0"/>
        <w:tabs>
          <w:tab w:val="left" w:pos="735"/>
        </w:tabs>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第十二条  廉政承诺</w:t>
      </w:r>
    </w:p>
    <w:p w14:paraId="7556225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1、合同双方承诺共同加强廉洁自律、反对商业贿赂。</w:t>
      </w:r>
    </w:p>
    <w:p w14:paraId="5E1F7C1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甲方及其工作人员不得索要礼金、有价证券和贵重物品；不得在乙方报销应由本单位或个人支付的费用；不得以参与项目实施为名，接受乙方从该项目中支取的劳务报酬；不得参加乙方安排的超标准宴请和娱乐活动。</w:t>
      </w:r>
    </w:p>
    <w:p w14:paraId="63514A7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3、乙方不得向甲方及其工作人员行贿或馈赠礼金、有价证券、贵重礼品；不得为其报销应由甲方单位或个人支付的费用；不得向甲方工作人员支付劳务报酬；不得安排甲方工作人员参加超标准宴请及娱乐活动。</w:t>
      </w:r>
    </w:p>
    <w:p w14:paraId="67B4D473">
      <w:pPr>
        <w:keepNext w:val="0"/>
        <w:keepLines w:val="0"/>
        <w:pageBreakBefore w:val="0"/>
        <w:widowControl w:val="0"/>
        <w:tabs>
          <w:tab w:val="left" w:pos="735"/>
        </w:tabs>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第十三条  其他</w:t>
      </w:r>
    </w:p>
    <w:p w14:paraId="4159832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本合同自双方签字盖章之日起生效。</w:t>
      </w:r>
    </w:p>
    <w:p w14:paraId="7FF4C38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未尽事宜，经双方协商一致，签订补充协议，补充协议与本合同不一致或相冲突的内容，以补充协议为准。</w:t>
      </w:r>
    </w:p>
    <w:p w14:paraId="159145F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本合同一式</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份，甲、乙双方各执</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份，具有同等法律效力。</w:t>
      </w:r>
    </w:p>
    <w:p w14:paraId="796034B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（以下无正文）</w:t>
      </w:r>
    </w:p>
    <w:p w14:paraId="114795D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Cs/>
          <w:sz w:val="24"/>
          <w:szCs w:val="24"/>
          <w:highlight w:val="none"/>
        </w:rPr>
        <w:sectPr>
          <w:footerReference r:id="rId6" w:type="default"/>
          <w:pgSz w:w="11900" w:h="16840"/>
          <w:pgMar w:top="1440" w:right="1417" w:bottom="1440" w:left="1417" w:header="0" w:footer="1134" w:gutter="0"/>
          <w:pgNumType w:fmt="decimal" w:start="1"/>
          <w:cols w:space="720" w:num="1"/>
        </w:sectPr>
      </w:pPr>
    </w:p>
    <w:p w14:paraId="5D35576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甲方（盖章）：                     乙方（盖章）： </w:t>
      </w:r>
    </w:p>
    <w:p w14:paraId="15BCAF5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法定代表人                          法定代表人</w:t>
      </w:r>
    </w:p>
    <w:p w14:paraId="2D3B766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或授权代理人：                      或授权代理人：                        </w:t>
      </w:r>
    </w:p>
    <w:p w14:paraId="05B67B0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开户行：                            开户行： </w:t>
      </w:r>
    </w:p>
    <w:p w14:paraId="5ACC3E5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开户名称：                          开户名称：</w:t>
      </w:r>
    </w:p>
    <w:p w14:paraId="2A14664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帐  号：                            帐  号： </w:t>
      </w:r>
    </w:p>
    <w:p w14:paraId="05EB1C8A">
      <w:pPr>
        <w:keepNext w:val="0"/>
        <w:keepLines w:val="0"/>
        <w:pageBreakBefore w:val="0"/>
        <w:widowControl/>
        <w:numPr>
          <w:ilvl w:val="0"/>
          <w:numId w:val="0"/>
        </w:numPr>
        <w:kinsoku/>
        <w:wordWrap/>
        <w:topLinePunct w:val="0"/>
        <w:autoSpaceDE w:val="0"/>
        <w:autoSpaceDN w:val="0"/>
        <w:bidi w:val="0"/>
        <w:adjustRightInd w:val="0"/>
        <w:snapToGrid w:val="0"/>
        <w:spacing w:before="62" w:line="220" w:lineRule="auto"/>
        <w:jc w:val="left"/>
        <w:textAlignment w:val="baseline"/>
        <w:outlineLvl w:val="9"/>
        <w:rPr>
          <w:rFonts w:hint="eastAsia" w:ascii="仿宋" w:hAnsi="仿宋" w:eastAsia="仿宋" w:cs="仿宋"/>
          <w:b w:val="0"/>
          <w:bCs w:val="0"/>
          <w:spacing w:val="7"/>
          <w:sz w:val="21"/>
          <w:szCs w:val="21"/>
          <w:highlight w:val="none"/>
          <w:lang w:eastAsia="zh-CN"/>
        </w:rPr>
      </w:pPr>
    </w:p>
    <w:p w14:paraId="4F052230">
      <w:pPr>
        <w:rPr>
          <w:rFonts w:hint="eastAsia"/>
          <w:highlight w:val="none"/>
        </w:rPr>
      </w:pPr>
    </w:p>
    <w:sectPr>
      <w:footerReference r:id="rId7"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ourceHanSerifCNVF-Medium">
    <w:altName w:val="Segoe Print"/>
    <w:panose1 w:val="00000000000000000000"/>
    <w:charset w:val="00"/>
    <w:family w:val="auto"/>
    <w:pitch w:val="default"/>
    <w:sig w:usb0="00000000" w:usb1="00000000" w:usb2="00000000" w:usb3="00000000" w:csb0="00000000" w:csb1="00000000"/>
  </w:font>
  <w:font w:name="DejaVu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14369F">
    <w:pPr>
      <w:pStyle w:val="5"/>
      <w:spacing w:line="14" w:lineRule="auto"/>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D9E16">
    <w:pPr>
      <w:pStyle w:val="5"/>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B60B6DC">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0B60B6DC">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21087">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41B72D1">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14:paraId="141B72D1">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U4YjVhNGI4MWFlODY4MWFhOTYwODc2ZWQxNzA3N2YifQ=="/>
  </w:docVars>
  <w:rsids>
    <w:rsidRoot w:val="4B6444EF"/>
    <w:rsid w:val="00071C74"/>
    <w:rsid w:val="000F0CBC"/>
    <w:rsid w:val="000F18FF"/>
    <w:rsid w:val="000F76D5"/>
    <w:rsid w:val="00193B11"/>
    <w:rsid w:val="00252DE4"/>
    <w:rsid w:val="00267772"/>
    <w:rsid w:val="00300E8D"/>
    <w:rsid w:val="003520A6"/>
    <w:rsid w:val="004763D4"/>
    <w:rsid w:val="005B3D36"/>
    <w:rsid w:val="007656CA"/>
    <w:rsid w:val="00773F79"/>
    <w:rsid w:val="007810F2"/>
    <w:rsid w:val="00792DE9"/>
    <w:rsid w:val="008107F0"/>
    <w:rsid w:val="00823990"/>
    <w:rsid w:val="009049C7"/>
    <w:rsid w:val="00AD2D15"/>
    <w:rsid w:val="00B91026"/>
    <w:rsid w:val="00BD50A8"/>
    <w:rsid w:val="00CB04EC"/>
    <w:rsid w:val="00CD3A1B"/>
    <w:rsid w:val="00E00B60"/>
    <w:rsid w:val="00E20791"/>
    <w:rsid w:val="00EB5E93"/>
    <w:rsid w:val="00FD4C34"/>
    <w:rsid w:val="04D74983"/>
    <w:rsid w:val="060D49D4"/>
    <w:rsid w:val="0F927BE5"/>
    <w:rsid w:val="10022AD1"/>
    <w:rsid w:val="137D7E0F"/>
    <w:rsid w:val="15D45C19"/>
    <w:rsid w:val="18251A52"/>
    <w:rsid w:val="1C6D5CD5"/>
    <w:rsid w:val="1CE06351"/>
    <w:rsid w:val="1EEE2B9E"/>
    <w:rsid w:val="1F92749F"/>
    <w:rsid w:val="208C266E"/>
    <w:rsid w:val="21C03B83"/>
    <w:rsid w:val="24062738"/>
    <w:rsid w:val="35F5219B"/>
    <w:rsid w:val="3AAF5718"/>
    <w:rsid w:val="3DC773E3"/>
    <w:rsid w:val="424741EF"/>
    <w:rsid w:val="437B23A2"/>
    <w:rsid w:val="4A730277"/>
    <w:rsid w:val="4AB8212E"/>
    <w:rsid w:val="4B6444EF"/>
    <w:rsid w:val="4D4201A6"/>
    <w:rsid w:val="54A84FC1"/>
    <w:rsid w:val="5DA14CA4"/>
    <w:rsid w:val="65FC33BF"/>
    <w:rsid w:val="66D47E98"/>
    <w:rsid w:val="66F35689"/>
    <w:rsid w:val="686A10DA"/>
    <w:rsid w:val="6A267020"/>
    <w:rsid w:val="6C353187"/>
    <w:rsid w:val="6DB91B96"/>
    <w:rsid w:val="710E21F8"/>
    <w:rsid w:val="717D0D8D"/>
    <w:rsid w:val="78E6465B"/>
    <w:rsid w:val="7E7B4D2D"/>
    <w:rsid w:val="7F2E61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9"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List Paragraph"/>
    <w:basedOn w:val="1"/>
    <w:autoRedefine/>
    <w:qFormat/>
    <w:uiPriority w:val="0"/>
    <w:pPr>
      <w:ind w:firstLine="420" w:firstLineChars="200"/>
    </w:pPr>
    <w:rPr>
      <w:sz w:val="18"/>
      <w:szCs w:val="18"/>
    </w:rPr>
  </w:style>
  <w:style w:type="paragraph" w:styleId="5">
    <w:name w:val="Body Text"/>
    <w:basedOn w:val="1"/>
    <w:unhideWhenUsed/>
    <w:qFormat/>
    <w:uiPriority w:val="99"/>
    <w:pPr>
      <w:widowControl/>
    </w:pPr>
  </w:style>
  <w:style w:type="paragraph" w:styleId="6">
    <w:name w:val="Balloon Text"/>
    <w:basedOn w:val="1"/>
    <w:link w:val="12"/>
    <w:autoRedefine/>
    <w:qFormat/>
    <w:uiPriority w:val="0"/>
    <w:rPr>
      <w:sz w:val="18"/>
      <w:szCs w:val="18"/>
    </w:rPr>
  </w:style>
  <w:style w:type="paragraph" w:styleId="7">
    <w:name w:val="footer"/>
    <w:basedOn w:val="1"/>
    <w:autoRedefine/>
    <w:qFormat/>
    <w:uiPriority w:val="0"/>
    <w:pPr>
      <w:tabs>
        <w:tab w:val="center" w:pos="4153"/>
        <w:tab w:val="right" w:pos="8306"/>
      </w:tabs>
      <w:snapToGrid w:val="0"/>
      <w:jc w:val="left"/>
    </w:pPr>
    <w:rPr>
      <w:sz w:val="18"/>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Normal (Web)"/>
    <w:basedOn w:val="1"/>
    <w:autoRedefine/>
    <w:qFormat/>
    <w:uiPriority w:val="0"/>
    <w:pPr>
      <w:spacing w:beforeAutospacing="1" w:afterAutospacing="1"/>
      <w:jc w:val="left"/>
    </w:pPr>
    <w:rPr>
      <w:rFonts w:cs="Times New Roman"/>
      <w:kern w:val="0"/>
      <w:sz w:val="24"/>
    </w:rPr>
  </w:style>
  <w:style w:type="character" w:customStyle="1" w:styleId="12">
    <w:name w:val="批注框文本 字符"/>
    <w:basedOn w:val="11"/>
    <w:link w:val="6"/>
    <w:autoRedefine/>
    <w:qFormat/>
    <w:uiPriority w:val="0"/>
    <w:rPr>
      <w:kern w:val="2"/>
      <w:sz w:val="18"/>
      <w:szCs w:val="18"/>
    </w:rPr>
  </w:style>
  <w:style w:type="paragraph" w:customStyle="1" w:styleId="13">
    <w:name w:val="@正文格式"/>
    <w:basedOn w:val="1"/>
    <w:autoRedefine/>
    <w:qFormat/>
    <w:uiPriority w:val="0"/>
    <w:pPr>
      <w:spacing w:line="360" w:lineRule="auto"/>
      <w:ind w:firstLine="200" w:firstLineChars="200"/>
    </w:pPr>
    <w:rPr>
      <w:rFonts w:eastAsia="仿宋"/>
      <w:sz w:val="28"/>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B9C5EF-9B10-4F13-BE32-4E9BC6191C4C}">
  <ds:schemaRefs/>
</ds:datastoreItem>
</file>

<file path=docProps/app.xml><?xml version="1.0" encoding="utf-8"?>
<Properties xmlns="http://schemas.openxmlformats.org/officeDocument/2006/extended-properties" xmlns:vt="http://schemas.openxmlformats.org/officeDocument/2006/docPropsVTypes">
  <Template>Normal</Template>
  <Pages>6</Pages>
  <Words>3178</Words>
  <Characters>3194</Characters>
  <Lines>26</Lines>
  <Paragraphs>7</Paragraphs>
  <TotalTime>1</TotalTime>
  <ScaleCrop>false</ScaleCrop>
  <LinksUpToDate>false</LinksUpToDate>
  <CharactersWithSpaces>3676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2024-04-30T03:28:00Z</dcterms:created>
  <dc:creator>随遇而安</dc:creator>
  <cp:lastModifiedBy>喜欢你微笑的样子</cp:lastModifiedBy>
  <dcterms:modified xsi:type="dcterms:W3CDTF">2026-06-01T08:57:34Z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42AF14D2C4504D978AFC8F9BF9D3F318_13</vt:lpwstr>
  </property>
  <property fmtid="{D5CDD505-2E9C-101B-9397-08002B2CF9AE}" pid="4" name="KSOTemplateDocerSaveRecord">
    <vt:lpwstr>eyJoZGlkIjoiNGE5OWRkNDc1ZDI4MDBmM2Q1ODFhZmFjMTczODNmNTIiLCJ1c2VySWQiOiI1MDQ5NDI0MTEifQ==</vt:lpwstr>
  </property>
</Properties>
</file>