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版本号：SXMF-2026-15620260807001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校园北门围墙改造项目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SXMF-2026-156</w:t>
      </w:r>
      <w:r>
        <w:br/>
      </w:r>
      <w:r>
        <w:br/>
      </w:r>
      <w:r>
        <w:br/>
      </w:r>
    </w:p>
    <w:p>
      <w:pPr>
        <w:pStyle w:val="null3"/>
        <w:jc w:val="center"/>
        <w:outlineLvl w:val="2"/>
      </w:pPr>
      <w:r>
        <w:rPr>
          <w:rFonts w:ascii="仿宋_GB2312" w:hAnsi="仿宋_GB2312" w:cs="仿宋_GB2312" w:eastAsia="仿宋_GB2312"/>
          <w:sz w:val="28"/>
          <w:b/>
        </w:rPr>
        <w:t>西安高级中学</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西安高级中学</w:t>
      </w:r>
      <w:r>
        <w:rPr>
          <w:rFonts w:ascii="仿宋_GB2312" w:hAnsi="仿宋_GB2312" w:cs="仿宋_GB2312" w:eastAsia="仿宋_GB2312"/>
        </w:rPr>
        <w:t>委托，拟对</w:t>
      </w:r>
      <w:r>
        <w:rPr>
          <w:rFonts w:ascii="仿宋_GB2312" w:hAnsi="仿宋_GB2312" w:cs="仿宋_GB2312" w:eastAsia="仿宋_GB2312"/>
        </w:rPr>
        <w:t>校园北门围墙改造项目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SXMF-2026-156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校园北门围墙改造项目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对校园北门290米围墙进行墙基支护加固、护坡整治及绿化提升；改造290米配套道路，完成场地硬化、铺装及绿化；对学生公寓外752平方米场地进行开挖平整、铺装改造及景观绿化。工程施工符合国家现行规范，结构稳固、排水顺畅、场地平整、绿化完好，满足校园安全使用及景观提升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采购包1（校园北门围墙改造项目）：属于专门面向中小企业采购。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①提供2025年经第三方审计的财务报告（含四表一注；执行《小企业会计准则》的小微企业可提供三表一注）；②提供资信证明的，必须提供资信证明全部页以及基本户信息（提供开户许可证或提供基本银行账户信息），银行出具的存款证明不能代替资信证明，存款证明无效。（以上二种形式，任选其一）</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5、具有履行合同所必需的设备和专业技术能力：提供具有履行合同所必需的设备和专业技术能力书面承诺函。</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8、供应商资质：供应商须具备建设行政主管部门颁发的建筑工程施工总承包三级及以上资质，具有有效的安全生产许可证。</w:t>
      </w:r>
    </w:p>
    <w:p>
      <w:pPr>
        <w:pStyle w:val="null3"/>
      </w:pPr>
      <w:r>
        <w:rPr>
          <w:rFonts w:ascii="仿宋_GB2312" w:hAnsi="仿宋_GB2312" w:cs="仿宋_GB2312" w:eastAsia="仿宋_GB2312"/>
        </w:rPr>
        <w:t>9、拟派项目负责人资格和专业要求：具备建筑工程专业二级以上（含二级）注册建造师资格及合格的安全生产考核合格证（建安B证），须在本单位注册，且无在建项目。</w:t>
      </w:r>
    </w:p>
    <w:p>
      <w:pPr>
        <w:pStyle w:val="null3"/>
      </w:pPr>
      <w:r>
        <w:rPr>
          <w:rFonts w:ascii="仿宋_GB2312" w:hAnsi="仿宋_GB2312" w:cs="仿宋_GB2312" w:eastAsia="仿宋_GB2312"/>
        </w:rPr>
        <w:t>10、供应商及拟派项目经理基本信息：供应商及拟派项目经理基本信息须在“陕西省住房和城乡建设厅网”网站（js.shaanxi.gov.cn）可查询。</w:t>
      </w:r>
    </w:p>
    <w:p>
      <w:pPr>
        <w:pStyle w:val="null3"/>
      </w:pPr>
      <w:r>
        <w:rPr>
          <w:rFonts w:ascii="仿宋_GB2312" w:hAnsi="仿宋_GB2312" w:cs="仿宋_GB2312" w:eastAsia="仿宋_GB2312"/>
        </w:rPr>
        <w:t>11、外省进陕企业要求：供应商为外省进陕企业的，须提供陕西省住房和城乡建设厅官网企业库外省进陕企业信息首页截图。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西安市未央区渭滨路43号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029-81711026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及陕价行发（2014）88号文件规定标准收取招标代理费及限价编制费。2.成交供应商在领取成交通知书之前，一次性向采购代理机构缴纳上述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西安高级中学</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按照磋商⽂件、响应⽂件及合同约定的内容进⾏验收。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联系人：张琼超、赵露茹</w:t>
      </w:r>
    </w:p>
    <w:p>
      <w:pPr>
        <w:pStyle w:val="null3"/>
      </w:pPr>
      <w:r>
        <w:rPr>
          <w:rFonts w:ascii="仿宋_GB2312" w:hAnsi="仿宋_GB2312" w:cs="仿宋_GB2312" w:eastAsia="仿宋_GB2312"/>
        </w:rPr>
        <w:t>联系电话：029-88010883</w:t>
      </w:r>
    </w:p>
    <w:p>
      <w:pPr>
        <w:pStyle w:val="null3"/>
      </w:pPr>
      <w:r>
        <w:rPr>
          <w:rFonts w:ascii="仿宋_GB2312" w:hAnsi="仿宋_GB2312" w:cs="仿宋_GB2312" w:eastAsia="仿宋_GB2312"/>
        </w:rPr>
        <w:t>地址：西安市未央区明光路龙腾半导体产业园B座307室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911,000.00</w:t>
      </w:r>
    </w:p>
    <w:p>
      <w:pPr>
        <w:pStyle w:val="null3"/>
      </w:pPr>
      <w:r>
        <w:rPr>
          <w:rFonts w:ascii="仿宋_GB2312" w:hAnsi="仿宋_GB2312" w:cs="仿宋_GB2312" w:eastAsia="仿宋_GB2312"/>
        </w:rPr>
        <w:t>采购包最高限价（元）: 906,180.81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校园北门围墙改造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标的名称：校园北门围墙改造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校园北门290米围墙进行墙基支护加固、护坡整治及绿化提升；改造290米配套道路，完成场地硬化、铺装及绿化；对学生公寓外752平方米场地进行开挖平整、铺装改造及景观绿化。工程施工符合国家现行规范，结构稳固、排水顺畅、场地平整、绿化完好，满足校园安全使用及景观提升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工期：30日历天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项目地点：西安高级中学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质量要求：须符合国家施工验收规范要求，达到合格标准。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质保期：质保期为一年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技术要求： 1.供应商应按磋商文件中施工图纸、技术要求和工程量清单的要求编制响应文件，并在响应文件中注明主要材料选用品牌、规格型号等。 2.要求所有建筑材料采用环保型材料，阻燃、无毒、无害、无放射性。施工时，需提供主要施工材料来源渠道合法的证明文件（包括但不限于销售协议、代理协议、原厂授权等）。因施工不善或材料使用不当发生工程事故及人员伤害的，责任和由此而发生的各种费用由施工单位全部承担。 3.工程施工应按国家现行标准和相应的行业技术规范执行，这些标准和技术规范应为合同签订日为止最新公布发行的标准和技术规范。包括但不限于《建筑工程施工质量验收统一标准》GB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合同价款形式：固定综合单价。</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其它要求： 1.施工单位的食宿由施工方自行解决，应遵守国家和建设单位的各项规定，及时至建设单位后勤处办理入校相关手续，施工期间的所有安全问题及由此而发生的各种费用由施工单位全部负责和承担。 2.项目踏勘现场时，请仔细研究设计图纸、工程量清单及现场情况，如有异议请及时提出，如无异议表示确认招标资料，中标后不予变更签证；如因建设单位要求确需变更签证的，需严格按照建设单位变更签证管理办法相关程序办理申批手续。 3.施工产生的电费和水费成交供应商承担，一次性交付建设单位。 4.施工单位必须按照建设单位要求，严格按照工期要求保质保量完成工程；若延误工期，每日按照合同总额的千分之五处罚（若因天气等不可抗力因素导致延误，需作书面说明）。 5.施工前，成交供应商应向建设单位后勤处提交项目人员安排、进度计划表、安全措施、材料采购计划等（与响应文件一致），如有变动，应做书面说明并经建设单位认可。 6.施工过程中，施工单位必须严格按照磋商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 7.成交供应商须严格落实安全协议书相关条款和提交的安全措施，如设置施工安全标志、施工人员佩戴安全防护用品、定期组织安全教育培训等。 8.施工前要在门口张贴施工告示，明确工期、负责人及联系方式等，工程材料应集中堆放；施工时严格采取措施控制好扬尘、噪音；施工中产生的建筑垃圾应装袋后及时清理。 9.工程量清单详见电子版。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纸质响应文件要求：（1）成交供应商应在成交结果公告发布后5个工作日内提供纸质响应文件三份，响应文件需包含目录、无少页、缺页，从响应文件有内容的第一页开始连续页码（或单独使用打码器打码）。（2）递交地址：西安市未央区明光路龙腾半导体产业园B座307室，联系人：张琼超、赵露茹，联系电话：029-88010883。（3）成交供应商应保持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提供2025年经第三方审计的财务报告（含四表一注；执行《小企业会计准则》的小微企业可提供三表一注）；②提供资信证明的，必须提供资信证明全部页以及基本户信息（提供开户许可证或提供基本银行账户信息），银行出具的存款证明不能代替资信证明，存款证明无效。（以上二种形式，任选其一）</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①提供2025年经第三方审计的财务报告（含四表一注；执行《小企业会计准则》的小微企业可提供三表一注）；②提供资信证明的，必须提供资信证明全部页以及基本户信息（提供开户许可证或提供基本银行账户信息），银行出具的存款证明不能代替资信证明，存款证明无效。（以上二种形式，任选其一）</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拟派项目负责人资格和专业要求</w:t>
            </w:r>
          </w:p>
        </w:tc>
        <w:tc>
          <w:tcPr>
            <w:tcW w:type="dxa" w:w="3322"/>
          </w:tcPr>
          <w:p>
            <w:pPr>
              <w:pStyle w:val="null3"/>
            </w:pPr>
            <w:r>
              <w:rPr>
                <w:rFonts w:ascii="仿宋_GB2312" w:hAnsi="仿宋_GB2312" w:cs="仿宋_GB2312" w:eastAsia="仿宋_GB2312"/>
              </w:rPr>
              <w:t>具备建筑工程专业二级以上（含二级）注册建造师资格及合格的安全生产考核合格证（建安B证），须在本单位注册，且无在建项目。</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供应商及拟派项目经理基本信息须在“陕西省住房和城乡建设厅网”网站（js.shaanxi.gov.cn）可查询。</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外省进陕企业要求</w:t>
            </w:r>
          </w:p>
        </w:tc>
        <w:tc>
          <w:tcPr>
            <w:tcW w:type="dxa" w:w="3322"/>
          </w:tcPr>
          <w:p>
            <w:pPr>
              <w:pStyle w:val="null3"/>
            </w:pPr>
            <w:r>
              <w:rPr>
                <w:rFonts w:ascii="仿宋_GB2312" w:hAnsi="仿宋_GB2312" w:cs="仿宋_GB2312" w:eastAsia="仿宋_GB2312"/>
              </w:rPr>
              <w:t>供应商为外省进陕企业的，须提供陕西省住房和城乡建设厅官网企业库外省进陕企业信息首页截图。</w:t>
            </w:r>
          </w:p>
        </w:tc>
        <w:tc>
          <w:tcPr>
            <w:tcW w:type="dxa" w:w="1661"/>
          </w:tcPr>
          <w:p>
            <w:pPr>
              <w:pStyle w:val="null3"/>
            </w:pPr>
            <w:r>
              <w:rPr>
                <w:rFonts w:ascii="仿宋_GB2312" w:hAnsi="仿宋_GB2312" w:cs="仿宋_GB2312" w:eastAsia="仿宋_GB2312"/>
              </w:rPr>
              <w:t>供应商提交的相关资格证明文件.docx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供应商提交的相关资格证明文件.docx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响应文件按磋商文件要求的数量、计量单位、报价及签字盖章</w:t>
            </w:r>
          </w:p>
        </w:tc>
        <w:tc>
          <w:tcPr>
            <w:tcW w:type="dxa" w:w="3322"/>
          </w:tcPr>
          <w:p>
            <w:pPr>
              <w:pStyle w:val="null3"/>
            </w:pPr>
            <w:r>
              <w:rPr>
                <w:rFonts w:ascii="仿宋_GB2312" w:hAnsi="仿宋_GB2312" w:cs="仿宋_GB2312" w:eastAsia="仿宋_GB2312"/>
              </w:rPr>
              <w:t>响应文件按磋商文件要求的数量、计量单位、报价及签字盖章（合格）响应文件未按磋商文件要求的数量、计量单位、报价及签字盖章（不合格）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法定代表人身份证明书及授权委托书.docx 响应方案.docx 响应文件封面 供应商提交的相关资格证明文件.docx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响应有效期达到磋商文件要求</w:t>
            </w:r>
          </w:p>
        </w:tc>
        <w:tc>
          <w:tcPr>
            <w:tcW w:type="dxa" w:w="3322"/>
          </w:tcPr>
          <w:p>
            <w:pPr>
              <w:pStyle w:val="null3"/>
            </w:pPr>
            <w:r>
              <w:rPr>
                <w:rFonts w:ascii="仿宋_GB2312" w:hAnsi="仿宋_GB2312" w:cs="仿宋_GB2312" w:eastAsia="仿宋_GB2312"/>
              </w:rPr>
              <w:t>响应有效期达到磋商文件要求（合格）响应有效期未达到磋商文件要求（不合格）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技术、服务、商务响应满足实质性要求</w:t>
            </w:r>
          </w:p>
        </w:tc>
        <w:tc>
          <w:tcPr>
            <w:tcW w:type="dxa" w:w="3322"/>
          </w:tcPr>
          <w:p>
            <w:pPr>
              <w:pStyle w:val="null3"/>
            </w:pPr>
            <w:r>
              <w:rPr>
                <w:rFonts w:ascii="仿宋_GB2312" w:hAnsi="仿宋_GB2312" w:cs="仿宋_GB2312" w:eastAsia="仿宋_GB2312"/>
              </w:rPr>
              <w:t>技术、服务响应满足磋商文件第三章第3.1条“技术、服务标准和要求”；商务响应满足磋商文件第三章第3.2条“商务要求”，任意一条不满足（不合格）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符合法律、法规和磋商文件中规定的其他实质性要求（合格）不符合法律、法规和磋商文件中规定的其他实质性要求（不合格）</w:t>
            </w:r>
          </w:p>
        </w:tc>
        <w:tc>
          <w:tcPr>
            <w:tcW w:type="dxa" w:w="1661"/>
          </w:tcPr>
          <w:p>
            <w:pPr>
              <w:pStyle w:val="null3"/>
            </w:pPr>
            <w:r>
              <w:rPr>
                <w:rFonts w:ascii="仿宋_GB2312" w:hAnsi="仿宋_GB2312" w:cs="仿宋_GB2312" w:eastAsia="仿宋_GB2312"/>
              </w:rPr>
              <w:t>技术服务合同条款及其他商务要求应答表 响应方案.docx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项目目标理解；②项目整体施工方案；③施工保障措施；④专项技术方案（含主要施工方法、组织措施、检验手段等）。赋分标准：供应商制定的方案对项目要求理解准确，内容齐全、结构完整、符合项目实际情况的得12.0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评审内容：①针对本项目制定切实可行的总体质量控制目标；②对质量控制目标进行合理分解、规划，确保本项目质量标准符合相关标准；③ 提供针对本项目的工程质量保证措施。赋分标准：供应商制定的方案对项目要求理解准确，内容齐全、结构完整、符合项目实际情况的得9.0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评审内容：①分析本项目进度目标及关键节点；②针对关键节点、具体环节提出相应进度保障措施；③根据本项目的工期要求，提供全面的确保工程按期按质完成的进度计划安排。赋分标准：供应商制定的方案对项目要求理解准确，内容齐全、结构完整、符合项目实际情况的得9.0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评审内容：①针对工程环境、特点分析安全隐患；②给出有针对性的安全生产、文明施工、环保施工、防尘降噪等保证措施。 赋分标准：供应商制定的方案对项目要求理解准确，内容齐全、结构完整、符合项目实际情况的得6.0分，评审内容每缺失一项，扣3.0分。每项评审内容有一处存在缺陷的扣0.25分，扣完为止。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①项目管理机构人员岗位设置情况；②各岗位专业技术能力情况。赋分标准：供应商制定的方案对项目要求理解准确，内容齐全、结构完整、符合项目实际情况的得6.0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机械设备投入计划</w:t>
            </w:r>
          </w:p>
        </w:tc>
        <w:tc>
          <w:tcPr>
            <w:tcW w:type="dxa" w:w="2492"/>
          </w:tcPr>
          <w:p>
            <w:pPr>
              <w:pStyle w:val="null3"/>
            </w:pPr>
            <w:r>
              <w:rPr>
                <w:rFonts w:ascii="仿宋_GB2312" w:hAnsi="仿宋_GB2312" w:cs="仿宋_GB2312" w:eastAsia="仿宋_GB2312"/>
              </w:rPr>
              <w:t>评审内容：①机械设备投入计划；②机械设备的使用情况。赋分标准：供应商制定的方案对项目要求理解准确，内容齐全、结构完整、符合项目实际情况的得6.0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评审内容：①项目实施的重点、难点进行分析；②针对重点、难点编制应急预案。赋分标准：供应商制定的方案对项目要求理解准确，内容齐全、结构完整、符合项目实际情况的得6.0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劳动力和材料投入计划</w:t>
            </w:r>
          </w:p>
        </w:tc>
        <w:tc>
          <w:tcPr>
            <w:tcW w:type="dxa" w:w="2492"/>
          </w:tcPr>
          <w:p>
            <w:pPr>
              <w:pStyle w:val="null3"/>
            </w:pPr>
            <w:r>
              <w:rPr>
                <w:rFonts w:ascii="仿宋_GB2312" w:hAnsi="仿宋_GB2312" w:cs="仿宋_GB2312" w:eastAsia="仿宋_GB2312"/>
              </w:rPr>
              <w:t>评审内容：①供应商针对本项目提供详细的劳动力和材料投入计划；②供应商针对本项目提供详细的劳动力和材料保证措施。赋分标准：供应商制定的方案对项目要求理解准确，内容齐全、结构完整、符合项目实际情况的得6.0分，评审内容每缺失一项，扣3.0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评审内容：①针对本项目的保修服务承诺；②针对本项目的优化建议。赋分标准：供应商制定的方案对项目要求理解准确，内容齐全、结构完整、符合项目实际情况的得4.0分，评审内容每缺失一项，扣2.0分。每项评审内容有一处存在缺陷的扣0.25分，扣完为止。 （缺陷是指：内容不详细具体、条理不清晰、描述过于简单、与项目特点不匹配、凭空编造、出现常识性错误、不可能实现的夸大情形、存在不适用项目实际情况的情形等）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详见附件：供应商提交的相关资格证明文件.docx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