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A2060">
      <w:pPr>
        <w:numPr>
          <w:ilvl w:val="0"/>
          <w:numId w:val="1"/>
        </w:numPr>
        <w:spacing w:line="384" w:lineRule="auto"/>
        <w:ind w:firstLine="498" w:firstLineChars="200"/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  <w:t>采购内容：普查员统一用羽绒马甲</w:t>
      </w:r>
    </w:p>
    <w:p w14:paraId="6D50600A">
      <w:pPr>
        <w:numPr>
          <w:ilvl w:val="0"/>
          <w:numId w:val="1"/>
        </w:numPr>
        <w:spacing w:line="384" w:lineRule="auto"/>
        <w:ind w:firstLine="498" w:firstLineChars="200"/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  <w:t>数量（暂估）：20400件</w:t>
      </w:r>
    </w:p>
    <w:p w14:paraId="4E05CED0">
      <w:pPr>
        <w:numPr>
          <w:ilvl w:val="0"/>
          <w:numId w:val="1"/>
        </w:numPr>
        <w:spacing w:line="384" w:lineRule="auto"/>
        <w:ind w:firstLine="498" w:firstLineChars="200"/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  <w:t>技术要求：</w:t>
      </w:r>
    </w:p>
    <w:p w14:paraId="6A0F0998">
      <w:pPr>
        <w:numPr>
          <w:ilvl w:val="0"/>
          <w:numId w:val="2"/>
        </w:numPr>
        <w:spacing w:line="384" w:lineRule="auto"/>
        <w:ind w:firstLine="496" w:firstLineChars="200"/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参数要求：统一徽标，不区分男女款，羽绒填充，面料耐磨抗皱易打理，多尺码可选，尺码范围：同款M/L/XL/XXL/XXXL。</w:t>
      </w:r>
    </w:p>
    <w:p w14:paraId="6E533CAD">
      <w:pPr>
        <w:numPr>
          <w:ilvl w:val="0"/>
          <w:numId w:val="2"/>
        </w:numPr>
        <w:spacing w:line="384" w:lineRule="auto"/>
        <w:ind w:firstLine="496" w:firstLineChars="200"/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面料材质：外层采用100%聚酯纤维防风面料，具备防风、防泼水、抗起球、抗皱性能。里料材质：采用柔软透气里布，亲肤不刺激，防静电，不钻绒、不跑绒，适配春秋冬三季户外作业。</w:t>
      </w:r>
    </w:p>
    <w:p w14:paraId="7DC531D0">
      <w:pPr>
        <w:numPr>
          <w:ilvl w:val="0"/>
          <w:numId w:val="2"/>
        </w:numPr>
        <w:spacing w:line="384" w:lineRule="auto"/>
        <w:ind w:firstLine="496" w:firstLineChars="200"/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羽绒填充：采用纯白鸭绒或白鹅绒填充，绒子含量及蓬松度符合执行标准。无异味、无杂质、无粉尘，经过高温消毒、防钻绒处理，保暖性能达标，符合国家羽绒制品安全标准。</w:t>
      </w:r>
    </w:p>
    <w:p w14:paraId="075124CC">
      <w:pPr>
        <w:numPr>
          <w:ilvl w:val="0"/>
          <w:numId w:val="2"/>
        </w:numPr>
        <w:spacing w:line="384" w:lineRule="auto"/>
        <w:ind w:firstLine="496" w:firstLineChars="200"/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辅料要求：拉链采用顺滑耐用合金双头拉链，反复拉合无卡顿、不脱齿；松紧收腰或侧边调节扣设计，适配不同体型；口袋缝制牢固，布局合理，方便放置手机、普查表单等物件；缝线均匀密实，无跳线、断线、开线问题。</w:t>
      </w:r>
    </w:p>
    <w:p w14:paraId="02CD24D8">
      <w:pPr>
        <w:numPr>
          <w:ilvl w:val="0"/>
          <w:numId w:val="2"/>
        </w:numPr>
        <w:spacing w:line="384" w:lineRule="auto"/>
        <w:ind w:firstLine="496" w:firstLineChars="200"/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款式设计：简约立领连帽羽绒马甲款式，帽子或可拆卸，无袖设计，活动灵活，整体版型修身不臃肿，颜色采用藏青色或黑色等沉稳、耐脏的深色系（具体颜色以采购人确认样衣为准）。</w:t>
      </w:r>
    </w:p>
    <w:p w14:paraId="62D92045">
      <w:pPr>
        <w:numPr>
          <w:ilvl w:val="0"/>
          <w:numId w:val="2"/>
        </w:numPr>
        <w:spacing w:line="384" w:lineRule="auto"/>
        <w:ind w:firstLine="496" w:firstLineChars="200"/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标识要求：衣服醒目位置缝制或印制统一的第四次全国农业普查专属徽标，缝制浮标设计可拆卸；徽标材质、尺寸、颜色严格按照采购人提供的标准模板制作。</w:t>
      </w:r>
    </w:p>
    <w:p w14:paraId="09E29F13">
      <w:pPr>
        <w:numPr>
          <w:ilvl w:val="0"/>
          <w:numId w:val="1"/>
        </w:numPr>
        <w:spacing w:line="384" w:lineRule="auto"/>
        <w:ind w:firstLine="498" w:firstLineChars="200"/>
        <w:rPr>
          <w:rFonts w:hint="default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4"/>
          <w:szCs w:val="21"/>
          <w:highlight w:val="none"/>
          <w:lang w:val="en-US" w:eastAsia="zh-CN"/>
        </w:rPr>
        <w:t>样品要求</w:t>
      </w:r>
    </w:p>
    <w:p w14:paraId="6AA9EA59">
      <w:pPr>
        <w:numPr>
          <w:ilvl w:val="0"/>
          <w:numId w:val="3"/>
        </w:numPr>
        <w:spacing w:line="384" w:lineRule="auto"/>
        <w:ind w:firstLine="496" w:firstLineChars="200"/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本项目投标人递交样品时，必须同步提交第三方机构出具的检测报告，检测项目包含面料单位面积质量、面料抗起球性能、羽绒绒子含量、羽绒蓬松度、面料防钻绒性能，出具的检测报告应当可核验真伪。中标人供货成品各项指标须与评审合格样品、检测报告参数保持一致，面料、版型、色差、徽标、检测指标任意一项不符均视作违约，中标样品及配套检测报告予以封存保管，作为项目履约验收的参考依据。</w:t>
      </w:r>
    </w:p>
    <w:p w14:paraId="75672898">
      <w:pPr>
        <w:numPr>
          <w:ilvl w:val="0"/>
          <w:numId w:val="3"/>
        </w:numPr>
        <w:spacing w:line="384" w:lineRule="auto"/>
        <w:ind w:firstLine="496" w:firstLineChars="200"/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样品递交截止时间同开标时间，递交地址：西安市公共资源交易中心白桦林国际B座一楼大厅。</w:t>
      </w:r>
    </w:p>
    <w:p w14:paraId="27929907">
      <w:pPr>
        <w:numPr>
          <w:ilvl w:val="0"/>
          <w:numId w:val="0"/>
        </w:numPr>
        <w:spacing w:line="384" w:lineRule="auto"/>
        <w:ind w:firstLine="496" w:firstLineChars="200"/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3、</w:t>
      </w:r>
      <w:r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样品处置约定：未中标投标人的样品及检测报告，评审结束后投标人可在3个工作日内</w:t>
      </w: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联系代理机构</w:t>
      </w:r>
      <w:r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自行取回，逾期未领取，视同投标人同意采购</w:t>
      </w: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人</w:t>
      </w:r>
      <w:r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自行处置；中标投标人的样品及检测报告</w:t>
      </w:r>
      <w:r>
        <w:rPr>
          <w:rFonts w:hint="eastAsia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由采购人保管，</w:t>
      </w:r>
      <w:r>
        <w:rPr>
          <w:rFonts w:hint="default" w:ascii="仿宋" w:hAnsi="仿宋" w:eastAsia="仿宋" w:cs="仿宋"/>
          <w:color w:val="auto"/>
          <w:spacing w:val="4"/>
          <w:szCs w:val="21"/>
          <w:highlight w:val="none"/>
          <w:lang w:val="en-US" w:eastAsia="zh-CN"/>
        </w:rPr>
        <w:t>留存至整体质保期届满，用作到货比对验收，质保期满后统一处置，不予返还。</w:t>
      </w:r>
    </w:p>
    <w:p w14:paraId="78D0A42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04671C"/>
    <w:multiLevelType w:val="singleLevel"/>
    <w:tmpl w:val="B004671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CD20A7B"/>
    <w:multiLevelType w:val="singleLevel"/>
    <w:tmpl w:val="DCD20A7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DF01824"/>
    <w:multiLevelType w:val="singleLevel"/>
    <w:tmpl w:val="DDF0182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0334B"/>
    <w:rsid w:val="3EB0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2026-07-09T07:23:00Z</dcterms:created>
  <dc:creator>弥猫深巷°</dc:creator>
  <cp:lastModifiedBy>弥猫深巷°</cp:lastModifiedBy>
  <dcterms:modified xsi:type="dcterms:W3CDTF">2026-07-09T07:23:34Z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13E74678704D4382B2B580C108E32F5F_11</vt:lpwstr>
  </property>
  <property fmtid="{D5CDD505-2E9C-101B-9397-08002B2CF9AE}" pid="4" name="KSOTemplateDocerSaveRecord">
    <vt:lpwstr>eyJoZGlkIjoiNjdlNGM1NWU5ZTM1Mzc3ZjUzODQ4MTgyZmMyNmQyNjciLCJ1c2VySWQiOiIyNTEwOTc4MjkifQ==</vt:lpwstr>
  </property>
</Properties>
</file>