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版本号：SXXM—2026—071220260717003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图书楼及公寓楼加固改造项目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SXXM—2026—0712</w:t>
      </w:r>
      <w:r>
        <w:br/>
      </w:r>
      <w:r>
        <w:br/>
      </w:r>
      <w:r>
        <w:br/>
      </w:r>
    </w:p>
    <w:p>
      <w:pPr>
        <w:pStyle w:val="null3"/>
        <w:jc w:val="center"/>
        <w:outlineLvl w:val="2"/>
      </w:pPr>
      <w:r>
        <w:rPr>
          <w:rFonts w:ascii="仿宋_GB2312" w:hAnsi="仿宋_GB2312" w:cs="仿宋_GB2312" w:eastAsia="仿宋_GB2312"/>
          <w:sz w:val="28"/>
          <w:b/>
        </w:rPr>
        <w:t>汉中市第一职业中等专业学校</w:t>
      </w:r>
    </w:p>
    <w:p>
      <w:pPr>
        <w:pStyle w:val="null3"/>
        <w:jc w:val="center"/>
        <w:outlineLvl w:val="2"/>
      </w:pPr>
      <w:r>
        <w:rPr>
          <w:rFonts w:ascii="仿宋_GB2312" w:hAnsi="仿宋_GB2312" w:cs="仿宋_GB2312" w:eastAsia="仿宋_GB2312"/>
          <w:sz w:val="28"/>
          <w:b/>
        </w:rPr>
        <w:t>陕西雄迈工程项目管理有限公司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陕西雄迈工程项目管理有限公司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汉中市第一职业中等专业学校</w:t>
      </w:r>
      <w:r>
        <w:rPr>
          <w:rFonts w:ascii="仿宋_GB2312" w:hAnsi="仿宋_GB2312" w:cs="仿宋_GB2312" w:eastAsia="仿宋_GB2312"/>
        </w:rPr>
        <w:t>委托，拟对</w:t>
      </w:r>
      <w:r>
        <w:rPr>
          <w:rFonts w:ascii="仿宋_GB2312" w:hAnsi="仿宋_GB2312" w:cs="仿宋_GB2312" w:eastAsia="仿宋_GB2312"/>
        </w:rPr>
        <w:t>图书楼及公寓楼加固改造项目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SXXM—2026—0712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图书楼及公寓楼加固改造项目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位于汉中市第一职业中等专业学校图书楼及公寓楼加固改造项目学校内，主要建设内容为：本项目总改造面积3400平方米;其中图书楼1515平方米，公寓楼1885平方米。1.图书楼:重点开展拆除加固、结构加固及装饰配套改造工作；2.公寓楼:主要实施建筑结构加固改造、门窗更换、地面及楼梯改造、墙面部分翻新改造等工程等。所包括施工图设计中的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采购包1（图书楼及公寓楼加固改造）：属于专门面向中小企业采购。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1、营业执照或相关证明文件：供应商须为独⽴承担⺠事责任能⼒的法⼈或其他组织或⾃然⼈。其中企业法⼈应提供有效的统⼀社会信⽤代码的营业执照， 事业法⼈应提供事业单位法⼈证、组织机构代码证等证明⽂件， 其他组织应提供相应的合法证明⽂件，⾃然⼈提供⾝份证明⽂件。</w:t>
      </w:r>
    </w:p>
    <w:p>
      <w:pPr>
        <w:pStyle w:val="null3"/>
      </w:pPr>
      <w:r>
        <w:rPr>
          <w:rFonts w:ascii="仿宋_GB2312" w:hAnsi="仿宋_GB2312" w:cs="仿宋_GB2312" w:eastAsia="仿宋_GB2312"/>
        </w:rPr>
        <w:t>2、法定代表人身份证或授权委托书：法定代表⼈参加磋商的， 须出⽰⾝份证；法定代表⼈授权他⼈参加磋商的， 须提供法定代表⼈授权委托书及被授权⼈⾝份证。</w:t>
      </w:r>
    </w:p>
    <w:p>
      <w:pPr>
        <w:pStyle w:val="null3"/>
      </w:pPr>
      <w:r>
        <w:rPr>
          <w:rFonts w:ascii="仿宋_GB2312" w:hAnsi="仿宋_GB2312" w:cs="仿宋_GB2312" w:eastAsia="仿宋_GB2312"/>
        </w:rPr>
        <w:t>3、汉中市政府采购供应商资格承诺函：供应商须具有健全的财务会计制度、具有履⾏合同所必需的设备和专业技术能⼒ 、具有依法缴纳税收和社会保障资⾦的良好记录， 参加本项⽬采购活动前三年内在经营活动中⽆重⼤违法活动记录， 未列⼊在信⽤中国⽹站 “失信被执⾏⼈ ” 、“重⼤税收违法案件当事⼈名单 ” 中(www.creditchina.gov.cn)， 未列⼊中国政府采购⽹ “政府采购严重违法失信⾏为记录名单 ” 中（www.ccgp.gov.cn）， 供应商需提供加盖公章的《汉中市政府采购供应商资格承诺函》。</w:t>
      </w:r>
    </w:p>
    <w:p>
      <w:pPr>
        <w:pStyle w:val="null3"/>
      </w:pPr>
      <w:r>
        <w:rPr>
          <w:rFonts w:ascii="仿宋_GB2312" w:hAnsi="仿宋_GB2312" w:cs="仿宋_GB2312" w:eastAsia="仿宋_GB2312"/>
        </w:rPr>
        <w:t>4、供应商资质：供应商须具备建设⾏政主管部⻔核发的建筑⼯程施⼯总承包三级（含三级）及以上资质和特种⼯程专业承包（结构补强）资质， 具有有效的安全⽣产许可证。</w:t>
      </w:r>
    </w:p>
    <w:p>
      <w:pPr>
        <w:pStyle w:val="null3"/>
      </w:pPr>
      <w:r>
        <w:rPr>
          <w:rFonts w:ascii="仿宋_GB2312" w:hAnsi="仿宋_GB2312" w:cs="仿宋_GB2312" w:eastAsia="仿宋_GB2312"/>
        </w:rPr>
        <w:t>5、拟派项目负责人要求：拟派项⽬负责⼈须具备有效的建筑⼯程专业⼆级及以上（含⼆级）注册建造师资格（不含临时执业资格）, 并具有⾏业主管部⻔核发的安全⽣产考核合格B证， 在本单位注册且⽆在建项⽬(出具⽆在建承诺书）。</w:t>
      </w:r>
    </w:p>
    <w:p>
      <w:pPr>
        <w:pStyle w:val="null3"/>
      </w:pPr>
      <w:r>
        <w:rPr>
          <w:rFonts w:ascii="仿宋_GB2312" w:hAnsi="仿宋_GB2312" w:cs="仿宋_GB2312" w:eastAsia="仿宋_GB2312"/>
        </w:rPr>
        <w:t>6、非联合体响应：本项目不接受联合体响应</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汉中市第一职业中等专业学校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汉台区莲湖路中段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汉中市第一职业中等专业学校经办人张小军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13689160012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陕西雄迈工程项目管理有限公司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汉中市汉台区中山街街道办事处汉江新城留苑4栋1单元901室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18292617523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采购包1：2,713,987.38元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开户名称：陕西雄迈工程项目管理有限公司汉中分公司</w:t>
            </w:r>
          </w:p>
          <w:p>
            <w:pPr>
              <w:pStyle w:val="null3"/>
            </w:pPr>
            <w:r>
              <w:rPr>
                <w:rFonts w:ascii="仿宋_GB2312" w:hAnsi="仿宋_GB2312" w:cs="仿宋_GB2312" w:eastAsia="仿宋_GB2312"/>
              </w:rPr>
              <w:t>开户银行：交通银行股份有限公司汉中分行</w:t>
            </w:r>
          </w:p>
          <w:p>
            <w:pPr>
              <w:pStyle w:val="null3"/>
            </w:pPr>
            <w:r>
              <w:rPr>
                <w:rFonts w:ascii="仿宋_GB2312" w:hAnsi="仿宋_GB2312" w:cs="仿宋_GB2312" w:eastAsia="仿宋_GB2312"/>
              </w:rPr>
              <w:t>银行账号：617899991010003019958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代理服务费收费标准：参考国家发展计划委员会计价格【2002】1980 号关于印发《招标代理服务收费管理暂行办法》及《国家发展和改革委员会办公厅关于招标代理服务收费有关问题的通知》（发改办价格〔2003〕857 号）文件规定，以成交价为基数，按照工程类招标计算优惠后收取代理服务费。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汉中市第一职业中等专业学校</w:t>
      </w:r>
      <w:r>
        <w:rPr>
          <w:rFonts w:ascii="仿宋_GB2312" w:hAnsi="仿宋_GB2312" w:cs="仿宋_GB2312" w:eastAsia="仿宋_GB2312"/>
        </w:rPr>
        <w:t>和</w:t>
      </w:r>
      <w:r>
        <w:rPr>
          <w:rFonts w:ascii="仿宋_GB2312" w:hAnsi="仿宋_GB2312" w:cs="仿宋_GB2312" w:eastAsia="仿宋_GB2312"/>
        </w:rPr>
        <w:t>陕西雄迈工程项目管理有限公司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汉中市第一职业中等专业学校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陕西雄迈工程项目管理有限公司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汉中市第一职业中等专业学校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陕西雄迈工程项目管理有限公司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满足国家相关规定及行业相关标准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符合国家规定及相关⾏业标准要求。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联系人：冯先生</w:t>
      </w:r>
    </w:p>
    <w:p>
      <w:pPr>
        <w:pStyle w:val="null3"/>
      </w:pPr>
      <w:r>
        <w:rPr>
          <w:rFonts w:ascii="仿宋_GB2312" w:hAnsi="仿宋_GB2312" w:cs="仿宋_GB2312" w:eastAsia="仿宋_GB2312"/>
        </w:rPr>
        <w:t>联系电话：18292617523</w:t>
      </w:r>
    </w:p>
    <w:p>
      <w:pPr>
        <w:pStyle w:val="null3"/>
      </w:pPr>
      <w:r>
        <w:rPr>
          <w:rFonts w:ascii="仿宋_GB2312" w:hAnsi="仿宋_GB2312" w:cs="仿宋_GB2312" w:eastAsia="仿宋_GB2312"/>
        </w:rPr>
        <w:t>地址：汉中市汉台区滨江西路中交滨江国际70号楼402室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2,713,987.38</w:t>
      </w:r>
    </w:p>
    <w:p>
      <w:pPr>
        <w:pStyle w:val="null3"/>
      </w:pPr>
      <w:r>
        <w:rPr>
          <w:rFonts w:ascii="仿宋_GB2312" w:hAnsi="仿宋_GB2312" w:cs="仿宋_GB2312" w:eastAsia="仿宋_GB2312"/>
        </w:rPr>
        <w:t>采购包最高限价（元）: 2,713,987.38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图书楼及公寓楼加固改造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2,713,987.38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标的名称：图书楼及公寓楼加固改造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施⼯⼯期： </w:t>
            </w:r>
            <w:r>
              <w:rPr>
                <w:rFonts w:ascii="仿宋_GB2312" w:hAnsi="仿宋_GB2312" w:cs="仿宋_GB2312" w:eastAsia="仿宋_GB2312"/>
                <w:sz w:val="24"/>
                <w:color w:val="000000"/>
              </w:rPr>
              <w:t>30</w:t>
            </w:r>
            <w:r>
              <w:rPr>
                <w:rFonts w:ascii="仿宋_GB2312" w:hAnsi="仿宋_GB2312" w:cs="仿宋_GB2312" w:eastAsia="仿宋_GB2312"/>
                <w:sz w:val="24"/>
                <w:color w:val="000000"/>
              </w:rPr>
              <w:t>⽇历天</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质量⽬标：符合国家现⾏有关施⼯质量验收规范</w:t>
            </w:r>
            <w:r>
              <w:rPr>
                <w:rFonts w:ascii="仿宋_GB2312" w:hAnsi="仿宋_GB2312" w:cs="仿宋_GB2312" w:eastAsia="仿宋_GB2312"/>
                <w:sz w:val="24"/>
                <w:color w:val="000000"/>
              </w:rPr>
              <w:t>“</w:t>
            </w:r>
            <w:r>
              <w:rPr>
                <w:rFonts w:ascii="仿宋_GB2312" w:hAnsi="仿宋_GB2312" w:cs="仿宋_GB2312" w:eastAsia="仿宋_GB2312"/>
                <w:sz w:val="24"/>
                <w:color w:val="000000"/>
              </w:rPr>
              <w:t>合格</w:t>
            </w:r>
            <w:r>
              <w:rPr>
                <w:rFonts w:ascii="仿宋_GB2312" w:hAnsi="仿宋_GB2312" w:cs="仿宋_GB2312" w:eastAsia="仿宋_GB2312"/>
                <w:sz w:val="24"/>
                <w:color w:val="000000"/>
              </w:rPr>
              <w:t>”</w:t>
            </w:r>
            <w:r>
              <w:rPr>
                <w:rFonts w:ascii="仿宋_GB2312" w:hAnsi="仿宋_GB2312" w:cs="仿宋_GB2312" w:eastAsia="仿宋_GB2312"/>
                <w:sz w:val="24"/>
                <w:color w:val="000000"/>
              </w:rPr>
              <w:t>要求</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施⼯范围：⼯程量清单内所含的全部内容</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合同履约地点：</w:t>
            </w:r>
            <w:r>
              <w:rPr>
                <w:rFonts w:ascii="仿宋_GB2312" w:hAnsi="仿宋_GB2312" w:cs="仿宋_GB2312" w:eastAsia="仿宋_GB2312"/>
                <w:sz w:val="24"/>
                <w:color w:val="000000"/>
              </w:rPr>
              <w:t>汉中市第一职业中等专业学校</w:t>
            </w:r>
          </w:p>
          <w:p>
            <w:pPr>
              <w:pStyle w:val="null3"/>
            </w:pPr>
            <w:r>
              <w:rPr>
                <w:rFonts w:ascii="仿宋_GB2312" w:hAnsi="仿宋_GB2312" w:cs="仿宋_GB2312" w:eastAsia="仿宋_GB2312"/>
                <w:sz w:val="24"/>
                <w:color w:val="000000"/>
              </w:rPr>
              <w:t>5.本项目最高限价：贰佰柒拾壹万叁仟玖佰捌拾柒元叁角捌分</w:t>
            </w:r>
          </w:p>
          <w:p>
            <w:pPr>
              <w:pStyle w:val="null3"/>
            </w:pPr>
            <w:r>
              <w:rPr>
                <w:rFonts w:ascii="仿宋_GB2312" w:hAnsi="仿宋_GB2312" w:cs="仿宋_GB2312" w:eastAsia="仿宋_GB2312"/>
                <w:sz w:val="24"/>
                <w:color w:val="000000"/>
              </w:rPr>
              <w:t xml:space="preserve">                      （小写：</w:t>
            </w:r>
            <w:r>
              <w:rPr>
                <w:rFonts w:ascii="仿宋_GB2312" w:hAnsi="仿宋_GB2312" w:cs="仿宋_GB2312" w:eastAsia="仿宋_GB2312"/>
                <w:sz w:val="24"/>
                <w:color w:val="000000"/>
                <w:u w:val="single"/>
              </w:rPr>
              <w:t>2,713,987.38</w:t>
            </w:r>
            <w:r>
              <w:rPr>
                <w:rFonts w:ascii="仿宋_GB2312" w:hAnsi="仿宋_GB2312" w:cs="仿宋_GB2312" w:eastAsia="仿宋_GB2312"/>
                <w:sz w:val="24"/>
                <w:color w:val="000000"/>
              </w:rPr>
              <w:t>元）</w:t>
            </w:r>
          </w:p>
          <w:p>
            <w:pPr>
              <w:pStyle w:val="null3"/>
            </w:pPr>
            <w:r>
              <w:rPr>
                <w:rFonts w:ascii="仿宋_GB2312" w:hAnsi="仿宋_GB2312" w:cs="仿宋_GB2312" w:eastAsia="仿宋_GB2312"/>
              </w:rPr>
              <w:t xml:space="preserve">   </w:t>
            </w:r>
            <w:r>
              <w:rPr>
                <w:rFonts w:ascii="仿宋_GB2312" w:hAnsi="仿宋_GB2312" w:cs="仿宋_GB2312" w:eastAsia="仿宋_GB2312"/>
                <w:sz w:val="24"/>
                <w:color w:val="000000"/>
              </w:rPr>
              <w:t>分部分项工程汇总价：</w:t>
            </w:r>
            <w:r>
              <w:rPr>
                <w:rFonts w:ascii="仿宋_GB2312" w:hAnsi="仿宋_GB2312" w:cs="仿宋_GB2312" w:eastAsia="仿宋_GB2312"/>
                <w:sz w:val="24"/>
                <w:color w:val="000000"/>
                <w:u w:val="single"/>
              </w:rPr>
              <w:t>2,119,246.61</w:t>
            </w:r>
            <w:r>
              <w:rPr>
                <w:rFonts w:ascii="仿宋_GB2312" w:hAnsi="仿宋_GB2312" w:cs="仿宋_GB2312" w:eastAsia="仿宋_GB2312"/>
                <w:sz w:val="24"/>
                <w:color w:val="000000"/>
              </w:rPr>
              <w:t>元</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措施项目费汇总价</w:t>
            </w:r>
            <w:r>
              <w:rPr>
                <w:rFonts w:ascii="仿宋_GB2312" w:hAnsi="仿宋_GB2312" w:cs="仿宋_GB2312" w:eastAsia="仿宋_GB2312"/>
                <w:sz w:val="24"/>
                <w:color w:val="000000"/>
              </w:rPr>
              <w:t>：</w:t>
            </w:r>
            <w:r>
              <w:rPr>
                <w:rFonts w:ascii="仿宋_GB2312" w:hAnsi="仿宋_GB2312" w:cs="仿宋_GB2312" w:eastAsia="仿宋_GB2312"/>
                <w:sz w:val="24"/>
                <w:color w:val="000000"/>
                <w:u w:val="single"/>
              </w:rPr>
              <w:t>290,650.07</w:t>
            </w:r>
            <w:r>
              <w:rPr>
                <w:rFonts w:ascii="仿宋_GB2312" w:hAnsi="仿宋_GB2312" w:cs="仿宋_GB2312" w:eastAsia="仿宋_GB2312"/>
                <w:sz w:val="24"/>
                <w:color w:val="000000"/>
              </w:rPr>
              <w:t>元</w:t>
            </w:r>
          </w:p>
          <w:p>
            <w:pPr>
              <w:pStyle w:val="null3"/>
            </w:pPr>
            <w:r>
              <w:rPr>
                <w:rFonts w:ascii="仿宋_GB2312" w:hAnsi="仿宋_GB2312" w:cs="仿宋_GB2312" w:eastAsia="仿宋_GB2312"/>
                <w:sz w:val="24"/>
                <w:color w:val="000000"/>
              </w:rPr>
              <w:t xml:space="preserve">           安全文明施工费：</w:t>
            </w:r>
            <w:r>
              <w:rPr>
                <w:rFonts w:ascii="仿宋_GB2312" w:hAnsi="仿宋_GB2312" w:cs="仿宋_GB2312" w:eastAsia="仿宋_GB2312"/>
                <w:sz w:val="24"/>
                <w:color w:val="000000"/>
                <w:u w:val="single"/>
              </w:rPr>
              <w:t>157,718.60</w:t>
            </w:r>
            <w:r>
              <w:rPr>
                <w:rFonts w:ascii="仿宋_GB2312" w:hAnsi="仿宋_GB2312" w:cs="仿宋_GB2312" w:eastAsia="仿宋_GB2312"/>
                <w:sz w:val="24"/>
                <w:color w:val="000000"/>
              </w:rPr>
              <w:t>元</w:t>
            </w:r>
          </w:p>
          <w:p>
            <w:pPr>
              <w:pStyle w:val="null3"/>
            </w:pPr>
            <w:r>
              <w:rPr>
                <w:rFonts w:ascii="仿宋_GB2312" w:hAnsi="仿宋_GB2312" w:cs="仿宋_GB2312" w:eastAsia="仿宋_GB2312"/>
                <w:sz w:val="27"/>
              </w:rPr>
              <w:t xml:space="preserve">            </w:t>
            </w:r>
            <w:r>
              <w:rPr>
                <w:rFonts w:ascii="仿宋_GB2312" w:hAnsi="仿宋_GB2312" w:cs="仿宋_GB2312" w:eastAsia="仿宋_GB2312"/>
                <w:sz w:val="24"/>
                <w:color w:val="000000"/>
              </w:rPr>
              <w:t xml:space="preserve">    其他项目费：</w:t>
            </w:r>
            <w:r>
              <w:rPr>
                <w:rFonts w:ascii="仿宋_GB2312" w:hAnsi="仿宋_GB2312" w:cs="仿宋_GB2312" w:eastAsia="仿宋_GB2312"/>
                <w:sz w:val="24"/>
                <w:u w:val="single"/>
              </w:rPr>
              <w:t>80,000.00</w:t>
            </w:r>
            <w:r>
              <w:rPr>
                <w:rFonts w:ascii="仿宋_GB2312" w:hAnsi="仿宋_GB2312" w:cs="仿宋_GB2312" w:eastAsia="仿宋_GB2312"/>
                <w:sz w:val="27"/>
              </w:rPr>
              <w:t>元</w:t>
            </w:r>
            <w:r>
              <w:br/>
            </w:r>
            <w:r>
              <w:rPr>
                <w:rFonts w:ascii="仿宋_GB2312" w:hAnsi="仿宋_GB2312" w:cs="仿宋_GB2312" w:eastAsia="仿宋_GB2312"/>
                <w:sz w:val="24"/>
                <w:color w:val="000000"/>
              </w:rPr>
              <w:t xml:space="preserve">           其中：男生宿舍：</w:t>
            </w:r>
            <w:r>
              <w:rPr>
                <w:rFonts w:ascii="仿宋_GB2312" w:hAnsi="仿宋_GB2312" w:cs="仿宋_GB2312" w:eastAsia="仿宋_GB2312"/>
                <w:sz w:val="24"/>
                <w:u w:val="single"/>
              </w:rPr>
              <w:t>50,000.00</w:t>
            </w:r>
            <w:r>
              <w:rPr>
                <w:rFonts w:ascii="仿宋_GB2312" w:hAnsi="仿宋_GB2312" w:cs="仿宋_GB2312" w:eastAsia="仿宋_GB2312"/>
                <w:sz w:val="27"/>
              </w:rPr>
              <w:t>元</w:t>
            </w:r>
            <w:r>
              <w:br/>
            </w:r>
            <w:r>
              <w:rPr>
                <w:rFonts w:ascii="仿宋_GB2312" w:hAnsi="仿宋_GB2312" w:cs="仿宋_GB2312" w:eastAsia="仿宋_GB2312"/>
                <w:sz w:val="27"/>
              </w:rPr>
              <w:t xml:space="preserve">                      </w:t>
            </w:r>
            <w:r>
              <w:rPr>
                <w:rFonts w:ascii="仿宋_GB2312" w:hAnsi="仿宋_GB2312" w:cs="仿宋_GB2312" w:eastAsia="仿宋_GB2312"/>
                <w:sz w:val="24"/>
                <w:color w:val="000000"/>
              </w:rPr>
              <w:t xml:space="preserve"> 图书楼：</w:t>
            </w:r>
            <w:r>
              <w:rPr>
                <w:rFonts w:ascii="仿宋_GB2312" w:hAnsi="仿宋_GB2312" w:cs="仿宋_GB2312" w:eastAsia="仿宋_GB2312"/>
                <w:sz w:val="24"/>
                <w:u w:val="single"/>
              </w:rPr>
              <w:t>30,000.00</w:t>
            </w:r>
            <w:r>
              <w:rPr>
                <w:rFonts w:ascii="仿宋_GB2312" w:hAnsi="仿宋_GB2312" w:cs="仿宋_GB2312" w:eastAsia="仿宋_GB2312"/>
                <w:sz w:val="27"/>
              </w:rPr>
              <w:t>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符合国家相关规定及行业标准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符合国家相关规定及行业标准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拟参与本项⽬的供应商应按照汉中市财政局《关于全⾯推⾏政府采购供应商基本资格条件承诺制的通知》 (汉财办采管〔2024〕 20号)⽂件要求， 提供《汉中市政府采购供应商资格承诺函》 ；供应商需在项⽬电⼦化交易系统中按要求上传相应证明⽂件并进⾏电⼦签章。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 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供应商须为独⽴承担⺠事责任能⼒的法⼈或其他组织或⾃然⼈。其中企业法⼈应提供有效的统⼀社会信⽤代码的营业执照， 事业法⼈应提供事业单位法⼈证、组织机构代码证等证明⽂件， 其他组织应提供相应的合法证明⽂件，⾃然⼈提供⾝份证明⽂件。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法定代表人身份证或授权委托书</w:t>
            </w:r>
          </w:p>
        </w:tc>
        <w:tc>
          <w:tcPr>
            <w:tcW w:type="dxa" w:w="3322"/>
          </w:tcPr>
          <w:p>
            <w:pPr>
              <w:pStyle w:val="null3"/>
            </w:pPr>
            <w:r>
              <w:rPr>
                <w:rFonts w:ascii="仿宋_GB2312" w:hAnsi="仿宋_GB2312" w:cs="仿宋_GB2312" w:eastAsia="仿宋_GB2312"/>
              </w:rPr>
              <w:t>法定代表⼈参加磋商的， 须出⽰⾝份证；法定代表⼈授权他⼈参加磋商的， 须提供法定代表⼈授权委托书及被授权⼈⾝份证。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 、具有依法缴纳税收和社会保障资⾦的良好记录， 参加本项⽬采购活动前三年内在经营活动中⽆重⼤违法活动记录， 未列⼊在信⽤中国⽹站 “失信被执⾏⼈ ” 、“重⼤税收违法案件当事⼈名单 ” 中(www.creditchina.gov.cn)， 未列⼊中国政府采购⽹ “政府采购严重违法失信⾏为记录名单 ” 中（www.ccgp.gov.cn）， 供应商需提供加盖公章的《汉中市政府采购供应商资格承诺函》。</w:t>
            </w:r>
          </w:p>
        </w:tc>
        <w:tc>
          <w:tcPr>
            <w:tcW w:type="dxa" w:w="1661"/>
          </w:tcPr>
          <w:p>
            <w:pPr>
              <w:pStyle w:val="null3"/>
            </w:pPr>
            <w:r>
              <w:rPr>
                <w:rFonts w:ascii="仿宋_GB2312" w:hAnsi="仿宋_GB2312" w:cs="仿宋_GB2312" w:eastAsia="仿宋_GB2312"/>
              </w:rPr>
              <w:t>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供应商须具备建设⾏政主管部⻔核发的建筑⼯程施⼯总承包三级（含三级）及以上资质和特种⼯程专业承包（结构补强）资质， 具有有效的安全⽣产许可证。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拟派项⽬负责⼈须具备有效的建筑⼯程专业⼆级及以上（含⼆级）注册建造师资格（不含临时执业资格）, 并具有⾏业主管部⻔核发的安全⽣产考核合格B证， 在本单位注册且⽆在建项⽬(出具⽆在建承诺书）。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非联合体响应</w:t>
            </w:r>
          </w:p>
        </w:tc>
        <w:tc>
          <w:tcPr>
            <w:tcW w:type="dxa" w:w="3322"/>
          </w:tcPr>
          <w:p>
            <w:pPr>
              <w:pStyle w:val="null3"/>
            </w:pPr>
            <w:r>
              <w:rPr>
                <w:rFonts w:ascii="仿宋_GB2312" w:hAnsi="仿宋_GB2312" w:cs="仿宋_GB2312" w:eastAsia="仿宋_GB2312"/>
              </w:rPr>
              <w:t>本项目不接受联合体响应</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技术服务合同条款及其他商务要求应答表 标的清单 响应函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1、项⽬负责⼈具备中级及以上职称得3分， 其他的不得分（以职称证复印件为准） ； 2、项⽬负责⼈具有3年以上项目经理执业经历得2分（执业经历以建造师首次注册时间为准） 注：未提供项⽬负责⼈⾝份证正反⾯的不得分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主要人员配备</w:t>
            </w:r>
          </w:p>
        </w:tc>
        <w:tc>
          <w:tcPr>
            <w:tcW w:type="dxa" w:w="2492"/>
          </w:tcPr>
          <w:p>
            <w:pPr>
              <w:pStyle w:val="null3"/>
            </w:pPr>
            <w:r>
              <w:rPr>
                <w:rFonts w:ascii="仿宋_GB2312" w:hAnsi="仿宋_GB2312" w:cs="仿宋_GB2312" w:eastAsia="仿宋_GB2312"/>
              </w:rPr>
              <w:t>供应商主要⼈员配备⻬全， 主要⼈员配备⼀般由技术负责⼈、施⼯员、质量员、材料员、安全员、资料员等⼈员组成， 所有⼈员须持有对应岗位资格证书， 并提供⾝份证正反⾯、毕业证、资格证书、岗位证书等复印件。评分规则：每有⼀个岗位⼈员配置及证书资料符合要求， 得2分， 本项满分12分 ； 同⼀⼈员兼任多个岗位、持有多本证书的， 仅按⼀个岗位计分， 不重复加分； 岗位⼈员缺配或证书材料不符合要求的， 该岗位不予计分。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近3年来（2023年-⾄今），响应供应商承担过的类似项⽬业绩，每有⼀个得1分，满分5分，（以中标通知书、施⼯合同复印件、竣工验收报告、中标结果公示网查截图为准）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⼀、评审内容：供应商针对本项⽬编制施⼯进度计划及保证措施， 内容包含四项⼦项：①施⼯进度⽬标及重要节点安排；②施⼯进度⽹络图或施⼯进度横道图；③进度计划保证措施； ④遇汛期、⾬期、⾼温期等情况的⼯期保证措施。 ⼆、评审标准： 1. 完整性（满分1分）①完全满⾜（1分） ：对应评审内容完整⻬全， 覆盖全部评审要求， 内容详实、表述完整,⽆缺项、⽆漏项。②基本满⾜（0 .5分） ：对应评审内容主体完整， 覆盖核⼼评审要求,仅存在少量⾮关键内容表述简略、 内容不够细化， ⽆重⼤缺项、漏项问题。③不满⾜( 0分） ：对应内容存在缺项漏项、 内容简略缺失， 未完整响应评审要求。 2. 可实施性（满分1分） ①完全满⾜（1分）： 内容贴合本项⽬实际， 实施步骤清晰、流程合理、符合施⼯规范， 具备落地可操作性。 ②基本满⾜（0 .5分）： 内容基本贴合项⽬实际 ,核⼼实施步骤合规合理， 仅部分细节不够完善， ⼩幅优化后即可落地实施。 ③不满⾜（0分）： 内容与项⽬实际不符、步骤混乱、不合理， 不具备可实施性。 3. 针对性（满分1分） ①完全满⾜（1分） ：紧扣本项⽬施⼯特点、实际需求编制， 内容科学合理、贴合项⽬专属情况， ⽆通⽤套话。 ②基本满⾜（0 .5分） ：贴合项⽬基本施⼯需求， 具备⼀定针对性， 但存在部分模板化通⽤内容， 未完全结合本项⽬专属特点细化优化。 ③不满⾜（0分）： 内容通⽤模板化， 未结合本项⽬实际， 适配性差、⽆针对性。 三、赋分标准（满分12分） 四项⼦项每项对应完整性、可实施性、针对性3个评审标准， 单标准满分1分， 单⼦项满分3分， 合计总分12分。未提供对应内容的⼦项， 该项得0分。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施工进度计划及保证措施.pdf</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⼀、评审内容 供应商针对本项⽬编制安全保证措施， 内容包含两项⼦项：①安全⽣产管理制度；②安全保证措施及安全施⼯应急预案。 ⼆、评审标准 1. 完整性（满分1分） ①完全满⾜（1分） ：对应评审内容完整⻬全， 覆盖全部评审要求， 内容详实、表述完整 ,⽆缺项、⽆漏项。 ②基本满⾜（0 .5分） ：对应评审内容主体完整， 覆盖核⼼评审要求， 仅存在少量⾮关键内容表述简略、 内容不够细化， ⽆重⼤缺项、漏项问题。 ③不满⾜（0分） ：对应内容存在缺项漏项、 内容简略缺失， 未完整响应评审要求。 2. 可实施性（满分1分） ①完全满⾜（1分）： 内容贴合本项⽬实际， 实施步骤清晰、流程合理、符合施⼯规范， 具备落地可操作性。 ②基本满⾜（0 .5分）： 内容基本贴合项⽬实际， 核⼼实施步骤合规合理， 仅部分细节不够完善， ⼩幅优化后即可落地实施。 ③不满⾜ ( 0分）： 内容与项⽬实际不符、步骤混乱、不合理， 不具备可实施性。 3. 针对性（满分1分） ①完全满⾜（1分） ：紧扣本项⽬施⼯特点、实际需求编制， 内容科学合理、贴合项⽬专属情况， ⽆通⽤套话。 ②基本满⾜（0 .5分） ：贴合项⽬基本施⼯需求， 具备⼀定针对性， 但存在部分模板化通⽤内容， 未完全结合本项⽬专属特点细化优化。 ③不满⾜（0分）： 内容通⽤模板化， 未结合本项⽬实际， 适配性差、⽆针对性。 三、赋分标准（满分6分） 两项⼦项每项对应完整性、可实施性、针对性3个评审标准， 单标准满分1分， 单⼦项满分3分， 合计总分6分。未提供对应内容的⼦项， 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安全保证措施.pdf</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⼀、评审内容：供应商针对本项⽬编制整体施⼯⽅案， 内容包含五项⼦项：①项⽬总体概况表述；② 施⼯⽅法（⼯艺） ；③施⼯次序；④施⼯准备：技术准备、材料准备、机械准备、劳动⼒准备等； ⑤⼯程重难点及解决措施。 ⼆、评审标准： 1. 完整性（满分1分）①完全满⾜（1分） ：对应评审内容完整⻬全， 覆盖全部评审要求， 内容详实、表述完整 , ⽆缺项、⽆漏项。②基本满⾜（0 .5分） ：对应评审内容主体完整， 覆盖核⼼评审要求， 仅存在少量⾮关键内容表述简略、 内容不够细化， ⽆重⼤缺项、漏项问题。③不满⾜（0分） ：对应内容存在缺项漏项、 内容简略缺失， 未完整响应评审要求。 2. 可实施性（满分1分）①完全满⾜（1分）： 内容贴合本项⽬实际， 实施步骤清晰、流程合理、符合施⼯规范， 具备落地可操作性。②基本满⾜（0 .5分）： 内容基本贴合项⽬实际，核⼼实施步骤合规合理， 仅部分细节不够完善， ⼩幅优化后即可落地实施。③不满⾜（0分）： 内容与项⽬实际不符、步骤混乱、不合理， 不具备可实施性。 3. 针对性（满分1分）①完全满⾜（1分） ：紧扣本项⽬施⼯特点、实际需求编制， 内容科学合理、贴合项⽬专属情况， ⽆通⽤套话。②基本满⾜（0 .5分） ：贴合项⽬基本施⼯需求， 具备⼀定针对性， 但存在部分模板化通⽤内容， 未完全结合本项⽬专属特点细化优化。③不满⾜（0分）： 内容通⽤模板化， 未结合本项⽬实际， 适配性差、⽆针对性。 三、赋分标准（满分15分）： 五项⼦项每项对应完整性、可实施性、针对性3个评审标准， 单标准满分1分， 单⼦项满分3分， 合计总分15分；未提供对应内容的⼦项， 该项得0分。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 供应商针对本项⽬编制质量保证措施， 内容包含四项⼦项：①质量管理⼯作流程；②⼯程质量保证⽅案；③⼯程质量控制体系；④⼯程质量管理措施。 ⼆、评审标准 1. 完整性（满分1分） ①完全满⾜（1分） ：对应评审内容完整⻬全， 覆盖全部评审要求， 内容详实、表述完整， ⽆缺项、⽆漏项。 ②基本满⾜（0 .5分） ：对应评审内容主体完整， 覆盖核⼼评审要求， 仅存在少量⾮关键内容表述简略、 内容不够细化， ⽆重⼤缺项、漏项问题。 ③不满⾜（0分） ：对应内容存在缺项漏项、 内容简略缺失， 未完整响应评审要求。 2. 可实施性（满分1分） ①完全满⾜（1分）： 内容贴合本项⽬实际，实施步骤清晰、流程合理、符合施⼯规范， 具备落地可操作性。 ②基本满⾜（0 .5分）： 内容基本贴合项⽬实际，核⼼实施步骤合规合理， 仅部分细节不够完善， ⼩幅优化后即可落地实施。 ③不满⾜（0分）： 内容与项⽬实际不符、步骤混乱、不合理， 不具备可实施性。3. 针对性（满分1分） ①完全满⾜（1分） ：紧扣本项⽬施⼯特点、实际需求编制， 内容科学合理、贴合项⽬专属情况， ⽆通⽤套话。 ②基本满⾜（0 .5分） ：贴合项⽬基本施⼯需求， 具备⼀定针对性， 但存在部分模板化通⽤内容， 未完全结合本项⽬专属特点细化优化。 ③不满⾜（0分）： 内容通⽤模板化， 未结合本项⽬实际， 适配性差、⽆针对性。 三 、赋分标准（满分12分） 四项⼦项每项对应完整性、可实施性、针对性3个评审标准， 单标准满分1分， 单⼦项满分3分， 合计总分12分。未提供对应内容的⼦项， 该项得0分。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质量保证措施.pdf</w:t>
            </w:r>
          </w:p>
        </w:tc>
      </w:tr>
      <w:tr>
        <w:tc>
          <w:tcPr>
            <w:tcW w:type="dxa" w:w="831"/>
            <w:vMerge/>
          </w:tcPr>
          <w:p/>
        </w:tc>
        <w:tc>
          <w:tcPr>
            <w:tcW w:type="dxa" w:w="1661"/>
          </w:tcPr>
          <w:p>
            <w:pPr>
              <w:pStyle w:val="null3"/>
            </w:pPr>
            <w:r>
              <w:rPr>
                <w:rFonts w:ascii="仿宋_GB2312" w:hAnsi="仿宋_GB2312" w:cs="仿宋_GB2312" w:eastAsia="仿宋_GB2312"/>
              </w:rPr>
              <w:t>文明施工和环境保护措施</w:t>
            </w:r>
          </w:p>
        </w:tc>
        <w:tc>
          <w:tcPr>
            <w:tcW w:type="dxa" w:w="2492"/>
          </w:tcPr>
          <w:p>
            <w:pPr>
              <w:pStyle w:val="null3"/>
            </w:pPr>
            <w:r>
              <w:rPr>
                <w:rFonts w:ascii="仿宋_GB2312" w:hAnsi="仿宋_GB2312" w:cs="仿宋_GB2312" w:eastAsia="仿宋_GB2312"/>
              </w:rPr>
              <w:t>⼀、评审内容 供应商针对本项⽬编制⽂明施⼯和环境保护措施， 内容包含两项⼦项：①⽂明施⼯保证措施；②环境保护控制措施（含污染物及废弃物处理排放、噪⾳控制、防尘及扬尘控制措施）。 ⼆、评审标准 1. 完整性（满分0 .5分） ①完全满⾜（0 .5分） ：对应评审内容完整⻬全， 覆盖全部评审要求， 内容详实、表述完整， ⽆缺项、⽆漏项。 ②基本满⾜ ( 0.25分） ：对应评审内容主体完整， 覆盖核⼼评审要求， 仅存在少量⾮关键内容表述简略、 内容不够细化， ⽆重⼤缺项、漏项问题。 ③不满⾜（0分） ：对应内容存在缺项漏项、 内容简略缺失， 未完整响应评审要求。 2. 可实施性（满分0 .5分） ①完全满⾜（0 .5分）： 内容贴合本项⽬实际， 实施步骤清晰、流程合理、符合施⼯规范，具备落地可操作性。 ②基本满⾜（0 .25分）： 内容基本贴合项⽬实际，核⼼实施步骤合规合理， 仅部分细节不够完善， ⼩幅优化后即可落地实施。 ③不满⾜（0分）： 内容与项⽬实际不符、步骤混乱、不合理， 不具备可实施性。 3. 针对性（满分0 .5分） ①完全满⾜（0 .5分） ：紧扣本项⽬施⼯特点、实际需求编制， 内容科学合理、贴合项⽬专属情况， ⽆通⽤套话。②基本满⾜（0 .25分） ：贴合项⽬基本施⼯需求， 具备⼀定针对性，但存在部分模板化通⽤内容， 未完全结合本项⽬专属特点细化优化。③不满⾜（0分）： 内容通⽤模板化， 未结合本项⽬实际， 适配性差、⽆针对性。 三、赋分标准（满分3分）两项⼦项每项对应完整性、可实施性、针对性3个评审标准， 单标准满分0 .5分，单⼦项满分1 .5分， 合计总分3分。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文明施工和环境保护措施.pdf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满⾜招标⽂件要求且投标价格最低的投标报价为评标基准价，其价格分为满分。其他投标⼈的价格分统⼀按照下列公式计算：响应报价得分=（评标基准价/响应报价）×100%×30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详见附件：安全保证措施.pdf</w:t>
      </w:r>
    </w:p>
    <w:p>
      <w:pPr>
        <w:pStyle w:val="null3"/>
        <w:ind w:firstLine="960"/>
      </w:pPr>
      <w:r>
        <w:rPr>
          <w:rFonts w:ascii="仿宋_GB2312" w:hAnsi="仿宋_GB2312" w:cs="仿宋_GB2312" w:eastAsia="仿宋_GB2312"/>
        </w:rPr>
        <w:t>详见附件：施工进度计划及保证措施.pdf</w:t>
      </w:r>
    </w:p>
    <w:p>
      <w:pPr>
        <w:pStyle w:val="null3"/>
        <w:ind w:firstLine="960"/>
      </w:pPr>
      <w:r>
        <w:rPr>
          <w:rFonts w:ascii="仿宋_GB2312" w:hAnsi="仿宋_GB2312" w:cs="仿宋_GB2312" w:eastAsia="仿宋_GB2312"/>
        </w:rPr>
        <w:t>详见附件：文明施工和环境保护措施.pdf</w:t>
      </w:r>
    </w:p>
    <w:p>
      <w:pPr>
        <w:pStyle w:val="null3"/>
        <w:ind w:firstLine="960"/>
      </w:pPr>
      <w:r>
        <w:rPr>
          <w:rFonts w:ascii="仿宋_GB2312" w:hAnsi="仿宋_GB2312" w:cs="仿宋_GB2312" w:eastAsia="仿宋_GB2312"/>
        </w:rPr>
        <w:t>详见附件：项目整体实施方案.pdf</w:t>
      </w:r>
    </w:p>
    <w:p>
      <w:pPr>
        <w:pStyle w:val="null3"/>
        <w:ind w:firstLine="960"/>
      </w:pPr>
      <w:r>
        <w:rPr>
          <w:rFonts w:ascii="仿宋_GB2312" w:hAnsi="仿宋_GB2312" w:cs="仿宋_GB2312" w:eastAsia="仿宋_GB2312"/>
        </w:rPr>
        <w:t>详见附件：质量保证措施.pdf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详见附件：供应商资格承诺函.pdf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