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07A8A">
      <w:pPr>
        <w:jc w:val="left"/>
        <w:rPr>
          <w:rFonts w:hint="eastAsia" w:ascii="宋体" w:hAnsi="宋体" w:cs="宋体"/>
          <w:sz w:val="24"/>
          <w:szCs w:val="24"/>
          <w:lang w:val="en-US" w:eastAsia="zh-CN"/>
        </w:rPr>
      </w:pPr>
      <w:r>
        <w:rPr>
          <w:rFonts w:hint="eastAsia" w:ascii="仿宋_GB2312" w:hAnsi="仿宋_GB2312" w:eastAsia="仿宋_GB2312" w:cs="仿宋_GB2312"/>
          <w:lang w:val="en-US" w:eastAsia="zh-CN"/>
        </w:rPr>
        <w:t>1</w:t>
      </w:r>
      <w:r>
        <w:rPr>
          <w:rFonts w:ascii="仿宋_GB2312" w:hAnsi="仿宋_GB2312" w:eastAsia="仿宋_GB2312" w:cs="仿宋_GB2312"/>
        </w:rPr>
        <w:t>、身份证明：法定代表人直接参加磋商的，须出具法定代表人身份证明及身份证；法定代表人授权代表参加商的，须出具法定代表人授权书及授权代表身份证；注：被授权人参与磋商时，须提供响应文件截止时间前六个月内任意一个月在本单位缴纳的社保证明，依法不需要缴纳社会保障资金的供应商提供相关证明材料；</w:t>
      </w:r>
    </w:p>
    <w:p w14:paraId="292CFEEF">
      <w:pPr>
        <w:jc w:val="center"/>
        <w:rPr>
          <w:rFonts w:hint="eastAsia" w:ascii="宋体" w:hAnsi="宋体" w:eastAsia="宋体" w:cs="宋体"/>
          <w:sz w:val="24"/>
          <w:szCs w:val="24"/>
        </w:rPr>
      </w:pPr>
      <w:r>
        <w:rPr>
          <w:rFonts w:hint="eastAsia" w:ascii="宋体" w:hAnsi="宋体" w:eastAsia="宋体" w:cs="宋体"/>
          <w:sz w:val="24"/>
          <w:szCs w:val="24"/>
        </w:rPr>
        <w:t>法定代表人证明书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171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CDA9BA0">
            <w:pPr>
              <w:tabs>
                <w:tab w:val="left" w:pos="210"/>
              </w:tabs>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cs="宋体"/>
                <w:kern w:val="0"/>
                <w:sz w:val="24"/>
                <w:szCs w:val="24"/>
                <w:lang w:eastAsia="zh-CN"/>
              </w:rPr>
              <w:t>陕西明正招标有限公司</w:t>
            </w:r>
          </w:p>
        </w:tc>
      </w:tr>
      <w:tr w14:paraId="2067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D0718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5F9911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111D7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5872B4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745E3BF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C6D436B">
            <w:pPr>
              <w:tabs>
                <w:tab w:val="left" w:pos="210"/>
              </w:tabs>
              <w:spacing w:line="360" w:lineRule="auto"/>
              <w:jc w:val="left"/>
              <w:rPr>
                <w:rFonts w:hint="eastAsia" w:ascii="宋体" w:hAnsi="宋体" w:eastAsia="宋体" w:cs="宋体"/>
                <w:kern w:val="0"/>
                <w:sz w:val="24"/>
                <w:szCs w:val="24"/>
              </w:rPr>
            </w:pPr>
          </w:p>
        </w:tc>
      </w:tr>
      <w:tr w14:paraId="1498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AFFB0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62E8F4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896C033">
            <w:pPr>
              <w:tabs>
                <w:tab w:val="left" w:pos="210"/>
              </w:tabs>
              <w:spacing w:line="360" w:lineRule="auto"/>
              <w:jc w:val="left"/>
              <w:rPr>
                <w:rFonts w:hint="eastAsia" w:ascii="宋体" w:hAnsi="宋体" w:eastAsia="宋体" w:cs="宋体"/>
                <w:kern w:val="0"/>
                <w:sz w:val="24"/>
                <w:szCs w:val="24"/>
              </w:rPr>
            </w:pPr>
          </w:p>
        </w:tc>
      </w:tr>
      <w:tr w14:paraId="3C859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60A0599">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D730E7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FE39F80">
            <w:pPr>
              <w:tabs>
                <w:tab w:val="left" w:pos="210"/>
              </w:tabs>
              <w:spacing w:line="360" w:lineRule="auto"/>
              <w:jc w:val="left"/>
              <w:rPr>
                <w:rFonts w:hint="eastAsia" w:ascii="宋体" w:hAnsi="宋体" w:eastAsia="宋体" w:cs="宋体"/>
                <w:kern w:val="0"/>
                <w:sz w:val="24"/>
                <w:szCs w:val="24"/>
              </w:rPr>
            </w:pPr>
          </w:p>
        </w:tc>
      </w:tr>
      <w:tr w14:paraId="1E42C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DEB74E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C645A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39658388">
            <w:pPr>
              <w:tabs>
                <w:tab w:val="left" w:pos="210"/>
              </w:tabs>
              <w:spacing w:line="360" w:lineRule="auto"/>
              <w:jc w:val="left"/>
              <w:rPr>
                <w:rFonts w:hint="eastAsia" w:ascii="宋体" w:hAnsi="宋体" w:eastAsia="宋体" w:cs="宋体"/>
                <w:kern w:val="0"/>
                <w:sz w:val="24"/>
                <w:szCs w:val="24"/>
              </w:rPr>
            </w:pPr>
          </w:p>
        </w:tc>
      </w:tr>
      <w:tr w14:paraId="5329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6A5B92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8CD748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638378D6">
            <w:pPr>
              <w:tabs>
                <w:tab w:val="left" w:pos="210"/>
              </w:tabs>
              <w:spacing w:line="360" w:lineRule="auto"/>
              <w:jc w:val="left"/>
              <w:rPr>
                <w:rFonts w:hint="eastAsia" w:ascii="宋体" w:hAnsi="宋体" w:eastAsia="宋体" w:cs="宋体"/>
                <w:kern w:val="0"/>
                <w:sz w:val="24"/>
                <w:szCs w:val="24"/>
              </w:rPr>
            </w:pPr>
          </w:p>
        </w:tc>
      </w:tr>
      <w:tr w14:paraId="7910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5961DD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7C33BB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5B6830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2E3512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E5E0E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EF3BC2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379A6B">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76D5368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7CA09BA">
            <w:pPr>
              <w:tabs>
                <w:tab w:val="left" w:pos="210"/>
              </w:tabs>
              <w:spacing w:line="360" w:lineRule="auto"/>
              <w:ind w:firstLine="480" w:firstLineChars="200"/>
              <w:jc w:val="left"/>
              <w:rPr>
                <w:rFonts w:hint="eastAsia" w:ascii="宋体" w:hAnsi="宋体" w:eastAsia="宋体" w:cs="宋体"/>
                <w:kern w:val="0"/>
                <w:sz w:val="24"/>
                <w:szCs w:val="24"/>
              </w:rPr>
            </w:pPr>
          </w:p>
        </w:tc>
      </w:tr>
      <w:tr w14:paraId="50EE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A57B67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3AA45F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5F10E27B">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7608D87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03E81F91">
            <w:pPr>
              <w:tabs>
                <w:tab w:val="left" w:pos="210"/>
              </w:tabs>
              <w:spacing w:line="360" w:lineRule="auto"/>
              <w:ind w:firstLine="480" w:firstLineChars="200"/>
              <w:jc w:val="left"/>
              <w:rPr>
                <w:rFonts w:hint="eastAsia" w:ascii="宋体" w:hAnsi="宋体" w:eastAsia="宋体" w:cs="宋体"/>
                <w:kern w:val="0"/>
                <w:sz w:val="24"/>
                <w:szCs w:val="24"/>
              </w:rPr>
            </w:pPr>
          </w:p>
        </w:tc>
      </w:tr>
      <w:tr w14:paraId="7DA2F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07863B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26A7CE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25C89A3B">
            <w:pPr>
              <w:tabs>
                <w:tab w:val="left" w:pos="210"/>
              </w:tabs>
              <w:spacing w:line="360" w:lineRule="auto"/>
              <w:jc w:val="left"/>
              <w:rPr>
                <w:rFonts w:hint="eastAsia" w:ascii="宋体" w:hAnsi="宋体" w:eastAsia="宋体" w:cs="宋体"/>
                <w:kern w:val="0"/>
                <w:sz w:val="24"/>
                <w:szCs w:val="24"/>
              </w:rPr>
            </w:pPr>
          </w:p>
        </w:tc>
      </w:tr>
      <w:tr w14:paraId="75D1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C3B5C4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AC3EF9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464FE0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0723D7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402E63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741F913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C0BF82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EA2E62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0D4852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6B6A543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CC53A9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61A0F22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A3EB6E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2AEE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787094">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E903A2F">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3D5E21A">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270D9701">
            <w:pPr>
              <w:tabs>
                <w:tab w:val="left" w:pos="210"/>
              </w:tabs>
              <w:spacing w:line="360" w:lineRule="auto"/>
              <w:jc w:val="left"/>
              <w:rPr>
                <w:rFonts w:hint="eastAsia" w:ascii="宋体" w:hAnsi="宋体" w:eastAsia="宋体" w:cs="宋体"/>
                <w:kern w:val="0"/>
                <w:sz w:val="24"/>
                <w:szCs w:val="24"/>
              </w:rPr>
            </w:pPr>
          </w:p>
          <w:p w14:paraId="22C65950">
            <w:pPr>
              <w:tabs>
                <w:tab w:val="left" w:pos="210"/>
              </w:tabs>
              <w:spacing w:line="360" w:lineRule="auto"/>
              <w:jc w:val="left"/>
              <w:rPr>
                <w:rFonts w:hint="eastAsia" w:ascii="宋体" w:hAnsi="宋体" w:eastAsia="宋体" w:cs="宋体"/>
                <w:kern w:val="0"/>
                <w:sz w:val="24"/>
                <w:szCs w:val="24"/>
              </w:rPr>
            </w:pPr>
          </w:p>
          <w:p w14:paraId="570A05B0">
            <w:pPr>
              <w:tabs>
                <w:tab w:val="left" w:pos="210"/>
              </w:tabs>
              <w:spacing w:line="360" w:lineRule="auto"/>
              <w:jc w:val="left"/>
              <w:rPr>
                <w:rFonts w:hint="eastAsia" w:ascii="宋体" w:hAnsi="宋体" w:eastAsia="宋体" w:cs="宋体"/>
                <w:kern w:val="0"/>
                <w:sz w:val="24"/>
                <w:szCs w:val="24"/>
              </w:rPr>
            </w:pPr>
          </w:p>
          <w:p w14:paraId="661D5B56">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2BAC708B">
      <w:pPr>
        <w:pStyle w:val="3"/>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法定代表人授权书</w:t>
      </w:r>
    </w:p>
    <w:p w14:paraId="4EFF3888">
      <w:pPr>
        <w:pStyle w:val="3"/>
        <w:spacing w:line="500" w:lineRule="exact"/>
        <w:jc w:val="left"/>
        <w:rPr>
          <w:rFonts w:hint="eastAsia" w:ascii="宋体" w:hAnsi="宋体" w:eastAsia="宋体" w:cs="宋体"/>
          <w:sz w:val="24"/>
          <w:szCs w:val="24"/>
        </w:rPr>
      </w:pPr>
      <w:r>
        <w:rPr>
          <w:rFonts w:hint="eastAsia" w:hAnsi="宋体" w:cs="宋体"/>
          <w:sz w:val="24"/>
          <w:szCs w:val="24"/>
          <w:lang w:eastAsia="zh-CN"/>
        </w:rPr>
        <w:t>陕西明正招标有限公司</w:t>
      </w:r>
      <w:r>
        <w:rPr>
          <w:rFonts w:hint="eastAsia" w:ascii="宋体" w:hAnsi="宋体" w:eastAsia="宋体" w:cs="宋体"/>
          <w:sz w:val="24"/>
          <w:szCs w:val="24"/>
        </w:rPr>
        <w:t>：</w:t>
      </w:r>
    </w:p>
    <w:p w14:paraId="59F587A1">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16C841B6">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本授权书自投标文件递交截止之日起不少于90天，特此声明。</w:t>
      </w:r>
    </w:p>
    <w:p w14:paraId="6E50AAFB">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10D8722D">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2854E61C">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891374B">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05F7221A">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45E72B28">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4"/>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5E69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78D4F618">
            <w:pPr>
              <w:pStyle w:val="3"/>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15DAC9C">
            <w:pPr>
              <w:pStyle w:val="3"/>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996E521">
            <w:pPr>
              <w:pStyle w:val="3"/>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13BFD304">
            <w:pPr>
              <w:pStyle w:val="3"/>
              <w:spacing w:line="500" w:lineRule="exact"/>
              <w:ind w:firstLine="480" w:firstLineChars="200"/>
              <w:jc w:val="left"/>
              <w:rPr>
                <w:rFonts w:hint="eastAsia" w:ascii="宋体" w:hAnsi="宋体" w:eastAsia="宋体" w:cs="宋体"/>
                <w:sz w:val="24"/>
                <w:szCs w:val="24"/>
                <w:shd w:val="pct10" w:color="auto" w:fill="FFFFFF"/>
              </w:rPr>
            </w:pPr>
          </w:p>
        </w:tc>
      </w:tr>
    </w:tbl>
    <w:p w14:paraId="04F8EA26">
      <w:pPr>
        <w:rPr>
          <w:rFonts w:ascii="仿宋_GB2312" w:hAnsi="仿宋_GB2312" w:eastAsia="仿宋_GB2312" w:cs="仿宋_GB2312"/>
        </w:rPr>
      </w:pPr>
    </w:p>
    <w:p w14:paraId="626784DC">
      <w:pPr>
        <w:rPr>
          <w:rFonts w:ascii="仿宋_GB2312" w:hAnsi="仿宋_GB2312" w:eastAsia="仿宋_GB2312" w:cs="仿宋_GB2312"/>
        </w:rPr>
      </w:pPr>
    </w:p>
    <w:p w14:paraId="501164D3">
      <w:pPr>
        <w:rPr>
          <w:rFonts w:ascii="仿宋_GB2312" w:hAnsi="仿宋_GB2312" w:eastAsia="仿宋_GB2312" w:cs="仿宋_GB2312"/>
        </w:rPr>
      </w:pPr>
    </w:p>
    <w:p w14:paraId="7EDBB853">
      <w:pPr>
        <w:rPr>
          <w:rFonts w:ascii="仿宋_GB2312" w:hAnsi="仿宋_GB2312" w:eastAsia="仿宋_GB2312" w:cs="仿宋_GB2312"/>
        </w:rPr>
      </w:pPr>
    </w:p>
    <w:p w14:paraId="62E3262E">
      <w:pPr>
        <w:rPr>
          <w:rFonts w:ascii="仿宋_GB2312" w:hAnsi="仿宋_GB2312" w:eastAsia="仿宋_GB2312" w:cs="仿宋_GB2312"/>
        </w:rPr>
      </w:pPr>
      <w:r>
        <w:rPr>
          <w:rFonts w:ascii="仿宋_GB2312" w:hAnsi="仿宋_GB2312" w:eastAsia="仿宋_GB2312" w:cs="仿宋_GB2312"/>
        </w:rPr>
        <w:t>提供响应文件截止时间前六个月内任意一个月在本单位缴纳的社保证明</w:t>
      </w:r>
      <w:r>
        <w:rPr>
          <w:rFonts w:ascii="仿宋_GB2312" w:hAnsi="仿宋_GB2312" w:eastAsia="仿宋_GB2312" w:cs="仿宋_GB2312"/>
        </w:rPr>
        <w:br w:type="page"/>
      </w:r>
    </w:p>
    <w:p w14:paraId="7A7912B4">
      <w:pPr>
        <w:pStyle w:val="6"/>
      </w:pPr>
      <w:r>
        <w:rPr>
          <w:rFonts w:ascii="仿宋_GB2312" w:hAnsi="仿宋_GB2312" w:eastAsia="仿宋_GB2312" w:cs="仿宋_GB2312"/>
        </w:rPr>
        <w:t>2、供应商资质：供应商须具备建设行政主管部门颁发的消防设施工程专业承包二级</w:t>
      </w:r>
      <w:r>
        <w:rPr>
          <w:rFonts w:hint="eastAsia" w:ascii="仿宋_GB2312" w:hAnsi="仿宋_GB2312" w:eastAsia="仿宋_GB2312" w:cs="仿宋_GB2312"/>
          <w:lang w:eastAsia="zh-CN"/>
        </w:rPr>
        <w:t>（</w:t>
      </w:r>
      <w:r>
        <w:rPr>
          <w:rFonts w:ascii="仿宋_GB2312" w:hAnsi="仿宋_GB2312" w:eastAsia="仿宋_GB2312" w:cs="仿宋_GB2312"/>
        </w:rPr>
        <w:t>及以上</w:t>
      </w:r>
      <w:r>
        <w:rPr>
          <w:rFonts w:hint="eastAsia" w:ascii="仿宋_GB2312" w:hAnsi="仿宋_GB2312" w:eastAsia="仿宋_GB2312" w:cs="仿宋_GB2312"/>
          <w:lang w:eastAsia="zh-CN"/>
        </w:rPr>
        <w:t>）</w:t>
      </w:r>
      <w:r>
        <w:rPr>
          <w:rFonts w:ascii="仿宋_GB2312" w:hAnsi="仿宋_GB2312" w:eastAsia="仿宋_GB2312" w:cs="仿宋_GB2312"/>
        </w:rPr>
        <w:t>资质，并具备有效的安全生产许可证。</w:t>
      </w:r>
    </w:p>
    <w:p w14:paraId="2743D548">
      <w:pPr>
        <w:pStyle w:val="6"/>
      </w:pPr>
      <w:r>
        <w:rPr>
          <w:rFonts w:ascii="仿宋_GB2312" w:hAnsi="仿宋_GB2312" w:eastAsia="仿宋_GB2312" w:cs="仿宋_GB2312"/>
        </w:rPr>
        <w:t>3、拟派项目经理资格：供应商拟派项目经理须具备机电工程专业二级及以上注册建造师资格</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并具</w:t>
      </w:r>
      <w:r>
        <w:rPr>
          <w:rFonts w:ascii="仿宋_GB2312" w:hAnsi="仿宋_GB2312" w:eastAsia="仿宋_GB2312" w:cs="仿宋_GB2312"/>
        </w:rPr>
        <w:t>有</w:t>
      </w:r>
      <w:r>
        <w:rPr>
          <w:rFonts w:hint="eastAsia" w:ascii="仿宋_GB2312" w:hAnsi="仿宋_GB2312" w:eastAsia="仿宋_GB2312" w:cs="仿宋_GB2312"/>
          <w:lang w:val="en-US" w:eastAsia="zh-CN"/>
        </w:rPr>
        <w:t>合法有</w:t>
      </w:r>
      <w:r>
        <w:rPr>
          <w:rFonts w:ascii="仿宋_GB2312" w:hAnsi="仿宋_GB2312" w:eastAsia="仿宋_GB2312" w:cs="仿宋_GB2312"/>
        </w:rPr>
        <w:t>效的安全生产考核</w:t>
      </w:r>
      <w:r>
        <w:rPr>
          <w:rFonts w:hint="eastAsia" w:ascii="仿宋_GB2312" w:hAnsi="仿宋_GB2312" w:eastAsia="仿宋_GB2312" w:cs="仿宋_GB2312"/>
          <w:lang w:val="en-US" w:eastAsia="zh-CN"/>
        </w:rPr>
        <w:t>合格证（建安</w:t>
      </w:r>
      <w:r>
        <w:rPr>
          <w:rFonts w:ascii="仿宋_GB2312" w:hAnsi="仿宋_GB2312" w:eastAsia="仿宋_GB2312" w:cs="仿宋_GB2312"/>
        </w:rPr>
        <w:t>B证</w:t>
      </w:r>
      <w:r>
        <w:rPr>
          <w:rFonts w:hint="eastAsia" w:ascii="仿宋_GB2312" w:hAnsi="仿宋_GB2312" w:eastAsia="仿宋_GB2312" w:cs="仿宋_GB2312"/>
          <w:lang w:val="en-US" w:eastAsia="zh-CN"/>
        </w:rPr>
        <w:t>）</w:t>
      </w:r>
      <w:r>
        <w:rPr>
          <w:rFonts w:ascii="仿宋_GB2312" w:hAnsi="仿宋_GB2312" w:eastAsia="仿宋_GB2312" w:cs="仿宋_GB2312"/>
        </w:rPr>
        <w:t>，</w:t>
      </w:r>
      <w:r>
        <w:rPr>
          <w:rFonts w:hint="eastAsia" w:ascii="仿宋_GB2312" w:hAnsi="仿宋_GB2312" w:eastAsia="仿宋_GB2312" w:cs="仿宋_GB2312"/>
          <w:lang w:val="en-US" w:eastAsia="zh-CN"/>
        </w:rPr>
        <w:t>须</w:t>
      </w:r>
      <w:r>
        <w:rPr>
          <w:rFonts w:ascii="仿宋_GB2312" w:hAnsi="仿宋_GB2312" w:eastAsia="仿宋_GB2312" w:cs="仿宋_GB2312"/>
        </w:rPr>
        <w:t>在本单位注册，</w:t>
      </w:r>
      <w:r>
        <w:rPr>
          <w:rFonts w:hint="eastAsia" w:ascii="仿宋_GB2312" w:hAnsi="仿宋_GB2312" w:eastAsia="仿宋_GB2312" w:cs="仿宋_GB2312"/>
        </w:rPr>
        <w:t>无不良信用记录，</w:t>
      </w:r>
      <w:r>
        <w:rPr>
          <w:rFonts w:ascii="仿宋_GB2312" w:hAnsi="仿宋_GB2312" w:eastAsia="仿宋_GB2312" w:cs="仿宋_GB2312"/>
        </w:rPr>
        <w:t>且无在建项目（提供承诺函）。</w:t>
      </w:r>
    </w:p>
    <w:p w14:paraId="155D5456">
      <w:pPr>
        <w:pStyle w:val="6"/>
      </w:pPr>
      <w:r>
        <w:rPr>
          <w:rFonts w:ascii="仿宋_GB2312" w:hAnsi="仿宋_GB2312" w:eastAsia="仿宋_GB2312" w:cs="仿宋_GB2312"/>
        </w:rPr>
        <w:t>4、供应商基本信息及拟派项目经理基本信息：</w:t>
      </w:r>
      <w:r>
        <w:rPr>
          <w:rFonts w:hint="eastAsia" w:ascii="仿宋_GB2312" w:hAnsi="仿宋_GB2312" w:eastAsia="仿宋_GB2312" w:cs="仿宋_GB2312"/>
        </w:rPr>
        <w:t>申请人资质基本信息及项目负责人(注册建造师)执业基本信息应在“陕西建设网(http://js.shaanxi.gov.cn/)陕西省建筑市场监管与诚信信息发布平台”可查询;</w:t>
      </w:r>
      <w:r>
        <w:rPr>
          <w:rFonts w:hint="eastAsia" w:ascii="仿宋_GB2312" w:hAnsi="仿宋_GB2312" w:eastAsia="仿宋_GB2312" w:cs="仿宋_GB2312"/>
        </w:rPr>
        <w:br w:type="textWrapping"/>
      </w:r>
      <w:r>
        <w:rPr>
          <w:rFonts w:ascii="仿宋_GB2312" w:hAnsi="仿宋_GB2312" w:eastAsia="仿宋_GB2312" w:cs="仿宋_GB2312"/>
        </w:rPr>
        <w:t>5、信用查询：供应商不得为“信用中国”网站（www.creditchina.gov.cn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14:paraId="39BC05F6">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bookmarkStart w:id="0" w:name="_GoBack"/>
      <w:bookmarkEnd w:id="0"/>
    </w:p>
    <w:p w14:paraId="08A97E1D">
      <w:pPr>
        <w:widowControl/>
        <w:snapToGrid w:val="0"/>
        <w:spacing w:line="480" w:lineRule="auto"/>
        <w:jc w:val="left"/>
        <w:rPr>
          <w:rFonts w:hint="eastAsia" w:ascii="宋体" w:hAnsi="宋体" w:eastAsia="宋体" w:cs="宋体"/>
          <w:kern w:val="0"/>
          <w:sz w:val="24"/>
          <w:szCs w:val="24"/>
        </w:rPr>
      </w:pPr>
      <w:r>
        <w:rPr>
          <w:rFonts w:hint="eastAsia" w:ascii="仿宋_GB2312" w:hAnsi="仿宋_GB2312" w:eastAsia="仿宋_GB2312" w:cs="仿宋_GB2312"/>
          <w:lang w:val="en-US" w:eastAsia="zh-CN"/>
        </w:rPr>
        <w:t>6</w:t>
      </w:r>
      <w:r>
        <w:rPr>
          <w:rFonts w:ascii="仿宋_GB2312" w:hAnsi="仿宋_GB2312" w:eastAsia="仿宋_GB2312" w:cs="仿宋_GB2312"/>
        </w:rPr>
        <w:t>、非联合体声明：本项目不接受联合体磋商</w:t>
      </w:r>
      <w:r>
        <w:rPr>
          <w:rFonts w:ascii="仿宋_GB2312" w:hAnsi="仿宋_GB2312" w:eastAsia="仿宋_GB2312" w:cs="仿宋_GB2312"/>
        </w:rPr>
        <w:br w:type="textWrapping"/>
      </w: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eastAsia="zh-CN"/>
        </w:rPr>
        <w:t>陕西明正招标有限公司</w:t>
      </w:r>
      <w:r>
        <w:rPr>
          <w:rFonts w:hint="eastAsia" w:ascii="宋体" w:hAnsi="宋体" w:eastAsia="宋体" w:cs="宋体"/>
          <w:kern w:val="0"/>
          <w:sz w:val="24"/>
          <w:szCs w:val="24"/>
        </w:rPr>
        <w:t>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2"/>
        <w:rPr>
          <w:rFonts w:hint="eastAsia" w:ascii="宋体" w:hAnsi="宋体" w:eastAsia="宋体" w:cs="宋体"/>
          <w:sz w:val="24"/>
          <w:szCs w:val="24"/>
        </w:rPr>
      </w:pPr>
    </w:p>
    <w:p w14:paraId="34B47D51">
      <w:pPr>
        <w:pStyle w:val="2"/>
        <w:rPr>
          <w:rFonts w:hint="eastAsia" w:ascii="宋体" w:hAnsi="宋体" w:eastAsia="宋体" w:cs="宋体"/>
          <w:sz w:val="24"/>
          <w:szCs w:val="24"/>
        </w:rPr>
      </w:pPr>
    </w:p>
    <w:p w14:paraId="4856CEF1">
      <w:pPr>
        <w:pStyle w:val="2"/>
        <w:rPr>
          <w:rFonts w:hint="eastAsia" w:ascii="宋体" w:hAnsi="宋体" w:eastAsia="宋体" w:cs="宋体"/>
          <w:sz w:val="24"/>
          <w:szCs w:val="24"/>
        </w:rPr>
      </w:pPr>
    </w:p>
    <w:p w14:paraId="2E628DB9">
      <w:pPr>
        <w:pStyle w:val="2"/>
        <w:rPr>
          <w:rFonts w:hint="eastAsia" w:ascii="宋体" w:hAnsi="宋体" w:eastAsia="宋体" w:cs="宋体"/>
          <w:sz w:val="24"/>
          <w:szCs w:val="24"/>
        </w:rPr>
      </w:pPr>
    </w:p>
    <w:p w14:paraId="2CA877C2">
      <w:pPr>
        <w:pStyle w:val="2"/>
        <w:rPr>
          <w:rFonts w:hint="eastAsia" w:ascii="宋体" w:hAnsi="宋体" w:eastAsia="宋体" w:cs="宋体"/>
          <w:sz w:val="24"/>
          <w:szCs w:val="24"/>
        </w:rPr>
      </w:pPr>
    </w:p>
    <w:p w14:paraId="1DBEAB79">
      <w:pPr>
        <w:pStyle w:val="2"/>
        <w:rPr>
          <w:rFonts w:hint="eastAsia" w:ascii="宋体" w:hAnsi="宋体" w:eastAsia="宋体" w:cs="宋体"/>
          <w:sz w:val="24"/>
          <w:szCs w:val="24"/>
        </w:rPr>
      </w:pPr>
    </w:p>
    <w:p w14:paraId="72CAC0E5">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EED9582">
      <w:pPr>
        <w:pStyle w:val="6"/>
      </w:pPr>
    </w:p>
    <w:p w14:paraId="2DFB1C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E86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Plain Text"/>
    <w:basedOn w:val="1"/>
    <w:qFormat/>
    <w:uiPriority w:val="0"/>
    <w:pPr>
      <w:spacing w:line="324" w:lineRule="auto"/>
    </w:pPr>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2026-08-21T13:40:22Z</dcterms:created>
  <dc:creator>Lenovo</dc:creator>
  <cp:lastModifiedBy>乔公子</cp:lastModifiedBy>
  <dcterms:modified xsi:type="dcterms:W3CDTF">2026-08-21T13:45:20Z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87067CF928DF42E38B84C314324345E9_12</vt:lpwstr>
  </property>
</Properties>
</file>