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版本号：陕融招字-2026-0504号.1.2B120260626001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高真空高温封管热处理装置及超高真空物理气相沉积设备及高通量电化学液相沉积与测试系统（原采购包1、采购包2）（二次）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陕融招字-2026-0504号.1.2B1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高真空高温封管热处理装置及超高真空物理气相沉积设备及高通量电化学液相沉积与测试系统（原采购包1、采购包2）（二次）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陕融招字-2026-0504号.1.2B1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高真空高温封管热处理装置及超高真空物理气相沉积设备及高通量电化学液相沉积与测试系统（原采购包1、采购包2）（二次）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高真空高温封管热处理装置及超高真空物理气相沉积设备及高通量电化学液相沉积与测试系统（原采购包1、采购包2）（二次），分为2个采购包，采购包1：高真空高温封管热处理装置，采购包2：超高真空物理气相沉积设备。 其中，采购包1拟采购一套高真空高温封管热处理装置，该装置集成高真空高温热处理和高真空封管的多类型科研需求，其热处理系统应在不低于1700℃的使用温度下实现精确控温并长期稳定运行、高真空封管系统则需满足多尺寸规格管具的快速真空封装要求。该装置将主要用于多孔金属的气相脱合金制备及真空/气氛热处理，同时适用于易氧化材料在真空/气氛封管后的高温成形与长期热处理。具体应用场景包括高真空条件下多孔铜、多孔铝、多孔钛等多孔金属的制备或封装后热处理，以及镍基等高温合金材料的长期均质化与时效热处理。 采购包2拟采购一套采用最新一代磁控溅射系统的超高真空物理气相沉积设备，该设备主要基于磁控溅射原理可实现超高真空条件下多组元、多层级、复合化的高性能薄膜的物理气相沉积。具备高真空度、高成膜质量、高均匀性及高重复性等突出优点。可用于功能薄膜在超高真空条件下的高质量沉积及掺杂改性，同时适用于材料表面改性和功能薄膜前驱体制备。具体应用场景包括Zn-Ni耐蚀薄膜的掺杂改性、多孔薄膜前驱体的沉积，如沉积Cu-Mn、Cu-Zn前驱体薄膜用于制备电催化多孔铜薄膜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采购包1（高真空高温封管热处理装置）：属于专门面向中小企业采购。</w:t>
      </w:r>
    </w:p>
    <w:p>
      <w:pPr>
        <w:pStyle w:val="null3"/>
      </w:pPr>
      <w:r>
        <w:rPr>
          <w:rFonts w:ascii="仿宋_GB2312" w:hAnsi="仿宋_GB2312" w:cs="仿宋_GB2312" w:eastAsia="仿宋_GB2312"/>
        </w:rPr>
        <w:t>采购包2（超高真空物理气相沉积设备）：属于专门面向中小企业采购。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p>
          <w:p>
            <w:pPr>
              <w:pStyle w:val="null3"/>
            </w:pPr>
            <w:r>
              <w:rPr>
                <w:rFonts w:ascii="仿宋_GB2312" w:hAnsi="仿宋_GB2312" w:cs="仿宋_GB2312" w:eastAsia="仿宋_GB2312"/>
              </w:rPr>
              <w:t>采购包2：600,000.00元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采购包1保证金金额：8,200.00元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开户银行：中国建设银行股份有限公司西安交大支行</w:t>
            </w:r>
          </w:p>
          <w:p>
            <w:pPr>
              <w:pStyle w:val="null3"/>
            </w:pPr>
            <w:r>
              <w:rPr>
                <w:rFonts w:ascii="仿宋_GB2312" w:hAnsi="仿宋_GB2312" w:cs="仿宋_GB2312" w:eastAsia="仿宋_GB2312"/>
              </w:rPr>
              <w:t>银行账号：6105 0172 4100 0000 1522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 缴纳账号：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w:t>
      </w:r>
      <w:r>
        <w:rPr>
          <w:rFonts w:ascii="仿宋_GB2312" w:hAnsi="仿宋_GB2312" w:cs="仿宋_GB2312" w:eastAsia="仿宋_GB2312"/>
        </w:rPr>
        <w:t>高真空高温封管热处理装置及超高真空物理气相沉积设备及高通量电化学液相沉积与测试系统（原采购包</w:t>
      </w:r>
      <w:r>
        <w:rPr>
          <w:rFonts w:ascii="仿宋_GB2312" w:hAnsi="仿宋_GB2312" w:cs="仿宋_GB2312" w:eastAsia="仿宋_GB2312"/>
        </w:rPr>
        <w:t>1、采购包2）（二次）</w:t>
      </w:r>
      <w:r>
        <w:rPr>
          <w:rFonts w:ascii="仿宋_GB2312" w:hAnsi="仿宋_GB2312" w:cs="仿宋_GB2312" w:eastAsia="仿宋_GB2312"/>
        </w:rPr>
        <w:t>，分为</w:t>
      </w:r>
      <w:r>
        <w:rPr>
          <w:rFonts w:ascii="仿宋_GB2312" w:hAnsi="仿宋_GB2312" w:cs="仿宋_GB2312" w:eastAsia="仿宋_GB2312"/>
        </w:rPr>
        <w:t>2</w:t>
      </w:r>
      <w:r>
        <w:rPr>
          <w:rFonts w:ascii="仿宋_GB2312" w:hAnsi="仿宋_GB2312" w:cs="仿宋_GB2312" w:eastAsia="仿宋_GB2312"/>
        </w:rPr>
        <w:t>个采购包，采购包</w:t>
      </w:r>
      <w:r>
        <w:rPr>
          <w:rFonts w:ascii="仿宋_GB2312" w:hAnsi="仿宋_GB2312" w:cs="仿宋_GB2312" w:eastAsia="仿宋_GB2312"/>
        </w:rPr>
        <w:t>1：高真空高温封管热处理装置，采购包2：超高真空物理气相沉积设备。 其中，采购包1拟采购一套高真空高温封管热处理装置，该装置集成高真空高温热处理和高真空封管的多类型科研需求，其热处理系统应在不低于1700℃的使用温度下实现精确控温并长期稳定运行、高真空封管系统则需满足多尺寸规格管具的快速真空封装要求。该装置将主要用于多孔金属的气相脱合金制备及真空/气氛热处理，同时适用于易氧化材料在真空/气氛封管后的高温成形与长期热处理。具体应用场景包括高真空条件下多孔铜、多孔铝、多孔钛等多孔金属的制备或封装后热处理，以及镍基等高温合金材料的长期均质化与时效热处理。 采购包2拟采购一套采用最新一代磁控溅射系统的超高真空物理气相沉积设备，该设备主要基于磁控溅射原理可实现超高真空条件下多组元、多层级、复合化的高性能薄膜的物理气相沉积。具备高真空度、高成膜质量、高均匀性及高重复性等突出优点。可用于功能薄膜在超高真空条件下的高质量沉积及掺杂改性，同时适用于材料表面改性和功能薄膜前驱体制备。具体应用场景包括Zn-Ni耐蚀薄膜的掺杂改性、多孔薄膜前驱体的沉积，如沉积Cu-Mn、Cu-Zn前驱体薄膜用于制备电催化多孔铜薄膜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高真空高温封管热处理装置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超高真空物理气相沉积设备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标的名称：高真空高温封管热处理装置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03"/>
              <w:gridCol w:w="1396"/>
              <w:gridCol w:w="847"/>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加热及温控系统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机械泵</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分子泵机组</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水冷机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氢氧焰熔封机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玻璃管真空封管机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加热及温控系统参数要求：</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炉膛：高温耐火隔热材料，耐火度</w:t>
            </w:r>
            <w:r>
              <w:rPr>
                <w:rFonts w:ascii="仿宋_GB2312" w:hAnsi="仿宋_GB2312" w:cs="仿宋_GB2312" w:eastAsia="仿宋_GB2312"/>
                <w:sz w:val="21"/>
                <w:color w:val="000000"/>
              </w:rPr>
              <w:t>≥2000℃，</w:t>
            </w:r>
            <w:r>
              <w:rPr>
                <w:rFonts w:ascii="仿宋_GB2312" w:hAnsi="仿宋_GB2312" w:cs="仿宋_GB2312" w:eastAsia="仿宋_GB2312"/>
                <w:sz w:val="21"/>
                <w:color w:val="000000"/>
              </w:rPr>
              <w:t>设备长期稳定工作温度≥1700℃</w:t>
            </w:r>
            <w:r>
              <w:rPr>
                <w:rFonts w:ascii="仿宋_GB2312" w:hAnsi="仿宋_GB2312" w:cs="仿宋_GB2312" w:eastAsia="仿宋_GB2312"/>
                <w:sz w:val="21"/>
                <w:color w:val="000000"/>
              </w:rPr>
              <w:t>，</w:t>
            </w:r>
            <w:r>
              <w:rPr>
                <w:rFonts w:ascii="仿宋_GB2312" w:hAnsi="仿宋_GB2312" w:cs="仿宋_GB2312" w:eastAsia="仿宋_GB2312"/>
                <w:sz w:val="21"/>
                <w:color w:val="000000"/>
              </w:rPr>
              <w:t>最高工作温度≥1800℃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2.高温炉管：炉管内径≥Φ60</w:t>
            </w:r>
            <w:r>
              <w:rPr>
                <w:rFonts w:ascii="仿宋_GB2312" w:hAnsi="仿宋_GB2312" w:cs="仿宋_GB2312" w:eastAsia="仿宋_GB2312"/>
                <w:sz w:val="21"/>
                <w:color w:val="000000"/>
              </w:rPr>
              <w:t>mm</w:t>
            </w:r>
            <w:r>
              <w:rPr>
                <w:rFonts w:ascii="仿宋_GB2312" w:hAnsi="仿宋_GB2312" w:cs="仿宋_GB2312" w:eastAsia="仿宋_GB2312"/>
                <w:sz w:val="21"/>
                <w:color w:val="000000"/>
              </w:rPr>
              <w:t>，加热区长度≥250</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保温区域≥100</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炉管总长度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3.控制方式：PID自动控温，多段程序控温，可设置程序段数≥20段（满足复杂烧结工艺）；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控温精度：≤±1℃，</w:t>
            </w:r>
            <w:r>
              <w:rPr>
                <w:rFonts w:ascii="仿宋_GB2312" w:hAnsi="仿宋_GB2312" w:cs="仿宋_GB2312" w:eastAsia="仿宋_GB2312"/>
                <w:sz w:val="21"/>
                <w:color w:val="000000"/>
              </w:rPr>
              <w:t>升温速率连续可调范围为0.1</w:t>
            </w:r>
            <w:r>
              <w:rPr>
                <w:rFonts w:ascii="仿宋_GB2312" w:hAnsi="仿宋_GB2312" w:cs="仿宋_GB2312" w:eastAsia="仿宋_GB2312"/>
                <w:sz w:val="21"/>
                <w:color w:val="000000"/>
              </w:rPr>
              <w:t>~</w:t>
            </w:r>
            <w:r>
              <w:rPr>
                <w:rFonts w:ascii="仿宋_GB2312" w:hAnsi="仿宋_GB2312" w:cs="仿宋_GB2312" w:eastAsia="仿宋_GB2312"/>
                <w:sz w:val="21"/>
                <w:color w:val="000000"/>
              </w:rPr>
              <w:t>10℃/min</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5.安全防护机制：</w:t>
            </w:r>
          </w:p>
          <w:p>
            <w:pPr>
              <w:pStyle w:val="null3"/>
              <w:jc w:val="both"/>
            </w:pPr>
            <w:r>
              <w:rPr>
                <w:rFonts w:ascii="仿宋_GB2312" w:hAnsi="仿宋_GB2312" w:cs="仿宋_GB2312" w:eastAsia="仿宋_GB2312"/>
                <w:sz w:val="21"/>
                <w:color w:val="000000"/>
              </w:rPr>
              <w:t>5.1过热断电：炉膛温度≥1850℃时，系统在200ms内切断主加热电源；</w:t>
            </w:r>
          </w:p>
          <w:p>
            <w:pPr>
              <w:pStyle w:val="null3"/>
              <w:jc w:val="both"/>
            </w:pPr>
            <w:r>
              <w:rPr>
                <w:rFonts w:ascii="仿宋_GB2312" w:hAnsi="仿宋_GB2312" w:cs="仿宋_GB2312" w:eastAsia="仿宋_GB2312"/>
                <w:sz w:val="21"/>
                <w:color w:val="000000"/>
              </w:rPr>
              <w:t>5.2断偶保护：任一热电偶信号中断或异常（开路、短路或超量程），系统立即停机并锁定操作界面；</w:t>
            </w:r>
          </w:p>
          <w:p>
            <w:pPr>
              <w:pStyle w:val="null3"/>
              <w:jc w:val="both"/>
            </w:pPr>
            <w:r>
              <w:rPr>
                <w:rFonts w:ascii="仿宋_GB2312" w:hAnsi="仿宋_GB2312" w:cs="仿宋_GB2312" w:eastAsia="仿宋_GB2312"/>
                <w:sz w:val="21"/>
                <w:color w:val="000000"/>
              </w:rPr>
              <w:t>5.3过流保护：加热电流超过额定值110%时，断路器须在50 ms内动作，并记录故障电流波形；</w:t>
            </w:r>
          </w:p>
          <w:p>
            <w:pPr>
              <w:pStyle w:val="null3"/>
            </w:pPr>
            <w:r>
              <w:rPr>
                <w:rFonts w:ascii="仿宋_GB2312" w:hAnsi="仿宋_GB2312" w:cs="仿宋_GB2312" w:eastAsia="仿宋_GB2312"/>
                <w:sz w:val="21"/>
                <w:color w:val="000000"/>
              </w:rPr>
              <w:t>5.4故障自诊断：记录故障类型、发生时间、温度曲线、电源状态，存储容量≥1000条。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二、高真空系统参数要求：</w:t>
            </w:r>
          </w:p>
          <w:p>
            <w:pPr>
              <w:pStyle w:val="null3"/>
              <w:jc w:val="both"/>
            </w:pPr>
            <w:r>
              <w:rPr>
                <w:rFonts w:ascii="仿宋_GB2312" w:hAnsi="仿宋_GB2312" w:cs="仿宋_GB2312" w:eastAsia="仿宋_GB2312"/>
                <w:sz w:val="21"/>
                <w:color w:val="000000"/>
              </w:rPr>
              <w:t>（一）机械泵</w:t>
            </w:r>
          </w:p>
          <w:p>
            <w:pPr>
              <w:pStyle w:val="null3"/>
              <w:jc w:val="both"/>
            </w:pPr>
            <w:r>
              <w:rPr>
                <w:rFonts w:ascii="仿宋_GB2312" w:hAnsi="仿宋_GB2312" w:cs="仿宋_GB2312" w:eastAsia="仿宋_GB2312"/>
                <w:sz w:val="21"/>
                <w:color w:val="000000"/>
              </w:rPr>
              <w:t>1.抽气速率：≥3</w:t>
            </w:r>
            <w:r>
              <w:rPr>
                <w:rFonts w:ascii="仿宋_GB2312" w:hAnsi="仿宋_GB2312" w:cs="仿宋_GB2312" w:eastAsia="仿宋_GB2312"/>
                <w:sz w:val="21"/>
                <w:color w:val="000000"/>
              </w:rPr>
              <w:t>L/s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系统空载极限真空度：≤5×10</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Pa</w:t>
            </w:r>
            <w:r>
              <w:rPr>
                <w:rFonts w:ascii="仿宋_GB2312" w:hAnsi="仿宋_GB2312" w:cs="仿宋_GB2312" w:eastAsia="仿宋_GB2312"/>
                <w:sz w:val="21"/>
                <w:color w:val="000000"/>
              </w:rPr>
              <w:t>，</w:t>
            </w:r>
            <w:r>
              <w:rPr>
                <w:rFonts w:ascii="仿宋_GB2312" w:hAnsi="仿宋_GB2312" w:cs="仿宋_GB2312" w:eastAsia="仿宋_GB2312"/>
                <w:sz w:val="21"/>
                <w:color w:val="000000"/>
              </w:rPr>
              <w:t>可</w:t>
            </w:r>
            <w:r>
              <w:rPr>
                <w:rFonts w:ascii="仿宋_GB2312" w:hAnsi="仿宋_GB2312" w:cs="仿宋_GB2312" w:eastAsia="仿宋_GB2312"/>
                <w:sz w:val="21"/>
                <w:color w:val="000000"/>
              </w:rPr>
              <w:t>真空保持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（二）分子泵机组</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涡轮分子泵+前级泵机组，抽气速率</w:t>
            </w:r>
            <w:r>
              <w:rPr>
                <w:rFonts w:ascii="仿宋_GB2312" w:hAnsi="仿宋_GB2312" w:cs="仿宋_GB2312" w:eastAsia="仿宋_GB2312"/>
                <w:sz w:val="21"/>
                <w:color w:val="000000"/>
              </w:rPr>
              <w:t>≥100</w:t>
            </w:r>
            <w:r>
              <w:rPr>
                <w:rFonts w:ascii="仿宋_GB2312" w:hAnsi="仿宋_GB2312" w:cs="仿宋_GB2312" w:eastAsia="仿宋_GB2312"/>
                <w:sz w:val="21"/>
                <w:color w:val="000000"/>
              </w:rPr>
              <w:t>L/s</w:t>
            </w:r>
            <w:r>
              <w:rPr>
                <w:rFonts w:ascii="仿宋_GB2312" w:hAnsi="仿宋_GB2312" w:cs="仿宋_GB2312" w:eastAsia="仿宋_GB2312"/>
                <w:sz w:val="21"/>
                <w:color w:val="000000"/>
              </w:rPr>
              <w:t>、分子泵机组转速≥40000rpm；</w:t>
            </w:r>
          </w:p>
          <w:p>
            <w:pPr>
              <w:pStyle w:val="null3"/>
              <w:jc w:val="both"/>
            </w:pPr>
            <w:r>
              <w:rPr>
                <w:rFonts w:ascii="仿宋_GB2312" w:hAnsi="仿宋_GB2312" w:cs="仿宋_GB2312" w:eastAsia="仿宋_GB2312"/>
                <w:sz w:val="21"/>
                <w:color w:val="000000"/>
              </w:rPr>
              <w:t>2.分子泵</w:t>
            </w:r>
            <w:r>
              <w:rPr>
                <w:rFonts w:ascii="仿宋_GB2312" w:hAnsi="仿宋_GB2312" w:cs="仿宋_GB2312" w:eastAsia="仿宋_GB2312"/>
                <w:sz w:val="21"/>
                <w:color w:val="000000"/>
              </w:rPr>
              <w:t>额定电压220V，频率50Hz；</w:t>
            </w:r>
          </w:p>
          <w:p>
            <w:pPr>
              <w:pStyle w:val="null3"/>
              <w:jc w:val="both"/>
            </w:pPr>
            <w:r>
              <w:rPr>
                <w:rFonts w:ascii="仿宋_GB2312" w:hAnsi="仿宋_GB2312" w:cs="仿宋_GB2312" w:eastAsia="仿宋_GB2312"/>
                <w:sz w:val="21"/>
                <w:color w:val="000000"/>
              </w:rPr>
              <w:t>3.真空系统模块化集成，所有泵组、管道、传感器集中安装于一体化不锈钢框架内，预留标准接口；配备数字真空计与彩色触摸屏操作面板；底座配置制式滚轮，承重≥250kg。</w:t>
            </w:r>
          </w:p>
          <w:p>
            <w:pPr>
              <w:pStyle w:val="null3"/>
              <w:jc w:val="both"/>
            </w:pPr>
            <w:r>
              <w:rPr>
                <w:rFonts w:ascii="仿宋_GB2312" w:hAnsi="仿宋_GB2312" w:cs="仿宋_GB2312" w:eastAsia="仿宋_GB2312"/>
                <w:sz w:val="21"/>
                <w:color w:val="000000"/>
              </w:rPr>
              <w:t>（三）水冷机</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.水冷机额定电压380V，频率50Hz；</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冷却方式：风冷式，</w:t>
            </w: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25KW，冷却循环水流量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 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水温</w:t>
            </w:r>
            <w:r>
              <w:rPr>
                <w:rFonts w:ascii="仿宋_GB2312" w:hAnsi="仿宋_GB2312" w:cs="仿宋_GB2312" w:eastAsia="仿宋_GB2312"/>
                <w:sz w:val="21"/>
                <w:color w:val="000000"/>
              </w:rPr>
              <w:t>≤</w:t>
            </w:r>
            <w:r>
              <w:rPr>
                <w:rFonts w:ascii="仿宋_GB2312" w:hAnsi="仿宋_GB2312" w:cs="仿宋_GB2312" w:eastAsia="仿宋_GB2312"/>
                <w:sz w:val="21"/>
                <w:color w:val="000000"/>
              </w:rPr>
              <w:t>30℃，控温精度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水箱容量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150L</w:t>
            </w:r>
            <w:r>
              <w:rPr>
                <w:rFonts w:ascii="仿宋_GB2312" w:hAnsi="仿宋_GB2312" w:cs="仿宋_GB2312" w:eastAsia="仿宋_GB2312"/>
                <w:sz w:val="21"/>
                <w:color w:val="000000"/>
              </w:rPr>
              <w:t>，</w:t>
            </w:r>
            <w:r>
              <w:rPr>
                <w:rFonts w:ascii="仿宋_GB2312" w:hAnsi="仿宋_GB2312" w:cs="仿宋_GB2312" w:eastAsia="仿宋_GB2312"/>
                <w:sz w:val="21"/>
                <w:color w:val="000000"/>
              </w:rPr>
              <w:t>水泵扬程</w:t>
            </w:r>
            <w:r>
              <w:rPr>
                <w:rFonts w:ascii="仿宋_GB2312" w:hAnsi="仿宋_GB2312" w:cs="仿宋_GB2312" w:eastAsia="仿宋_GB2312"/>
                <w:sz w:val="21"/>
                <w:color w:val="000000"/>
              </w:rPr>
              <w:t>≥</w:t>
            </w:r>
            <w:r>
              <w:rPr>
                <w:rFonts w:ascii="仿宋_GB2312" w:hAnsi="仿宋_GB2312" w:cs="仿宋_GB2312" w:eastAsia="仿宋_GB2312"/>
                <w:sz w:val="21"/>
                <w:color w:val="000000"/>
              </w:rPr>
              <w:t>50M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5.安全防护机制：</w:t>
            </w:r>
          </w:p>
          <w:p>
            <w:pPr>
              <w:pStyle w:val="null3"/>
              <w:jc w:val="both"/>
            </w:pPr>
            <w:r>
              <w:rPr>
                <w:rFonts w:ascii="仿宋_GB2312" w:hAnsi="仿宋_GB2312" w:cs="仿宋_GB2312" w:eastAsia="仿宋_GB2312"/>
                <w:sz w:val="21"/>
                <w:color w:val="000000"/>
              </w:rPr>
              <w:t>5.1超温断电：冷却水出口温度≥35℃时，系统在100 ms内切断主泵电源并启动声光报警；</w:t>
            </w:r>
          </w:p>
          <w:p>
            <w:pPr>
              <w:pStyle w:val="null3"/>
              <w:jc w:val="both"/>
            </w:pPr>
            <w:r>
              <w:rPr>
                <w:rFonts w:ascii="仿宋_GB2312" w:hAnsi="仿宋_GB2312" w:cs="仿宋_GB2312" w:eastAsia="仿宋_GB2312"/>
                <w:sz w:val="21"/>
                <w:color w:val="000000"/>
              </w:rPr>
              <w:t>5.2低压报警：循环水压力≤0.08 MPa时，声光报警+操作界面弹窗提示，5 s后自动停机；</w:t>
            </w:r>
          </w:p>
          <w:p>
            <w:pPr>
              <w:pStyle w:val="null3"/>
              <w:jc w:val="both"/>
            </w:pPr>
            <w:r>
              <w:rPr>
                <w:rFonts w:ascii="仿宋_GB2312" w:hAnsi="仿宋_GB2312" w:cs="仿宋_GB2312" w:eastAsia="仿宋_GB2312"/>
                <w:sz w:val="21"/>
                <w:color w:val="000000"/>
              </w:rPr>
              <w:t>5.3过流/过载保护：电机电流超限110%时，50 ms内动作并记录故障电流波形；</w:t>
            </w:r>
          </w:p>
          <w:p>
            <w:pPr>
              <w:pStyle w:val="null3"/>
            </w:pPr>
            <w:r>
              <w:rPr>
                <w:rFonts w:ascii="仿宋_GB2312" w:hAnsi="仿宋_GB2312" w:cs="仿宋_GB2312" w:eastAsia="仿宋_GB2312"/>
                <w:sz w:val="21"/>
                <w:color w:val="000000"/>
              </w:rPr>
              <w:t>5.4报警信号：声光报警或操作界面报警。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三、真空/气氛封管系统参数要求：</w:t>
            </w:r>
          </w:p>
          <w:p>
            <w:pPr>
              <w:pStyle w:val="null3"/>
              <w:jc w:val="both"/>
            </w:pPr>
            <w:r>
              <w:rPr>
                <w:rFonts w:ascii="仿宋_GB2312" w:hAnsi="仿宋_GB2312" w:cs="仿宋_GB2312" w:eastAsia="仿宋_GB2312"/>
                <w:sz w:val="21"/>
                <w:color w:val="000000"/>
              </w:rPr>
              <w:t>（一）氢氧焰熔封机</w:t>
            </w:r>
          </w:p>
          <w:p>
            <w:pPr>
              <w:pStyle w:val="null3"/>
              <w:jc w:val="both"/>
            </w:pPr>
            <w:r>
              <w:rPr>
                <w:rFonts w:ascii="仿宋_GB2312" w:hAnsi="仿宋_GB2312" w:cs="仿宋_GB2312" w:eastAsia="仿宋_GB2312"/>
                <w:sz w:val="21"/>
                <w:color w:val="000000"/>
              </w:rPr>
              <w:t xml:space="preserve">1.燃气比例：氢氧混合气体体积比 </w:t>
            </w:r>
            <w:r>
              <w:rPr>
                <w:rFonts w:ascii="仿宋_GB2312" w:hAnsi="仿宋_GB2312" w:cs="仿宋_GB2312" w:eastAsia="仿宋_GB2312"/>
                <w:sz w:val="21"/>
                <w:color w:val="000000"/>
              </w:rPr>
              <w:t>2:1；</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2.氢氧焰产气量≥1000L/h，火焰温度≥2500℃；</w:t>
            </w:r>
          </w:p>
          <w:p>
            <w:pPr>
              <w:pStyle w:val="null3"/>
              <w:jc w:val="both"/>
            </w:pPr>
            <w:r>
              <w:rPr>
                <w:rFonts w:ascii="仿宋_GB2312" w:hAnsi="仿宋_GB2312" w:cs="仿宋_GB2312" w:eastAsia="仿宋_GB2312"/>
                <w:sz w:val="21"/>
                <w:color w:val="000000"/>
              </w:rPr>
              <w:t>3.安全防护机制：</w:t>
            </w:r>
            <w:r>
              <w:rPr>
                <w:rFonts w:ascii="仿宋_GB2312" w:hAnsi="仿宋_GB2312" w:cs="仿宋_GB2312" w:eastAsia="仿宋_GB2312"/>
                <w:sz w:val="21"/>
                <w:color w:val="000000"/>
              </w:rPr>
              <w:t>高低压保护、低压报警、回火防止，</w:t>
            </w:r>
            <w:r>
              <w:rPr>
                <w:rFonts w:ascii="仿宋_GB2312" w:hAnsi="仿宋_GB2312" w:cs="仿宋_GB2312" w:eastAsia="仿宋_GB2312"/>
                <w:sz w:val="21"/>
                <w:color w:val="000000"/>
              </w:rPr>
              <w:t>声光报警或操作界面报警</w:t>
            </w:r>
            <w:r>
              <w:rPr>
                <w:rFonts w:ascii="仿宋_GB2312" w:hAnsi="仿宋_GB2312" w:cs="仿宋_GB2312" w:eastAsia="仿宋_GB2312"/>
                <w:sz w:val="21"/>
                <w:color w:val="000000"/>
              </w:rPr>
              <w:t>提示。</w:t>
            </w:r>
          </w:p>
          <w:p>
            <w:pPr>
              <w:pStyle w:val="null3"/>
              <w:jc w:val="both"/>
            </w:pPr>
            <w:r>
              <w:rPr>
                <w:rFonts w:ascii="仿宋_GB2312" w:hAnsi="仿宋_GB2312" w:cs="仿宋_GB2312" w:eastAsia="仿宋_GB2312"/>
                <w:sz w:val="21"/>
                <w:color w:val="000000"/>
              </w:rPr>
              <w:t>（二）玻璃管真空封管机</w:t>
            </w:r>
          </w:p>
          <w:p>
            <w:pPr>
              <w:pStyle w:val="null3"/>
              <w:jc w:val="both"/>
            </w:pPr>
            <w:r>
              <w:rPr>
                <w:rFonts w:ascii="仿宋_GB2312" w:hAnsi="仿宋_GB2312" w:cs="仿宋_GB2312" w:eastAsia="仿宋_GB2312"/>
                <w:sz w:val="21"/>
                <w:color w:val="000000"/>
              </w:rPr>
              <w:t>1.空载极限真空度：≤5×10</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2.抽气机组配置：高真空抽气机组，对空气名义抽速需与腔体容积匹配，快速达到试验要求的高真空环境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3.气氛控制功能：支持真空状态下惰性气氛回填，气氛纯度与充气压力可调控。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旋转封管转速范围：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35rpm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5.兼容管径：Φ30或Φ45mm的玻璃管或石英管。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标的名称：超高真空物理气相沉积设备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1390"/>
              <w:gridCol w:w="84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真空系统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1组</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溅射镀膜工艺系统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1组</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样品台与加热传动系统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1组</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电气全自动控制系统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1组</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辅助系统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1组</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真空系统</w:t>
            </w:r>
            <w:r>
              <w:rPr>
                <w:rFonts w:ascii="仿宋_GB2312" w:hAnsi="仿宋_GB2312" w:cs="仿宋_GB2312" w:eastAsia="仿宋_GB2312"/>
                <w:sz w:val="21"/>
                <w:color w:val="000000"/>
              </w:rPr>
              <w:t>参数要求：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极限真空度：≤</w:t>
            </w:r>
            <w:r>
              <w:rPr>
                <w:rFonts w:ascii="仿宋_GB2312" w:hAnsi="仿宋_GB2312" w:cs="仿宋_GB2312" w:eastAsia="仿宋_GB2312"/>
                <w:sz w:val="21"/>
                <w:color w:val="000000"/>
              </w:rPr>
              <w:t>5</w:t>
            </w:r>
            <w:r>
              <w:rPr>
                <w:rFonts w:ascii="仿宋_GB2312" w:hAnsi="仿宋_GB2312" w:cs="仿宋_GB2312" w:eastAsia="仿宋_GB2312"/>
                <w:sz w:val="21"/>
                <w:color w:val="000000"/>
              </w:rPr>
              <w:t>×10</w:t>
            </w:r>
            <w:r>
              <w:rPr>
                <w:rFonts w:ascii="仿宋_GB2312" w:hAnsi="仿宋_GB2312" w:cs="仿宋_GB2312" w:eastAsia="仿宋_GB2312"/>
                <w:sz w:val="21"/>
                <w:color w:val="000000"/>
                <w:vertAlign w:val="superscript"/>
              </w:rPr>
              <w:t>-</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Pa；</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系统保压：系统抽至高真空后</w:t>
            </w:r>
            <w:r>
              <w:rPr>
                <w:rFonts w:ascii="仿宋_GB2312" w:hAnsi="仿宋_GB2312" w:cs="仿宋_GB2312" w:eastAsia="仿宋_GB2312"/>
                <w:sz w:val="21"/>
                <w:color w:val="000000"/>
              </w:rPr>
              <w:t>，关闭真空泵及阀门</w:t>
            </w:r>
            <w:r>
              <w:rPr>
                <w:rFonts w:ascii="仿宋_GB2312" w:hAnsi="仿宋_GB2312" w:cs="仿宋_GB2312" w:eastAsia="仿宋_GB2312"/>
                <w:sz w:val="21"/>
                <w:color w:val="000000"/>
              </w:rPr>
              <w:t>12小时后</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系统真空度</w:t>
            </w:r>
            <w:r>
              <w:rPr>
                <w:rFonts w:ascii="仿宋_GB2312" w:hAnsi="仿宋_GB2312" w:cs="仿宋_GB2312" w:eastAsia="仿宋_GB2312"/>
                <w:sz w:val="21"/>
                <w:color w:val="000000"/>
              </w:rPr>
              <w:t>≤5Pa；</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3.溅射室抽气速</w:t>
            </w:r>
            <w:r>
              <w:rPr>
                <w:rFonts w:ascii="仿宋_GB2312" w:hAnsi="仿宋_GB2312" w:cs="仿宋_GB2312" w:eastAsia="仿宋_GB2312"/>
                <w:sz w:val="21"/>
                <w:color w:val="000000"/>
              </w:rPr>
              <w:t>率：从大气压至样品送入后</w:t>
            </w:r>
            <w:r>
              <w:rPr>
                <w:rFonts w:ascii="仿宋_GB2312" w:hAnsi="仿宋_GB2312" w:cs="仿宋_GB2312" w:eastAsia="仿宋_GB2312"/>
                <w:sz w:val="21"/>
                <w:color w:val="000000"/>
              </w:rPr>
              <w:t>，</w:t>
            </w:r>
            <w:r>
              <w:rPr>
                <w:rFonts w:ascii="仿宋_GB2312" w:hAnsi="仿宋_GB2312" w:cs="仿宋_GB2312" w:eastAsia="仿宋_GB2312"/>
                <w:sz w:val="21"/>
                <w:color w:val="000000"/>
              </w:rPr>
              <w:t>30min</w:t>
            </w:r>
            <w:r>
              <w:rPr>
                <w:rFonts w:ascii="仿宋_GB2312" w:hAnsi="仿宋_GB2312" w:cs="仿宋_GB2312" w:eastAsia="仿宋_GB2312"/>
                <w:sz w:val="21"/>
                <w:color w:val="000000"/>
              </w:rPr>
              <w:t>内将溅射室压力降至</w:t>
            </w:r>
            <w:r>
              <w:rPr>
                <w:rFonts w:ascii="仿宋_GB2312" w:hAnsi="仿宋_GB2312" w:cs="仿宋_GB2312" w:eastAsia="仿宋_GB2312"/>
                <w:sz w:val="21"/>
                <w:color w:val="000000"/>
              </w:rPr>
              <w:t>抽到≤</w:t>
            </w:r>
            <w:r>
              <w:rPr>
                <w:rFonts w:ascii="仿宋_GB2312" w:hAnsi="仿宋_GB2312" w:cs="仿宋_GB2312" w:eastAsia="仿宋_GB2312"/>
                <w:sz w:val="21"/>
                <w:color w:val="000000"/>
              </w:rPr>
              <w:t>1</w:t>
            </w:r>
            <w:r>
              <w:rPr>
                <w:rFonts w:ascii="仿宋_GB2312" w:hAnsi="仿宋_GB2312" w:cs="仿宋_GB2312" w:eastAsia="仿宋_GB2312"/>
                <w:sz w:val="21"/>
                <w:color w:val="000000"/>
              </w:rPr>
              <w:t>.0×10</w:t>
            </w:r>
            <w:r>
              <w:rPr>
                <w:rFonts w:ascii="仿宋_GB2312" w:hAnsi="仿宋_GB2312" w:cs="仿宋_GB2312" w:eastAsia="仿宋_GB2312"/>
                <w:sz w:val="21"/>
                <w:color w:val="000000"/>
                <w:vertAlign w:val="superscript"/>
              </w:rPr>
              <w:t>-4</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分子泵：</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1台</w:t>
            </w:r>
            <w:r>
              <w:rPr>
                <w:rFonts w:ascii="仿宋_GB2312" w:hAnsi="仿宋_GB2312" w:cs="仿宋_GB2312" w:eastAsia="仿宋_GB2312"/>
                <w:sz w:val="21"/>
                <w:color w:val="000000"/>
              </w:rPr>
              <w:t>，</w:t>
            </w:r>
            <w:r>
              <w:rPr>
                <w:rFonts w:ascii="仿宋_GB2312" w:hAnsi="仿宋_GB2312" w:cs="仿宋_GB2312" w:eastAsia="仿宋_GB2312"/>
                <w:sz w:val="21"/>
                <w:color w:val="000000"/>
              </w:rPr>
              <w:t>抽速</w:t>
            </w:r>
            <w:r>
              <w:rPr>
                <w:rFonts w:ascii="仿宋_GB2312" w:hAnsi="仿宋_GB2312" w:cs="仿宋_GB2312" w:eastAsia="仿宋_GB2312"/>
                <w:sz w:val="21"/>
                <w:color w:val="000000"/>
              </w:rPr>
              <w:t>≥</w:t>
            </w:r>
            <w:r>
              <w:rPr>
                <w:rFonts w:ascii="仿宋_GB2312" w:hAnsi="仿宋_GB2312" w:cs="仿宋_GB2312" w:eastAsia="仿宋_GB2312"/>
                <w:sz w:val="21"/>
                <w:color w:val="000000"/>
              </w:rPr>
              <w:t>1300L/s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5.分子泵</w:t>
            </w:r>
            <w:r>
              <w:rPr>
                <w:rFonts w:ascii="仿宋_GB2312" w:hAnsi="仿宋_GB2312" w:cs="仿宋_GB2312" w:eastAsia="仿宋_GB2312"/>
                <w:sz w:val="21"/>
                <w:color w:val="000000"/>
              </w:rPr>
              <w:t>转速</w:t>
            </w:r>
            <w:r>
              <w:rPr>
                <w:rFonts w:ascii="仿宋_GB2312" w:hAnsi="仿宋_GB2312" w:cs="仿宋_GB2312" w:eastAsia="仿宋_GB2312"/>
                <w:sz w:val="21"/>
                <w:color w:val="000000"/>
              </w:rPr>
              <w:t>≥</w:t>
            </w:r>
            <w:r>
              <w:rPr>
                <w:rFonts w:ascii="仿宋_GB2312" w:hAnsi="仿宋_GB2312" w:cs="仿宋_GB2312" w:eastAsia="仿宋_GB2312"/>
                <w:sz w:val="21"/>
                <w:color w:val="000000"/>
              </w:rPr>
              <w:t>24000</w:t>
            </w:r>
            <w:r>
              <w:rPr>
                <w:rFonts w:ascii="仿宋_GB2312" w:hAnsi="仿宋_GB2312" w:cs="仿宋_GB2312" w:eastAsia="仿宋_GB2312"/>
                <w:sz w:val="21"/>
                <w:color w:val="000000"/>
              </w:rPr>
              <w:t>rpm</w:t>
            </w:r>
            <w:r>
              <w:rPr>
                <w:rFonts w:ascii="仿宋_GB2312" w:hAnsi="仿宋_GB2312" w:cs="仿宋_GB2312" w:eastAsia="仿宋_GB2312"/>
                <w:sz w:val="21"/>
                <w:color w:val="000000"/>
              </w:rPr>
              <w:t>，</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500W</w:t>
            </w:r>
            <w:r>
              <w:rPr>
                <w:rFonts w:ascii="仿宋_GB2312" w:hAnsi="仿宋_GB2312" w:cs="仿宋_GB2312" w:eastAsia="仿宋_GB2312"/>
                <w:sz w:val="21"/>
                <w:color w:val="000000"/>
              </w:rPr>
              <w:t>，</w:t>
            </w:r>
            <w:r>
              <w:rPr>
                <w:rFonts w:ascii="仿宋_GB2312" w:hAnsi="仿宋_GB2312" w:cs="仿宋_GB2312" w:eastAsia="仿宋_GB2312"/>
                <w:sz w:val="21"/>
                <w:color w:val="000000"/>
              </w:rPr>
              <w:t>额定</w:t>
            </w:r>
            <w:r>
              <w:rPr>
                <w:rFonts w:ascii="仿宋_GB2312" w:hAnsi="仿宋_GB2312" w:cs="仿宋_GB2312" w:eastAsia="仿宋_GB2312"/>
                <w:sz w:val="21"/>
                <w:color w:val="000000"/>
              </w:rPr>
              <w:t>输入电压220V</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旋片式真空泵：</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1台</w:t>
            </w:r>
            <w:r>
              <w:rPr>
                <w:rFonts w:ascii="仿宋_GB2312" w:hAnsi="仿宋_GB2312" w:cs="仿宋_GB2312" w:eastAsia="仿宋_GB2312"/>
                <w:sz w:val="21"/>
                <w:color w:val="000000"/>
              </w:rPr>
              <w:t>，</w:t>
            </w:r>
            <w:r>
              <w:rPr>
                <w:rFonts w:ascii="仿宋_GB2312" w:hAnsi="仿宋_GB2312" w:cs="仿宋_GB2312" w:eastAsia="仿宋_GB2312"/>
                <w:sz w:val="21"/>
                <w:color w:val="000000"/>
              </w:rPr>
              <w:t>抽速</w:t>
            </w:r>
            <w:r>
              <w:rPr>
                <w:rFonts w:ascii="仿宋_GB2312" w:hAnsi="仿宋_GB2312" w:cs="仿宋_GB2312" w:eastAsia="仿宋_GB2312"/>
                <w:sz w:val="21"/>
                <w:color w:val="000000"/>
              </w:rPr>
              <w:t>≥</w:t>
            </w:r>
            <w:r>
              <w:rPr>
                <w:rFonts w:ascii="仿宋_GB2312" w:hAnsi="仿宋_GB2312" w:cs="仿宋_GB2312" w:eastAsia="仿宋_GB2312"/>
                <w:sz w:val="21"/>
                <w:color w:val="000000"/>
              </w:rPr>
              <w:t>13L/s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旋片式真空泵</w:t>
            </w:r>
            <w:r>
              <w:rPr>
                <w:rFonts w:ascii="仿宋_GB2312" w:hAnsi="仿宋_GB2312" w:cs="仿宋_GB2312" w:eastAsia="仿宋_GB2312"/>
                <w:sz w:val="21"/>
                <w:color w:val="000000"/>
              </w:rPr>
              <w:t>转速</w:t>
            </w:r>
            <w:r>
              <w:rPr>
                <w:rFonts w:ascii="仿宋_GB2312" w:hAnsi="仿宋_GB2312" w:cs="仿宋_GB2312" w:eastAsia="仿宋_GB2312"/>
                <w:sz w:val="21"/>
                <w:color w:val="000000"/>
              </w:rPr>
              <w:t>≥</w:t>
            </w:r>
            <w:r>
              <w:rPr>
                <w:rFonts w:ascii="仿宋_GB2312" w:hAnsi="仿宋_GB2312" w:cs="仿宋_GB2312" w:eastAsia="仿宋_GB2312"/>
                <w:sz w:val="21"/>
                <w:color w:val="000000"/>
              </w:rPr>
              <w:t>1450</w:t>
            </w:r>
            <w:r>
              <w:rPr>
                <w:rFonts w:ascii="仿宋_GB2312" w:hAnsi="仿宋_GB2312" w:cs="仿宋_GB2312" w:eastAsia="仿宋_GB2312"/>
                <w:sz w:val="21"/>
                <w:color w:val="000000"/>
              </w:rPr>
              <w:t>rpm</w:t>
            </w:r>
            <w:r>
              <w:rPr>
                <w:rFonts w:ascii="仿宋_GB2312" w:hAnsi="仿宋_GB2312" w:cs="仿宋_GB2312" w:eastAsia="仿宋_GB2312"/>
                <w:sz w:val="21"/>
                <w:color w:val="000000"/>
              </w:rPr>
              <w:t>，</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500W</w:t>
            </w:r>
            <w:r>
              <w:rPr>
                <w:rFonts w:ascii="仿宋_GB2312" w:hAnsi="仿宋_GB2312" w:cs="仿宋_GB2312" w:eastAsia="仿宋_GB2312"/>
                <w:sz w:val="21"/>
                <w:color w:val="000000"/>
              </w:rPr>
              <w:t>，</w:t>
            </w:r>
            <w:r>
              <w:rPr>
                <w:rFonts w:ascii="仿宋_GB2312" w:hAnsi="仿宋_GB2312" w:cs="仿宋_GB2312" w:eastAsia="仿宋_GB2312"/>
                <w:sz w:val="21"/>
                <w:color w:val="000000"/>
              </w:rPr>
              <w:t>额定</w:t>
            </w: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220</w:t>
            </w:r>
            <w:r>
              <w:rPr>
                <w:rFonts w:ascii="仿宋_GB2312" w:hAnsi="仿宋_GB2312" w:cs="仿宋_GB2312" w:eastAsia="仿宋_GB2312"/>
                <w:sz w:val="21"/>
                <w:color w:val="000000"/>
              </w:rPr>
              <w:t>V</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8.配置电子复合真空计，测量范围：1.0×10</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Pa~1.0×10</w:t>
            </w:r>
            <w:r>
              <w:rPr>
                <w:rFonts w:ascii="仿宋_GB2312" w:hAnsi="仿宋_GB2312" w:cs="仿宋_GB2312" w:eastAsia="仿宋_GB2312"/>
                <w:sz w:val="21"/>
                <w:color w:val="000000"/>
                <w:vertAlign w:val="superscript"/>
              </w:rPr>
              <w:t>-7</w:t>
            </w:r>
            <w:r>
              <w:rPr>
                <w:rFonts w:ascii="仿宋_GB2312" w:hAnsi="仿宋_GB2312" w:cs="仿宋_GB2312" w:eastAsia="仿宋_GB2312"/>
                <w:sz w:val="21"/>
                <w:color w:val="000000"/>
              </w:rPr>
              <w:t>Pa；薄膜规：0.1Torr。</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二、溅射镀膜工艺系统参数要求：</w:t>
            </w:r>
          </w:p>
          <w:p>
            <w:pPr>
              <w:pStyle w:val="null3"/>
              <w:jc w:val="both"/>
            </w:pPr>
            <w:r>
              <w:rPr>
                <w:rFonts w:ascii="仿宋_GB2312" w:hAnsi="仿宋_GB2312" w:cs="仿宋_GB2312" w:eastAsia="仿宋_GB2312"/>
                <w:sz w:val="21"/>
                <w:color w:val="000000"/>
              </w:rPr>
              <w:t>1.多靶共沉积系统：独立溅射靶枪≥3个，溅射靶枪直径≥Φ70mm，磁控靶需独立配置气动挡板以及靶之间配置隔离板；</w:t>
            </w:r>
          </w:p>
          <w:p>
            <w:pPr>
              <w:pStyle w:val="null3"/>
              <w:jc w:val="both"/>
            </w:pPr>
            <w:r>
              <w:rPr>
                <w:rFonts w:ascii="仿宋_GB2312" w:hAnsi="仿宋_GB2312" w:cs="仿宋_GB2312" w:eastAsia="仿宋_GB2312"/>
                <w:sz w:val="21"/>
                <w:color w:val="000000"/>
              </w:rPr>
              <w:t>▲2.溅射模式：共焦向上溅射，可实现独立溅射、顺次溅射及共溅射三种工作模式；</w:t>
            </w:r>
          </w:p>
          <w:p>
            <w:pPr>
              <w:pStyle w:val="null3"/>
              <w:jc w:val="both"/>
            </w:pPr>
            <w:r>
              <w:rPr>
                <w:rFonts w:ascii="仿宋_GB2312" w:hAnsi="仿宋_GB2312" w:cs="仿宋_GB2312" w:eastAsia="仿宋_GB2312"/>
                <w:sz w:val="21"/>
                <w:color w:val="000000"/>
              </w:rPr>
              <w:t>3.靶基距调节：靶枪与工件间距连续可调距离≥100mm；</w:t>
            </w:r>
          </w:p>
          <w:p>
            <w:pPr>
              <w:pStyle w:val="null3"/>
              <w:jc w:val="both"/>
            </w:pPr>
            <w:r>
              <w:rPr>
                <w:rFonts w:ascii="仿宋_GB2312" w:hAnsi="仿宋_GB2312" w:cs="仿宋_GB2312" w:eastAsia="仿宋_GB2312"/>
                <w:sz w:val="21"/>
                <w:color w:val="000000"/>
              </w:rPr>
              <w:t>▲4.配置电源四组以上：</w:t>
            </w:r>
          </w:p>
          <w:p>
            <w:pPr>
              <w:pStyle w:val="null3"/>
              <w:jc w:val="both"/>
            </w:pPr>
            <w:r>
              <w:rPr>
                <w:rFonts w:ascii="仿宋_GB2312" w:hAnsi="仿宋_GB2312" w:cs="仿宋_GB2312" w:eastAsia="仿宋_GB2312"/>
                <w:sz w:val="21"/>
                <w:color w:val="000000"/>
              </w:rPr>
              <w:t>直流溅射电源：2台，输入工作电压220V，额定输出功率≥500W；</w:t>
            </w:r>
          </w:p>
          <w:p>
            <w:pPr>
              <w:pStyle w:val="null3"/>
              <w:jc w:val="both"/>
            </w:pPr>
            <w:r>
              <w:rPr>
                <w:rFonts w:ascii="仿宋_GB2312" w:hAnsi="仿宋_GB2312" w:cs="仿宋_GB2312" w:eastAsia="仿宋_GB2312"/>
                <w:sz w:val="21"/>
                <w:color w:val="000000"/>
              </w:rPr>
              <w:t>射频溅射电源：1台，输入工作电压220V，额定输出功率≥500W;</w:t>
            </w:r>
          </w:p>
          <w:p>
            <w:pPr>
              <w:pStyle w:val="null3"/>
              <w:jc w:val="both"/>
            </w:pPr>
            <w:r>
              <w:rPr>
                <w:rFonts w:ascii="仿宋_GB2312" w:hAnsi="仿宋_GB2312" w:cs="仿宋_GB2312" w:eastAsia="仿宋_GB2312"/>
                <w:sz w:val="21"/>
                <w:color w:val="000000"/>
              </w:rPr>
              <w:t>偏压电源：1台，可加偏压-300V，输入工作电压220V，额定输出功率≥300W；</w:t>
            </w:r>
          </w:p>
          <w:p>
            <w:pPr>
              <w:pStyle w:val="null3"/>
            </w:pPr>
            <w:r>
              <w:rPr>
                <w:rFonts w:ascii="仿宋_GB2312" w:hAnsi="仿宋_GB2312" w:cs="仿宋_GB2312" w:eastAsia="仿宋_GB2312"/>
                <w:sz w:val="21"/>
                <w:color w:val="000000"/>
              </w:rPr>
              <w:t>▲5.工作气路≥2路独立反应气体进气气路，至少包含氩气（Ar） 与氮气（N₂）通路。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样品台与加热传动系统</w:t>
            </w:r>
            <w:r>
              <w:rPr>
                <w:rFonts w:ascii="仿宋_GB2312" w:hAnsi="仿宋_GB2312" w:cs="仿宋_GB2312" w:eastAsia="仿宋_GB2312"/>
                <w:sz w:val="21"/>
                <w:color w:val="000000"/>
              </w:rPr>
              <w:t>参数要求：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基片台</w:t>
            </w:r>
            <w:r>
              <w:rPr>
                <w:rFonts w:ascii="仿宋_GB2312" w:hAnsi="仿宋_GB2312" w:cs="仿宋_GB2312" w:eastAsia="仿宋_GB2312"/>
                <w:sz w:val="21"/>
                <w:color w:val="000000"/>
              </w:rPr>
              <w:t>有效承载尺寸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可放置基片</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Φ</w:t>
            </w:r>
            <w:r>
              <w:rPr>
                <w:rFonts w:ascii="仿宋_GB2312" w:hAnsi="仿宋_GB2312" w:cs="仿宋_GB2312" w:eastAsia="仿宋_GB2312"/>
                <w:sz w:val="21"/>
                <w:color w:val="000000"/>
              </w:rPr>
              <w:t>100mm；</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基片台转速</w:t>
            </w:r>
            <w:r>
              <w:rPr>
                <w:rFonts w:ascii="仿宋_GB2312" w:hAnsi="仿宋_GB2312" w:cs="仿宋_GB2312" w:eastAsia="仿宋_GB2312"/>
                <w:sz w:val="21"/>
                <w:color w:val="000000"/>
              </w:rPr>
              <w:t>连续</w:t>
            </w:r>
            <w:r>
              <w:rPr>
                <w:rFonts w:ascii="仿宋_GB2312" w:hAnsi="仿宋_GB2312" w:cs="仿宋_GB2312" w:eastAsia="仿宋_GB2312"/>
                <w:sz w:val="21"/>
                <w:color w:val="000000"/>
              </w:rPr>
              <w:t>可调，</w:t>
            </w:r>
            <w:r>
              <w:rPr>
                <w:rFonts w:ascii="仿宋_GB2312" w:hAnsi="仿宋_GB2312" w:cs="仿宋_GB2312" w:eastAsia="仿宋_GB2312"/>
                <w:sz w:val="21"/>
                <w:color w:val="000000"/>
              </w:rPr>
              <w:t>调节范围</w:t>
            </w:r>
            <w:r>
              <w:rPr>
                <w:rFonts w:ascii="仿宋_GB2312" w:hAnsi="仿宋_GB2312" w:cs="仿宋_GB2312" w:eastAsia="仿宋_GB2312"/>
                <w:sz w:val="21"/>
                <w:color w:val="000000"/>
              </w:rPr>
              <w:t>≥20</w:t>
            </w:r>
            <w:r>
              <w:rPr>
                <w:rFonts w:ascii="仿宋_GB2312" w:hAnsi="仿宋_GB2312" w:cs="仿宋_GB2312" w:eastAsia="仿宋_GB2312"/>
                <w:sz w:val="21"/>
                <w:color w:val="000000"/>
              </w:rPr>
              <w:t>rpm；</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基片台</w:t>
            </w:r>
            <w:r>
              <w:rPr>
                <w:rFonts w:ascii="仿宋_GB2312" w:hAnsi="仿宋_GB2312" w:cs="仿宋_GB2312" w:eastAsia="仿宋_GB2312"/>
                <w:sz w:val="21"/>
                <w:color w:val="000000"/>
              </w:rPr>
              <w:t>采用加热方式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最高工作温度≥800℃</w:t>
            </w:r>
            <w:r>
              <w:rPr>
                <w:rFonts w:ascii="仿宋_GB2312" w:hAnsi="仿宋_GB2312" w:cs="仿宋_GB2312" w:eastAsia="仿宋_GB2312"/>
                <w:sz w:val="21"/>
                <w:color w:val="000000"/>
              </w:rPr>
              <w:t>，</w:t>
            </w:r>
            <w:r>
              <w:rPr>
                <w:rFonts w:ascii="仿宋_GB2312" w:hAnsi="仿宋_GB2312" w:cs="仿宋_GB2312" w:eastAsia="仿宋_GB2312"/>
                <w:sz w:val="21"/>
                <w:color w:val="000000"/>
              </w:rPr>
              <w:t>控温精度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▲4.成膜质量：直径Φ100mm范围内膜厚均匀性≤±3%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color w:val="000000"/>
              </w:rPr>
              <w:t>四、</w:t>
            </w:r>
            <w:r>
              <w:rPr>
                <w:rFonts w:ascii="仿宋_GB2312" w:hAnsi="仿宋_GB2312" w:cs="仿宋_GB2312" w:eastAsia="仿宋_GB2312"/>
                <w:sz w:val="21"/>
                <w:color w:val="000000"/>
              </w:rPr>
              <w:t>电气全自动控制系统</w:t>
            </w:r>
            <w:r>
              <w:rPr>
                <w:rFonts w:ascii="仿宋_GB2312" w:hAnsi="仿宋_GB2312" w:cs="仿宋_GB2312" w:eastAsia="仿宋_GB2312"/>
                <w:sz w:val="21"/>
                <w:color w:val="000000"/>
              </w:rPr>
              <w:t>参数要求：</w:t>
            </w:r>
          </w:p>
          <w:p>
            <w:pPr>
              <w:pStyle w:val="null3"/>
              <w:jc w:val="left"/>
            </w:pPr>
            <w:r>
              <w:rPr>
                <w:rFonts w:ascii="仿宋_GB2312" w:hAnsi="仿宋_GB2312" w:cs="仿宋_GB2312" w:eastAsia="仿宋_GB2312"/>
                <w:sz w:val="21"/>
                <w:color w:val="000000"/>
              </w:rPr>
              <w:t>1.控制模式：</w:t>
            </w:r>
            <w:r>
              <w:rPr>
                <w:rFonts w:ascii="仿宋_GB2312" w:hAnsi="仿宋_GB2312" w:cs="仿宋_GB2312" w:eastAsia="仿宋_GB2312"/>
                <w:sz w:val="21"/>
                <w:color w:val="000000"/>
              </w:rPr>
              <w:t>工业级</w:t>
            </w:r>
            <w:r>
              <w:rPr>
                <w:rFonts w:ascii="仿宋_GB2312" w:hAnsi="仿宋_GB2312" w:cs="仿宋_GB2312" w:eastAsia="仿宋_GB2312"/>
                <w:sz w:val="21"/>
                <w:color w:val="000000"/>
              </w:rPr>
              <w:t>PLC主控，集成全自动时序联锁控制</w:t>
            </w:r>
            <w:r>
              <w:rPr>
                <w:rFonts w:ascii="仿宋_GB2312" w:hAnsi="仿宋_GB2312" w:cs="仿宋_GB2312" w:eastAsia="仿宋_GB2312"/>
                <w:sz w:val="21"/>
                <w:color w:val="000000"/>
              </w:rPr>
              <w:t>，</w:t>
            </w:r>
            <w:r>
              <w:rPr>
                <w:rFonts w:ascii="仿宋_GB2312" w:hAnsi="仿宋_GB2312" w:cs="仿宋_GB2312" w:eastAsia="仿宋_GB2312"/>
                <w:sz w:val="21"/>
                <w:color w:val="000000"/>
              </w:rPr>
              <w:t>手动</w:t>
            </w:r>
            <w:r>
              <w:rPr>
                <w:rFonts w:ascii="仿宋_GB2312" w:hAnsi="仿宋_GB2312" w:cs="仿宋_GB2312" w:eastAsia="仿宋_GB2312"/>
                <w:sz w:val="21"/>
                <w:color w:val="000000"/>
              </w:rPr>
              <w:t>与</w:t>
            </w:r>
            <w:r>
              <w:rPr>
                <w:rFonts w:ascii="仿宋_GB2312" w:hAnsi="仿宋_GB2312" w:cs="仿宋_GB2312" w:eastAsia="仿宋_GB2312"/>
                <w:sz w:val="21"/>
                <w:color w:val="000000"/>
              </w:rPr>
              <w:t>自动双模式控制，两种模式平稳切换，切换过程不影响系统正常运行，满足不同工况下的操作需求；</w:t>
            </w:r>
          </w:p>
          <w:p>
            <w:pPr>
              <w:pStyle w:val="null3"/>
              <w:jc w:val="left"/>
            </w:pPr>
            <w:r>
              <w:rPr>
                <w:rFonts w:ascii="仿宋_GB2312" w:hAnsi="仿宋_GB2312" w:cs="仿宋_GB2312" w:eastAsia="仿宋_GB2312"/>
                <w:sz w:val="21"/>
                <w:color w:val="000000"/>
              </w:rPr>
              <w:t>2.控制范围：须对机械泵、分子泵、气动阀、电磁阀、气体质量流量控制器、真空计等全部执行部件与检测部件集中程序化控制，气体质量流量控制器</w:t>
            </w:r>
            <w:r>
              <w:rPr>
                <w:rFonts w:ascii="仿宋_GB2312" w:hAnsi="仿宋_GB2312" w:cs="仿宋_GB2312" w:eastAsia="仿宋_GB2312"/>
                <w:sz w:val="21"/>
                <w:color w:val="000000"/>
              </w:rPr>
              <w:t>控制精度±0.4%Rdg+0.2%F.S.</w:t>
            </w:r>
            <w:r>
              <w:rPr>
                <w:rFonts w:ascii="仿宋_GB2312" w:hAnsi="仿宋_GB2312" w:cs="仿宋_GB2312" w:eastAsia="仿宋_GB2312"/>
                <w:sz w:val="21"/>
                <w:color w:val="000000"/>
              </w:rPr>
              <w:t>，响应时间≤</w:t>
            </w:r>
            <w:r>
              <w:rPr>
                <w:rFonts w:ascii="仿宋_GB2312" w:hAnsi="仿宋_GB2312" w:cs="仿宋_GB2312" w:eastAsia="仿宋_GB2312"/>
                <w:sz w:val="21"/>
                <w:color w:val="000000"/>
              </w:rPr>
              <w:t>100ms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3.安全保护机制：手动模式与自动模式下</w:t>
            </w:r>
            <w:r>
              <w:rPr>
                <w:rFonts w:ascii="仿宋_GB2312" w:hAnsi="仿宋_GB2312" w:cs="仿宋_GB2312" w:eastAsia="仿宋_GB2312"/>
                <w:sz w:val="21"/>
                <w:color w:val="000000"/>
              </w:rPr>
              <w:t>均支持</w:t>
            </w:r>
            <w:r>
              <w:rPr>
                <w:rFonts w:ascii="仿宋_GB2312" w:hAnsi="仿宋_GB2312" w:cs="仿宋_GB2312" w:eastAsia="仿宋_GB2312"/>
                <w:sz w:val="21"/>
                <w:color w:val="000000"/>
              </w:rPr>
              <w:t>软件互锁+硬件互锁双重安全保护机制，当出现异常情况时，系统可自动报警、紧急停机，全面保障操作人员人身安全及设备完好</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4.操作界面：图形化可视化人机界面，实时监测整机运行参数，支持工艺编程、配方存储、数据记录及故障中文报警提示。</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color w:val="000000"/>
              </w:rPr>
              <w:t>五、</w:t>
            </w:r>
            <w:r>
              <w:rPr>
                <w:rFonts w:ascii="仿宋_GB2312" w:hAnsi="仿宋_GB2312" w:cs="仿宋_GB2312" w:eastAsia="仿宋_GB2312"/>
                <w:sz w:val="21"/>
                <w:color w:val="000000"/>
              </w:rPr>
              <w:t>辅助系统</w:t>
            </w:r>
            <w:r>
              <w:rPr>
                <w:rFonts w:ascii="仿宋_GB2312" w:hAnsi="仿宋_GB2312" w:cs="仿宋_GB2312" w:eastAsia="仿宋_GB2312"/>
                <w:sz w:val="21"/>
                <w:color w:val="000000"/>
              </w:rPr>
              <w:t>参数要求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静音空压</w:t>
            </w:r>
            <w:r>
              <w:rPr>
                <w:rFonts w:ascii="仿宋_GB2312" w:hAnsi="仿宋_GB2312" w:cs="仿宋_GB2312" w:eastAsia="仿宋_GB2312"/>
                <w:sz w:val="21"/>
                <w:color w:val="000000"/>
              </w:rPr>
              <w:t>机：</w:t>
            </w:r>
            <w:r>
              <w:rPr>
                <w:rFonts w:ascii="仿宋_GB2312" w:hAnsi="仿宋_GB2312" w:cs="仿宋_GB2312" w:eastAsia="仿宋_GB2312"/>
                <w:sz w:val="21"/>
                <w:color w:val="000000"/>
              </w:rPr>
              <w:t>输出压缩空气须完全</w:t>
            </w:r>
            <w:r>
              <w:rPr>
                <w:rFonts w:ascii="仿宋_GB2312" w:hAnsi="仿宋_GB2312" w:cs="仿宋_GB2312" w:eastAsia="仿宋_GB2312"/>
                <w:sz w:val="21"/>
                <w:color w:val="000000"/>
              </w:rPr>
              <w:t>干燥、干净、无水、无油</w:t>
            </w:r>
            <w:r>
              <w:rPr>
                <w:rFonts w:ascii="仿宋_GB2312" w:hAnsi="仿宋_GB2312" w:cs="仿宋_GB2312" w:eastAsia="仿宋_GB2312"/>
                <w:sz w:val="21"/>
                <w:color w:val="000000"/>
              </w:rPr>
              <w:t>；</w:t>
            </w:r>
            <w:r>
              <w:rPr>
                <w:rFonts w:ascii="仿宋_GB2312" w:hAnsi="仿宋_GB2312" w:cs="仿宋_GB2312" w:eastAsia="仿宋_GB2312"/>
                <w:sz w:val="21"/>
                <w:color w:val="000000"/>
              </w:rPr>
              <w:t>输出</w:t>
            </w:r>
            <w:r>
              <w:rPr>
                <w:rFonts w:ascii="仿宋_GB2312" w:hAnsi="仿宋_GB2312" w:cs="仿宋_GB2312" w:eastAsia="仿宋_GB2312"/>
                <w:sz w:val="21"/>
                <w:color w:val="000000"/>
              </w:rPr>
              <w:t>压力</w:t>
            </w:r>
            <w:r>
              <w:rPr>
                <w:rFonts w:ascii="仿宋_GB2312" w:hAnsi="仿宋_GB2312" w:cs="仿宋_GB2312" w:eastAsia="仿宋_GB2312"/>
                <w:sz w:val="21"/>
                <w:color w:val="000000"/>
              </w:rPr>
              <w:t>范围≥0.6～0.7MPa，系统稳定工作压力0.55～0.6MPa</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2.工业循环冷水机（恒温水箱）：控温范围≥5℃～35℃，控温精度≤±2℃、额定制冷量≥3kW，出水压力≥0.2MPa。</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接采购人书面通知后35个日历日完成供货。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接采购人书面通知后90个日历日完成供货。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进度款，设备安装调试完成，经采购人验收合格并签署《验收合格报告》后，供应商开具全额合法有效的增值税专用发票，达到付款条件起7个工作日内，支付合同总金额的30.0%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进度款，设备安装调试完成，经采购人验收合格并签署《验收合格报告》后，供应商开具全额合法有效的增值税专用发票，达到付款条件起7个工作日内，支付合同总金额的30.0%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约定。④最终验收签署《验收合格报告》，产品保修期自验收合格之日起算，由供应商提供产品保修文件。（4）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约定。④最终验收签署《验收合格报告》，产品保修期自验收合格之日起算，由供应商提供产品保修文件。（4）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1年（自验收合格出具验收报告之日起算）。质保期内出现任何非人为故意损坏的质量问题，由乙方包换或包退，并承担调换或退货的全部费用。①质量标准：供应商的产品质量应当符合国家行业规定的标准，并无任何瑕疵；供应商应按配置清单要求提供原装产品，除人为因素损坏外，对该产品实行三包（即包修、包退、包换），免费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免费质保，采购人报修后2小时内供应商必须响应，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免费为采购人修复瑕疵或更新换代，其间产生的费用均由供应商承担。质保期内每年提供1次清洁保养服务及多次使用指导、咨询服务。（2）安装调试要求：供应商应在合同生效后一个月内向采购人提出详细的要求或计划，对所有货物负责安装、调试，直至通过验收。提供成交货物齐全的资料（包括使用说明，安装手册，专用工具等）。供应商应保证在要求时间内完成全部货物的供货、安装、调试和培训工作，符合国家标准、行业规范和合同等相关文件的要求。（3）配套工程：包含安装设备所需工具（需提前2日做好准备）。（4）质量保证：质量追溯：提供原材料来源证明及质量检验报告；货物要求：以采购人的要求为准，为采购人提供全新的货物（包括零部件）。（5）售后服务：在质保期内，发生故障时8小时以内做出响应，如远程无法解决问题需要3天以内派遣人员到现场进行维修服务。（6）技术培训：根据采购人要求开展产品软硬件操作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要求：质保期1年（自验收合格出具验收报告之日起算）。质保期内出现任何非人为故意损坏的质量问题，由乙方包换或包退，并承担调换或退货的全部费用。①质量标准：供应商的产品质量应当符合国家行业规定的标准，并无任何瑕疵；供应商应按配置清单要求提供原装产品，除人为因素损坏外，对该产品实行三包（即包修、包退、包换），免费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免费质保，采购人报修后2小时内供应商必须响应，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免费为采购人修复瑕疵或更新换代，其间产生的费用均由供应商承担。质保期内每年提供1次清洁保养服务及多次使用指导、咨询服务。（2）安装调试要求：供应商应在合同生效后一个月内向采购人提出详细的要求或计划，对所有货物负责安装、调试，直至通过验收。提供成交货物齐全的资料（包括使用说明，安装手册，专用工具等）。供应商应保证在要求时间内完成全部货物的供货、安装、调试和培训工作，符合国家标准、行业规范和合同等相关文件的要求。（3）配套工程：包含安装设备所需工具（需提前2日做好准备）。（4）质量保证：质量追溯：提供原材料来源证明及质量检验报告；货物要求：以采购人的要求为准，为采购人提供全新的货物（包括零部件）。（5）售后服务：在质保期内，发生故障时8小时以内做出响应，如远程无法解决问题需要3天以内派遣人员到现场进行维修服务。（6）技术培训：根据采购人要求开展产品软硬件操作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于结果公告发布后3日内提交纸质投标文件肆份（正本壹份、副本叁份），纸质版投标文件需包含目录、无少页、缺页、连续页码（要求首封面为第1页，从第2页开始连续编辑页码），封面加盖投标人公章及骑缝章。纸质版文件内容应与电子版文件内容保持一致。递交地点：西安市雁塔区南二环东段凯森盛世1号B座2606室； （2）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 （3）本项目可兼投不兼中，供应商可参与多个包投标，但只能成为一个包的第一中标候选人；若已成为一个包的第一中标候选人，在后续包中再次排名得分第一则不能成为第一中标候选人，评标顺序按照包顺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2.投标人的投标报价高于采购预算（或最高限价）的，响应文件按无效处理。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保证金缴纳凭证</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2.投标人的投标报价高于采购预算（或最高限价）的，响应文件按无效处理。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完全符合、响应招标文件要求，没有负偏离的得32分；“▲”参数（共9项）负偏离一项扣2.5分，非“▲”参数（共19项）负偏离一项扣0.5分，扣完为止。 【备注：所有标注“▲”的参数均须提供佐证材料，佐证材料包括：国家认可的第三方检测机构出具的检测报告、技术白皮书、官网功能截图任意一种，经评审专家审定得分。未提供不得分。】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根据项目实际需求，提供完整详细的项目实施方案。内容包含①供货组织及进度安排②供货运输方案及安装调试方案。 二、评审标准 1、完整性：方案须全面，对评审内容中的各项要求有详细描述； 2、可实施性及针对性：切合本项目实际情况，实施步骤清晰、内容科学合理。 三、赋分依据（满分6分） ①供货组织及进度安排：每完全满足一个评审标准得1.5分，满分3分； ②供货运输方案及安装调试方案:每完全满足一个评审标准得1.5分，满分3分；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根据项目实际需求，提供完整详细的项目质量保证方案。内容包含①产品性能、使用寿命及效果②质量保证措施。 二、评审标准 1、完整性：方案须全面，对评审内容中的各项要求有详细描述； 2、可实施性及针对性：切合本项目实际情况，实施步骤清晰、内容科学合理。 三、赋分依据（满分4分） ①产品性能、使用寿命及效果：每完全满足一个评审标准得1分，满分2分； ②质量保证措施:每完全满足一个评审标准得1分，满分2分；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根据项目实际需求提供售后服务方案。内容包含①售后服务范围及响应时间及方式②故障处理、补救措施、定期回访及维护。 二、评审标准 1、完整性：方案须全面，对评审内容中的各项要求描述详细； 2、可实施性及针对性：切合本项目实际情况，实施步骤清晰、内容科学合理。 三、赋分依据（满分4分） ①售后服务范围及响应时间及方式：每完全满足一个评审标准得1分，满分2分； ②故障处理、补救措施、定期回访及维护:每完全满足一个评审标准得1分，满分2分；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关于产品的原理和技术性能、操作维护方法、安装调试、排除故障等各个方面的培训方案。方案内容包含①培训计划（含培训计划表、地点、时间及培训对象人数等）②培训内容（含所提供产品的原理和技术性能、操作维护方法、安装调试、排除故障等）。 二、评审标准 1、完整性：方案须全面，对评审内容中的各项要求描述详细； 2、可实施性及针对性：切合本项目实际情况，实施步骤清晰、内容科学合理。 三、赋分依据（满分2分） ①培训计划：每完全满足一个评审标准得0.5分，满分1分； ②培训内容:每完全满足一个评审标准得0.5分，满分1分。 缺项或未提供得0分。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根据项目实际需求提供增值服务承诺。内容包含①硬件、软件更新服务②配件更换服务及其他服务。 二、评审标准 1、完整性：方案须全面，对评审内容中的各项要求描述详细； 2、可实施性及针对性：切合本项目实际情况，实施步骤清晰、内容科学合理。 三、赋分依据（满分4分） ①硬件、软件更新服务：每完全满足一个评审标准得1分，满分2分； ②配件更换服务及其他服务:每完全满足一个评审标准得1分，满分2分。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2、有效最低报价为基准价得40分。 3、按（评标基准价/评审价格）×40的公式计算报价得分。 4、投标报价不完整的，不进入评标基准价的计算，本项得0分。 备注：本项目专门面向中小企业采购，不再进行政策性扣减。</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完全符合、响应招标文件要求，没有负偏离的得32分；“▲”参数（共9项）负偏离一项扣2分，非“▲”参数（共14项）负偏离一项扣1分，扣完为止。 【备注：所有标注“▲”的参数均须提供佐证材料，佐证材料包括：国家认可的第三方检测机构出具的检测报告、技术白皮书、官网功能截图任意一种，经评审专家审定得分。未提供不得分。】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根据项目实际需求，提供完整详细的项目实施方案。内容包含①供货组织及进度安排②供货运输方案及安装调试方案 二、评审标准 1、完整性：方案须全面，对评审内容中的各项要求有详细描述； 2、可实施性及针对性：切合本项目实际情况，实施步骤清晰、内容科学合理。 三、赋分依据（满分6分） ①供货组织及进度安排：每完全满足一个评审标准得1.5分，满分3分； ②供货运输方案及安装调试方案:每完全满足一个评审标准得1.5分，满分3分；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根据项目实际需求，提供完整详细的项目质量保证方案。内容包含①产品性能、使用寿命及效果②质量保证措施。 二、评审标准 1、完整性：方案须全面，对评审内容中的各项要求有详细描述； 2、可实施性及针对性：切合本项目实际情况，实施步骤清晰、内容科学合理。 三、赋分依据（满分4分） ①产品性能、使用寿命及效果：每完全满足一个评审标准得1分，满分2分； ②质量保证措施:每完全满足一个评审标准得1分，满分2分；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根据项目实际需求提供售后服务方案。内容包含①售后服务范围及响应时间及方式②故障处理、补救措施、定期回访及维护。 二、评审标准 1、完整性：方案须全面，对评审内容中的各项要求描述详细； 2、可实施性及针对性：切合本项目实际情况，实施步骤清晰、内容科学合理。 三、赋分依据（满分4分） ①售后服务范围及响应时间及方式：每完全满足一个评审标准得1分，满分2分； ②故障处理、补救措施、定期回访及维护:每完全满足一个评审标准得1分，满分2分；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关于产品的原理和技术性能、操作维护方法、安装调试、排除故障等各个方面的培训方案。方案内容包含①培训计划（含培训计划表、地点、时间及培训对象人数等）②培训内容（含所提供产品的原理和技术性能、操作维护方法、安装调试、排除故障等）。 二、评审标准 1、完整性：方案须全面，对评审内容中的各项要求描述详细； 2、可实施性及针对性：切合本项目实际情况，实施步骤清晰、内容科学合理。 三、赋分依据（满分2分） ①培训计划：每完全满足一个评审标准得0.5分，满分1分； ②培训内容:每完全满足一个评审标准得0.5分，满分1分。 缺项或未提供得0分。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根据项目实际需求提供增值服务承诺。内容包含①硬件、软件更新服务②配件更换服务及其他服务。 二、评审标准 1、完整性：方案须全面，对评审内容中的各项要求描述详细； 2、可实施性及针对性：切合本项目实际情况，实施步骤清晰、内容科学合理。 三、赋分依据（满分4分） ①硬件、软件更新服务：每完全满足一个评审标准得1分，满分2分； ②配件更换服务及其他服务:每完全满足一个评审标准得1分，满分2分。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2、有效最低报价为基准价得40分。 3、按（评标基准价/评审价格）×40的公式计算报价得分。 4、投标报价不完整的，不进入评标基准价的计算，本项得0分。 备注：本项目专门面向中小企业采购，不再进行政策性扣减。</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