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版本号：SXLZ-2026-13720260709001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雁塔区医疗保障局2026年医保基金综合监管服务项目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SXLZ-2026-137</w:t>
      </w:r>
      <w:r>
        <w:br/>
      </w:r>
      <w:r>
        <w:br/>
      </w:r>
      <w:r>
        <w:br/>
      </w:r>
    </w:p>
    <w:p>
      <w:pPr>
        <w:pStyle w:val="null3"/>
        <w:jc w:val="center"/>
        <w:outlineLvl w:val="2"/>
      </w:pPr>
      <w:r>
        <w:rPr>
          <w:rFonts w:ascii="仿宋_GB2312" w:hAnsi="仿宋_GB2312" w:cs="仿宋_GB2312" w:eastAsia="仿宋_GB2312"/>
          <w:sz w:val="28"/>
          <w:b/>
        </w:rPr>
        <w:t>西安市雁塔区医疗保障局</w:t>
      </w:r>
    </w:p>
    <w:p>
      <w:pPr>
        <w:pStyle w:val="null3"/>
        <w:jc w:val="center"/>
        <w:outlineLvl w:val="2"/>
      </w:pPr>
      <w:r>
        <w:rPr>
          <w:rFonts w:ascii="仿宋_GB2312" w:hAnsi="仿宋_GB2312" w:cs="仿宋_GB2312" w:eastAsia="仿宋_GB2312"/>
          <w:sz w:val="28"/>
          <w:b/>
        </w:rPr>
        <w:t>陕西龙泽项目咨询管理有限公司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陕西龙泽项目咨询管理有限公司</w:t>
      </w:r>
      <w:r>
        <w:rPr>
          <w:rFonts w:ascii="仿宋_GB2312" w:hAnsi="仿宋_GB2312" w:cs="仿宋_GB2312" w:eastAsia="仿宋_GB2312"/>
        </w:rPr>
        <w:t>（以下简称“代理机构”）受</w:t>
      </w:r>
      <w:r>
        <w:rPr>
          <w:rFonts w:ascii="仿宋_GB2312" w:hAnsi="仿宋_GB2312" w:cs="仿宋_GB2312" w:eastAsia="仿宋_GB2312"/>
        </w:rPr>
        <w:t>西安市雁塔区医疗保障局</w:t>
      </w:r>
      <w:r>
        <w:rPr>
          <w:rFonts w:ascii="仿宋_GB2312" w:hAnsi="仿宋_GB2312" w:cs="仿宋_GB2312" w:eastAsia="仿宋_GB2312"/>
        </w:rPr>
        <w:t>委托，拟对</w:t>
      </w:r>
      <w:r>
        <w:rPr>
          <w:rFonts w:ascii="仿宋_GB2312" w:hAnsi="仿宋_GB2312" w:cs="仿宋_GB2312" w:eastAsia="仿宋_GB2312"/>
        </w:rPr>
        <w:t>雁塔区医疗保障局2026年医保基金综合监管服务项目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SXLZ-2026-137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雁塔区医疗保障局2026年医保基金综合监管服务项目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按照采购 2026年度医保基⾦监管⼯作需求，拟引⼊第三⽅⼒量，全年开展医保基⾦专项检查相关⼯作，开展辖区定点医药机构医保基⾦数据筛查及定点医药机构现场稽核⼯作。加⼤医疗保障反欺诈⼯作⼒度，严厉查处违法违规使⽤医保基⾦⾏为，形成⾼压态势，达到宣传法规、强化管理、净化环境、震慑犯罪的⽬的。同时增强医患双⽅遵守医疗保障管理规定的⾃觉性，进⼀步完善医疗保障治理体系，实现源头防范，保障医保基⾦安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采购包1（雁塔区医疗保障局2026年医保基金综合监管服务项目）：属于专门面向中小企业采购。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1、营业执照或事业单位法人证书：具有独立承担民事责任能力的法人、其他组织或自然人，并出具合法有效的营业执照或事业单位法人证书等国家规定的相关证明，自然人参与的提供其身份证明书</w:t>
      </w:r>
    </w:p>
    <w:p>
      <w:pPr>
        <w:pStyle w:val="null3"/>
      </w:pPr>
      <w:r>
        <w:rPr>
          <w:rFonts w:ascii="仿宋_GB2312" w:hAnsi="仿宋_GB2312" w:cs="仿宋_GB2312" w:eastAsia="仿宋_GB2312"/>
        </w:rPr>
        <w:t>2、财务状况报告：提供经具有审计资质单位出具的2025年的财务审计报告（成立时间至提交磋商响应文件截止时间不足一年的可提供成立后任意时段的资产负债表），或其磋商前六个月内基本存款账户开户银行出具的资信证明。（以上两种形式的资料提供任何一种即可）</w:t>
      </w:r>
    </w:p>
    <w:p>
      <w:pPr>
        <w:pStyle w:val="null3"/>
      </w:pPr>
      <w:r>
        <w:rPr>
          <w:rFonts w:ascii="仿宋_GB2312" w:hAnsi="仿宋_GB2312" w:cs="仿宋_GB2312" w:eastAsia="仿宋_GB2312"/>
        </w:rPr>
        <w:t>3、税收缴纳证明：提供2026年1月至今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4、社会保障资金缴纳证明：提供2026年1月至今已缴纳的至少一个月的社会保障资金缴存单据或社保机构开具的社会保险参保缴费情况证明，依法不需要缴纳社会保障资金的单位应提供相关证明材料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5、设备和专业技术能力：具有履行合同所必需的设备和专业技术能力的书面声明</w:t>
      </w:r>
    </w:p>
    <w:p>
      <w:pPr>
        <w:pStyle w:val="null3"/>
      </w:pPr>
      <w:r>
        <w:rPr>
          <w:rFonts w:ascii="仿宋_GB2312" w:hAnsi="仿宋_GB2312" w:cs="仿宋_GB2312" w:eastAsia="仿宋_GB2312"/>
        </w:rPr>
        <w:t>6、没有重大违法记录的书面声明：参加政府采购活动前3年内在经营活动中没有重大违法记录的书面声明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证明书或法定代表人授权书：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p>
      <w:pPr>
        <w:pStyle w:val="null3"/>
      </w:pPr>
      <w:r>
        <w:rPr>
          <w:rFonts w:ascii="仿宋_GB2312" w:hAnsi="仿宋_GB2312" w:cs="仿宋_GB2312" w:eastAsia="仿宋_GB2312"/>
        </w:rPr>
        <w:t>8、控股管理关系：单位负责人为同一人或者存在直接控股、管理关系的不同供应商，不得参加同一合同项下的政府采购活动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9、非联合体投标：本项目不接受联合体投标，提供非联合体投标声明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西安市雁塔区医疗保障局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雁塔区电子二路32号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西安市雁塔区医疗保障局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13309202579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陕西龙泽项目咨询管理有限公司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陕西省西安市市本级陕西省西安市国家民用航天产业基地神舟五路与东长安街交汇处东南角航天城中心广场1号楼708</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郭佳星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17691099523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 xml:space="preserve">/ </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发的《招标代理服务收费管理暂行办法》(计价格(2002)1980号)、国家发改委办公厅颁发的《关于招标代理服务费收费有关问题的通知》及《调整后的招标代理服务收费标准》(发改价格(2011))534号)规定计取，代理服务费不足5000元按5000元计取。2.采购代理服务费由成交供应商支付，成交供应商领取成交通知书时，须一次性向采购代理机构交纳采购代理服务费3.采购代理服务费账户:公司名称:陕西龙泽项目咨询管理有限公司:账号:61050111583800000087;开户行:中国建设银行股份有限公司西安雁塔南路南段支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西安市雁塔区医疗保障局</w:t>
      </w:r>
      <w:r>
        <w:rPr>
          <w:rFonts w:ascii="仿宋_GB2312" w:hAnsi="仿宋_GB2312" w:cs="仿宋_GB2312" w:eastAsia="仿宋_GB2312"/>
        </w:rPr>
        <w:t>和</w:t>
      </w:r>
      <w:r>
        <w:rPr>
          <w:rFonts w:ascii="仿宋_GB2312" w:hAnsi="仿宋_GB2312" w:cs="仿宋_GB2312" w:eastAsia="仿宋_GB2312"/>
        </w:rPr>
        <w:t>陕西龙泽项目咨询管理有限公司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西安市雁塔区医疗保障局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陕西龙泽项目咨询管理有限公司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西安市雁塔区医疗保障局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陕西龙泽项目咨询管理有限公司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3.如采用供应商所不拥有的知识产权，则在报价中必须包括合法使用该知识产权的相关费用。4.构成本采购文件的各组成部分，未经采购人书面同意，供应商不得擅自复印或用于非本采购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陕西龙泽项目咨询管理有限公司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联系人：郭佳星</w:t>
      </w:r>
    </w:p>
    <w:p>
      <w:pPr>
        <w:pStyle w:val="null3"/>
      </w:pPr>
      <w:r>
        <w:rPr>
          <w:rFonts w:ascii="仿宋_GB2312" w:hAnsi="仿宋_GB2312" w:cs="仿宋_GB2312" w:eastAsia="仿宋_GB2312"/>
        </w:rPr>
        <w:t>联系电话：17691099523</w:t>
      </w:r>
    </w:p>
    <w:p>
      <w:pPr>
        <w:pStyle w:val="null3"/>
      </w:pPr>
      <w:r>
        <w:rPr>
          <w:rFonts w:ascii="仿宋_GB2312" w:hAnsi="仿宋_GB2312" w:cs="仿宋_GB2312" w:eastAsia="仿宋_GB2312"/>
        </w:rPr>
        <w:t>地址：陕西省西安市国家民用航天产业基地神舟五路与东长安街交汇处东南角航天城中心广场1号楼708</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按照采购 2026年度医保基金监管工作需求，拟引入第三方力量，全年开展医保基金专项检查相关工作，开展辖区定点医药机构医保基金数据筛查及定点医药机构现场稽核工作。加大医疗保障反欺诈工作力度，严厉查处违法违规使用医保基金行为，形成高压态势，达到宣传法规、强化管理、净化环境、震慑犯罪的目的。同时增强医患双方遵守医疗保障管理规定的自觉性，进一步完善医疗保障治理体系，实现源头防范，保障医保基金安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260,800.00</w:t>
      </w:r>
    </w:p>
    <w:p>
      <w:pPr>
        <w:pStyle w:val="null3"/>
      </w:pPr>
      <w:r>
        <w:rPr>
          <w:rFonts w:ascii="仿宋_GB2312" w:hAnsi="仿宋_GB2312" w:cs="仿宋_GB2312" w:eastAsia="仿宋_GB2312"/>
        </w:rPr>
        <w:t>采购包最高限价（元）: 260,800.00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雁塔区医疗保障局2026年医保基金综合监管服务项目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标的名称：雁塔区医疗保障局2026年医保基金综合监管服务项目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left="15"/>
              <w:jc w:val="left"/>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、项目概况</w:t>
            </w:r>
          </w:p>
          <w:p>
            <w:pPr>
              <w:pStyle w:val="null3"/>
              <w:spacing w:before="180"/>
              <w:ind w:firstLine="608"/>
              <w:jc w:val="both"/>
            </w:pPr>
            <w:r>
              <w:rPr>
                <w:rFonts w:ascii="仿宋_GB2312" w:hAnsi="仿宋_GB2312" w:cs="仿宋_GB2312" w:eastAsia="仿宋_GB2312"/>
                <w:sz w:val="24"/>
                <w:color w:val="000000"/>
              </w:rPr>
              <w:t>为加快推进医保基金监管制度体系改革，构建全领域、全流程的基金安全防控机制，</w:t>
            </w:r>
            <w:r>
              <w:rPr>
                <w:rFonts w:ascii="仿宋_GB2312" w:hAnsi="仿宋_GB2312" w:cs="仿宋_GB2312" w:eastAsia="仿宋_GB2312"/>
                <w:sz w:val="24"/>
                <w:color w:val="000000"/>
              </w:rPr>
              <w:t>严厉打击欺诈骗保行为，维护社会公平正义，更好的服务雁塔区人民。按照采购</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2026</w:t>
            </w:r>
            <w:r>
              <w:rPr>
                <w:rFonts w:ascii="仿宋_GB2312" w:hAnsi="仿宋_GB2312" w:cs="仿宋_GB2312" w:eastAsia="仿宋_GB2312"/>
                <w:sz w:val="24"/>
                <w:color w:val="000000"/>
              </w:rPr>
              <w:t>年</w:t>
            </w:r>
            <w:r>
              <w:rPr>
                <w:rFonts w:ascii="仿宋_GB2312" w:hAnsi="仿宋_GB2312" w:cs="仿宋_GB2312" w:eastAsia="仿宋_GB2312"/>
                <w:sz w:val="24"/>
                <w:color w:val="000000"/>
              </w:rPr>
              <w:t>度医保基金监管工作需求，拟引入第三方力量，全年开展医保基金专项检查相关工作</w:t>
            </w:r>
            <w:r>
              <w:rPr>
                <w:rFonts w:ascii="仿宋_GB2312" w:hAnsi="仿宋_GB2312" w:cs="仿宋_GB2312" w:eastAsia="仿宋_GB2312"/>
                <w:sz w:val="24"/>
                <w:color w:val="000000"/>
              </w:rPr>
              <w:t>，开</w:t>
            </w:r>
            <w:r>
              <w:rPr>
                <w:rFonts w:ascii="仿宋_GB2312" w:hAnsi="仿宋_GB2312" w:cs="仿宋_GB2312" w:eastAsia="仿宋_GB2312"/>
                <w:sz w:val="24"/>
                <w:color w:val="000000"/>
              </w:rPr>
              <w:t>展辖区定点医药机构医保基金数据筛查及定点医药机构现场稽核工作。加大医疗保障</w:t>
            </w:r>
            <w:r>
              <w:rPr>
                <w:rFonts w:ascii="仿宋_GB2312" w:hAnsi="仿宋_GB2312" w:cs="仿宋_GB2312" w:eastAsia="仿宋_GB2312"/>
                <w:sz w:val="24"/>
                <w:color w:val="000000"/>
              </w:rPr>
              <w:t>反欺</w:t>
            </w:r>
            <w:r>
              <w:rPr>
                <w:rFonts w:ascii="仿宋_GB2312" w:hAnsi="仿宋_GB2312" w:cs="仿宋_GB2312" w:eastAsia="仿宋_GB2312"/>
                <w:sz w:val="24"/>
                <w:color w:val="000000"/>
              </w:rPr>
              <w:t>诈工作力度，严厉查处违法违规使用医保基金行为，形成高压态势，达到宣传法规、</w:t>
            </w:r>
            <w:r>
              <w:rPr>
                <w:rFonts w:ascii="仿宋_GB2312" w:hAnsi="仿宋_GB2312" w:cs="仿宋_GB2312" w:eastAsia="仿宋_GB2312"/>
                <w:sz w:val="24"/>
                <w:color w:val="000000"/>
              </w:rPr>
              <w:t>强化</w:t>
            </w:r>
            <w:r>
              <w:rPr>
                <w:rFonts w:ascii="仿宋_GB2312" w:hAnsi="仿宋_GB2312" w:cs="仿宋_GB2312" w:eastAsia="仿宋_GB2312"/>
                <w:sz w:val="24"/>
                <w:color w:val="000000"/>
              </w:rPr>
              <w:t>管理、净化环境、震慑犯罪的目的。同时增强医患双方遵</w:t>
            </w:r>
            <w:r>
              <w:rPr>
                <w:rFonts w:ascii="仿宋_GB2312" w:hAnsi="仿宋_GB2312" w:cs="仿宋_GB2312" w:eastAsia="仿宋_GB2312"/>
                <w:sz w:val="24"/>
                <w:color w:val="000000"/>
              </w:rPr>
              <w:t>守医疗保障管理规定的自觉性，进一步完善医疗保障治理体系，实现源头防范，保障医保基金安全。</w:t>
            </w:r>
          </w:p>
          <w:p>
            <w:pPr>
              <w:pStyle w:val="null3"/>
              <w:jc w:val="left"/>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、服务内容</w:t>
            </w:r>
          </w:p>
          <w:p>
            <w:pPr>
              <w:pStyle w:val="null3"/>
              <w:spacing w:before="180"/>
              <w:ind w:left="480"/>
              <w:jc w:val="left"/>
            </w:pPr>
            <w:r>
              <w:rPr>
                <w:rFonts w:ascii="仿宋_GB2312" w:hAnsi="仿宋_GB2312" w:cs="仿宋_GB2312" w:eastAsia="仿宋_GB2312"/>
                <w:sz w:val="24"/>
                <w:color w:val="000000"/>
              </w:rPr>
              <w:t>（一）数据筛查服务</w:t>
            </w:r>
          </w:p>
          <w:p>
            <w:pPr>
              <w:pStyle w:val="null3"/>
              <w:spacing w:before="180"/>
              <w:ind w:right="60" w:firstLine="481"/>
              <w:jc w:val="both"/>
            </w:pPr>
            <w:r>
              <w:rPr>
                <w:rFonts w:ascii="仿宋_GB2312" w:hAnsi="仿宋_GB2312" w:cs="仿宋_GB2312" w:eastAsia="仿宋_GB2312"/>
                <w:sz w:val="24"/>
                <w:color w:val="000000"/>
              </w:rPr>
              <w:t>根据定点医药机构医保结算数据，利用专业临床知识库，对定点医疗</w:t>
            </w:r>
            <w:r>
              <w:rPr>
                <w:rFonts w:ascii="仿宋_GB2312" w:hAnsi="仿宋_GB2312" w:cs="仿宋_GB2312" w:eastAsia="仿宋_GB2312"/>
                <w:sz w:val="24"/>
                <w:color w:val="000000"/>
              </w:rPr>
              <w:t>机构进行数据分</w:t>
            </w:r>
            <w:r>
              <w:rPr>
                <w:rFonts w:ascii="仿宋_GB2312" w:hAnsi="仿宋_GB2312" w:cs="仿宋_GB2312" w:eastAsia="仿宋_GB2312"/>
                <w:sz w:val="24"/>
                <w:color w:val="000000"/>
              </w:rPr>
              <w:t>析，对违规行为进行数据筛查。遏制违规的医疗行为及不合理用药，防范基金欺诈风险，对基金管理提供科学、专业的分析预警，使医疗保险基金管理更加安全、科学，支付更趋</w:t>
            </w:r>
            <w:r>
              <w:rPr>
                <w:rFonts w:ascii="仿宋_GB2312" w:hAnsi="仿宋_GB2312" w:cs="仿宋_GB2312" w:eastAsia="仿宋_GB2312"/>
                <w:sz w:val="24"/>
                <w:color w:val="000000"/>
              </w:rPr>
              <w:t>公平、合理。</w:t>
            </w:r>
          </w:p>
          <w:p>
            <w:pPr>
              <w:pStyle w:val="null3"/>
              <w:ind w:left="480"/>
              <w:jc w:val="left"/>
            </w:pPr>
            <w:r>
              <w:rPr>
                <w:rFonts w:ascii="仿宋_GB2312" w:hAnsi="仿宋_GB2312" w:cs="仿宋_GB2312" w:eastAsia="仿宋_GB2312"/>
                <w:sz w:val="24"/>
                <w:color w:val="000000"/>
              </w:rPr>
              <w:t>（二）专项检查服务</w:t>
            </w:r>
          </w:p>
          <w:p>
            <w:pPr>
              <w:pStyle w:val="null3"/>
              <w:spacing w:before="180"/>
              <w:ind w:right="45" w:firstLine="483"/>
              <w:jc w:val="both"/>
            </w:pPr>
            <w:r>
              <w:rPr>
                <w:rFonts w:ascii="仿宋_GB2312" w:hAnsi="仿宋_GB2312" w:cs="仿宋_GB2312" w:eastAsia="仿宋_GB2312"/>
                <w:sz w:val="24"/>
                <w:color w:val="000000"/>
              </w:rPr>
              <w:t>配合采购人完成本区域医保基金专项检查工作，依靠监管系统</w:t>
            </w:r>
            <w:r>
              <w:rPr>
                <w:rFonts w:ascii="仿宋_GB2312" w:hAnsi="仿宋_GB2312" w:cs="仿宋_GB2312" w:eastAsia="仿宋_GB2312"/>
                <w:sz w:val="24"/>
                <w:color w:val="000000"/>
              </w:rPr>
              <w:t>、结合大数据分析和应</w:t>
            </w:r>
            <w:r>
              <w:rPr>
                <w:rFonts w:ascii="仿宋_GB2312" w:hAnsi="仿宋_GB2312" w:cs="仿宋_GB2312" w:eastAsia="仿宋_GB2312"/>
                <w:sz w:val="24"/>
                <w:color w:val="000000"/>
              </w:rPr>
              <w:t>用为手段、临床专业为保障的综合服务体系，进一步现场核查两定机构的医疗服务行</w:t>
            </w:r>
            <w:r>
              <w:rPr>
                <w:rFonts w:ascii="仿宋_GB2312" w:hAnsi="仿宋_GB2312" w:cs="仿宋_GB2312" w:eastAsia="仿宋_GB2312"/>
                <w:sz w:val="24"/>
                <w:color w:val="000000"/>
              </w:rPr>
              <w:t>为和</w:t>
            </w:r>
            <w:r>
              <w:rPr>
                <w:rFonts w:ascii="仿宋_GB2312" w:hAnsi="仿宋_GB2312" w:cs="仿宋_GB2312" w:eastAsia="仿宋_GB2312"/>
                <w:sz w:val="24"/>
                <w:color w:val="000000"/>
              </w:rPr>
              <w:t>参保人员就医购药行为，进行打击骗保监管工作，确保</w:t>
            </w:r>
            <w:r>
              <w:rPr>
                <w:rFonts w:ascii="仿宋_GB2312" w:hAnsi="仿宋_GB2312" w:cs="仿宋_GB2312" w:eastAsia="仿宋_GB2312"/>
                <w:sz w:val="24"/>
                <w:color w:val="000000"/>
              </w:rPr>
              <w:t>医保基金安全、合理、有效运行。</w:t>
            </w:r>
          </w:p>
          <w:p>
            <w:pPr>
              <w:pStyle w:val="null3"/>
              <w:ind w:left="480"/>
              <w:jc w:val="left"/>
            </w:pPr>
            <w:r>
              <w:rPr>
                <w:rFonts w:ascii="仿宋_GB2312" w:hAnsi="仿宋_GB2312" w:cs="仿宋_GB2312" w:eastAsia="仿宋_GB2312"/>
                <w:sz w:val="24"/>
                <w:color w:val="000000"/>
              </w:rPr>
              <w:t>（三）现场问题反馈及取证</w:t>
            </w:r>
          </w:p>
          <w:p>
            <w:pPr>
              <w:pStyle w:val="null3"/>
              <w:spacing w:before="45"/>
              <w:ind w:left="480"/>
              <w:jc w:val="left"/>
            </w:pPr>
            <w:r>
              <w:rPr>
                <w:rFonts w:ascii="仿宋_GB2312" w:hAnsi="仿宋_GB2312" w:cs="仿宋_GB2312" w:eastAsia="仿宋_GB2312"/>
                <w:sz w:val="24"/>
                <w:color w:val="000000"/>
              </w:rPr>
              <w:t>针对现场核查出的问题，对被检医疗机构进行现场问题反馈及取证工作。</w:t>
            </w:r>
          </w:p>
          <w:p>
            <w:pPr>
              <w:pStyle w:val="null3"/>
              <w:spacing w:before="180"/>
              <w:ind w:left="480"/>
              <w:jc w:val="left"/>
            </w:pPr>
            <w:r>
              <w:rPr>
                <w:rFonts w:ascii="仿宋_GB2312" w:hAnsi="仿宋_GB2312" w:cs="仿宋_GB2312" w:eastAsia="仿宋_GB2312"/>
                <w:sz w:val="24"/>
                <w:color w:val="000000"/>
              </w:rPr>
              <w:t>（四）出具核查报告</w:t>
            </w:r>
          </w:p>
          <w:p>
            <w:pPr>
              <w:pStyle w:val="null3"/>
              <w:spacing w:before="180"/>
              <w:ind w:left="480"/>
              <w:jc w:val="left"/>
            </w:pPr>
            <w:r>
              <w:rPr>
                <w:rFonts w:ascii="仿宋_GB2312" w:hAnsi="仿宋_GB2312" w:cs="仿宋_GB2312" w:eastAsia="仿宋_GB2312"/>
                <w:sz w:val="24"/>
                <w:color w:val="000000"/>
              </w:rPr>
              <w:t>现场检查结束后，根据问题反馈及取证结果，出具核查报告。</w:t>
            </w:r>
          </w:p>
          <w:p>
            <w:pPr>
              <w:pStyle w:val="null3"/>
              <w:spacing w:before="180"/>
              <w:ind w:left="480"/>
              <w:jc w:val="left"/>
            </w:pPr>
            <w:r>
              <w:rPr>
                <w:rFonts w:ascii="仿宋_GB2312" w:hAnsi="仿宋_GB2312" w:cs="仿宋_GB2312" w:eastAsia="仿宋_GB2312"/>
                <w:sz w:val="24"/>
                <w:color w:val="000000"/>
              </w:rPr>
              <w:t>（五）开展基金监管现场核查、培训</w:t>
            </w:r>
          </w:p>
          <w:p>
            <w:pPr>
              <w:pStyle w:val="null3"/>
              <w:spacing w:before="180"/>
              <w:ind w:firstLine="480"/>
              <w:jc w:val="both"/>
            </w:pPr>
            <w:r>
              <w:rPr>
                <w:rFonts w:ascii="仿宋_GB2312" w:hAnsi="仿宋_GB2312" w:cs="仿宋_GB2312" w:eastAsia="仿宋_GB2312"/>
                <w:sz w:val="24"/>
                <w:color w:val="000000"/>
              </w:rPr>
              <w:t>在合同服务期间，供应商选派具有医学、药学、临床、财务、</w:t>
            </w:r>
            <w:r>
              <w:rPr>
                <w:rFonts w:ascii="仿宋_GB2312" w:hAnsi="仿宋_GB2312" w:cs="仿宋_GB2312" w:eastAsia="仿宋_GB2312"/>
                <w:sz w:val="24"/>
                <w:color w:val="000000"/>
              </w:rPr>
              <w:t>检验和</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IT</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等专业技术</w:t>
            </w:r>
            <w:r>
              <w:rPr>
                <w:rFonts w:ascii="仿宋_GB2312" w:hAnsi="仿宋_GB2312" w:cs="仿宋_GB2312" w:eastAsia="仿宋_GB2312"/>
                <w:sz w:val="24"/>
                <w:color w:val="000000"/>
              </w:rPr>
              <w:t>人员组成检查组，对指定医疗服务机构进行现场检查，锁定医保基金使用违法违规行为，发现欺诈骗保行为规律，有针对性地加大医保基金管控。服务期内，进行医保规</w:t>
            </w:r>
            <w:r>
              <w:rPr>
                <w:rFonts w:ascii="仿宋_GB2312" w:hAnsi="仿宋_GB2312" w:cs="仿宋_GB2312" w:eastAsia="仿宋_GB2312"/>
                <w:sz w:val="24"/>
                <w:color w:val="000000"/>
              </w:rPr>
              <w:t>则线下培</w:t>
            </w:r>
            <w:r>
              <w:rPr>
                <w:rFonts w:ascii="仿宋_GB2312" w:hAnsi="仿宋_GB2312" w:cs="仿宋_GB2312" w:eastAsia="仿宋_GB2312"/>
                <w:sz w:val="24"/>
                <w:color w:val="000000"/>
              </w:rPr>
              <w:t>训一次。</w:t>
            </w:r>
          </w:p>
          <w:p>
            <w:pPr>
              <w:pStyle w:val="null3"/>
              <w:ind w:left="510"/>
              <w:jc w:val="left"/>
            </w:pP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、服务要求</w:t>
            </w:r>
          </w:p>
          <w:p>
            <w:pPr>
              <w:pStyle w:val="null3"/>
              <w:spacing w:before="180"/>
              <w:ind w:left="480"/>
              <w:jc w:val="left"/>
            </w:pPr>
            <w:r>
              <w:rPr>
                <w:rFonts w:ascii="仿宋_GB2312" w:hAnsi="仿宋_GB2312" w:cs="仿宋_GB2312" w:eastAsia="仿宋_GB2312"/>
                <w:sz w:val="24"/>
                <w:color w:val="000000"/>
              </w:rPr>
              <w:t>（一）人员要求</w:t>
            </w:r>
          </w:p>
          <w:p>
            <w:pPr>
              <w:pStyle w:val="null3"/>
              <w:spacing w:before="180"/>
              <w:ind w:firstLine="480"/>
              <w:jc w:val="both"/>
            </w:pPr>
            <w:r>
              <w:rPr>
                <w:rFonts w:ascii="仿宋_GB2312" w:hAnsi="仿宋_GB2312" w:cs="仿宋_GB2312" w:eastAsia="仿宋_GB2312"/>
                <w:sz w:val="24"/>
                <w:color w:val="000000"/>
              </w:rPr>
              <w:t>本项目服务过程中，要求配备专业的服务团队（包含计算机技术和大</w:t>
            </w:r>
            <w:r>
              <w:rPr>
                <w:rFonts w:ascii="仿宋_GB2312" w:hAnsi="仿宋_GB2312" w:cs="仿宋_GB2312" w:eastAsia="仿宋_GB2312"/>
                <w:sz w:val="24"/>
                <w:color w:val="000000"/>
              </w:rPr>
              <w:t>数据分析、医学</w:t>
            </w:r>
            <w:r>
              <w:rPr>
                <w:rFonts w:ascii="仿宋_GB2312" w:hAnsi="仿宋_GB2312" w:cs="仿宋_GB2312" w:eastAsia="仿宋_GB2312"/>
                <w:sz w:val="24"/>
                <w:color w:val="000000"/>
              </w:rPr>
              <w:t>和药学、会计和审计等各类专业人员</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服务团队有相</w:t>
            </w:r>
            <w:r>
              <w:rPr>
                <w:rFonts w:ascii="仿宋_GB2312" w:hAnsi="仿宋_GB2312" w:cs="仿宋_GB2312" w:eastAsia="仿宋_GB2312"/>
                <w:sz w:val="24"/>
                <w:color w:val="000000"/>
              </w:rPr>
              <w:t>关工作经验并服从采购人统一工作</w:t>
            </w:r>
            <w:r>
              <w:rPr>
                <w:rFonts w:ascii="仿宋_GB2312" w:hAnsi="仿宋_GB2312" w:cs="仿宋_GB2312" w:eastAsia="仿宋_GB2312"/>
                <w:sz w:val="24"/>
                <w:color w:val="000000"/>
              </w:rPr>
              <w:t>安排。</w:t>
            </w:r>
          </w:p>
          <w:p>
            <w:pPr>
              <w:pStyle w:val="null3"/>
              <w:ind w:left="480"/>
              <w:jc w:val="left"/>
            </w:pPr>
            <w:r>
              <w:rPr>
                <w:rFonts w:ascii="仿宋_GB2312" w:hAnsi="仿宋_GB2312" w:cs="仿宋_GB2312" w:eastAsia="仿宋_GB2312"/>
                <w:sz w:val="24"/>
                <w:color w:val="000000"/>
              </w:rPr>
              <w:t>（二）工作纪律要求</w:t>
            </w:r>
          </w:p>
          <w:p>
            <w:pPr>
              <w:pStyle w:val="null3"/>
              <w:spacing w:before="180"/>
              <w:ind w:left="495"/>
              <w:jc w:val="left"/>
            </w:pPr>
            <w:r>
              <w:rPr>
                <w:rFonts w:ascii="仿宋_GB2312" w:hAnsi="仿宋_GB2312" w:cs="仿宋_GB2312" w:eastAsia="仿宋_GB2312"/>
                <w:sz w:val="24"/>
                <w:color w:val="000000"/>
              </w:rPr>
              <w:t>1.供应商应遵守采购人关于现场检查的要求和检查标准实施现场检查；</w:t>
            </w:r>
          </w:p>
          <w:p>
            <w:pPr>
              <w:pStyle w:val="null3"/>
              <w:spacing w:before="180"/>
              <w:ind w:left="480"/>
              <w:jc w:val="left"/>
            </w:pPr>
            <w:r>
              <w:rPr>
                <w:rFonts w:ascii="仿宋_GB2312" w:hAnsi="仿宋_GB2312" w:cs="仿宋_GB2312" w:eastAsia="仿宋_GB2312"/>
                <w:sz w:val="24"/>
                <w:color w:val="000000"/>
              </w:rPr>
              <w:t>2.供应商应遵纪守法，廉洁公正，检查原则，文明礼</w:t>
            </w:r>
            <w:r>
              <w:rPr>
                <w:rFonts w:ascii="仿宋_GB2312" w:hAnsi="仿宋_GB2312" w:cs="仿宋_GB2312" w:eastAsia="仿宋_GB2312"/>
                <w:sz w:val="24"/>
                <w:color w:val="000000"/>
              </w:rPr>
              <w:t>貌，认真执行现场检查计划；</w:t>
            </w:r>
          </w:p>
          <w:p>
            <w:pPr>
              <w:pStyle w:val="null3"/>
              <w:spacing w:before="180"/>
              <w:ind w:left="480"/>
              <w:jc w:val="left"/>
            </w:pPr>
            <w:r>
              <w:rPr>
                <w:rFonts w:ascii="仿宋_GB2312" w:hAnsi="仿宋_GB2312" w:cs="仿宋_GB2312" w:eastAsia="仿宋_GB2312"/>
                <w:sz w:val="24"/>
                <w:color w:val="000000"/>
              </w:rPr>
              <w:t>3.供应商在检查前不得接受与被检查单位有关人员的单独会面；</w:t>
            </w:r>
          </w:p>
          <w:p>
            <w:pPr>
              <w:pStyle w:val="null3"/>
              <w:spacing w:before="180"/>
              <w:ind w:left="15" w:firstLine="462"/>
              <w:jc w:val="left"/>
            </w:pPr>
            <w:r>
              <w:rPr>
                <w:rFonts w:ascii="仿宋_GB2312" w:hAnsi="仿宋_GB2312" w:cs="仿宋_GB2312" w:eastAsia="仿宋_GB2312"/>
                <w:sz w:val="24"/>
                <w:color w:val="000000"/>
              </w:rPr>
              <w:t>4.供应商不得接受被检查单位或利益关系人的现金、有价证券，礼卡，礼品和土特产</w:t>
            </w:r>
            <w:r>
              <w:rPr>
                <w:rFonts w:ascii="仿宋_GB2312" w:hAnsi="仿宋_GB2312" w:cs="仿宋_GB2312" w:eastAsia="仿宋_GB2312"/>
                <w:sz w:val="24"/>
                <w:color w:val="000000"/>
              </w:rPr>
              <w:t>等馈赠。在检查期间不得参加被检查单位安排的吃请和娱乐活动；</w:t>
            </w:r>
          </w:p>
          <w:p>
            <w:pPr>
              <w:pStyle w:val="null3"/>
              <w:ind w:left="480"/>
              <w:jc w:val="left"/>
            </w:pPr>
            <w:r>
              <w:rPr>
                <w:rFonts w:ascii="仿宋_GB2312" w:hAnsi="仿宋_GB2312" w:cs="仿宋_GB2312" w:eastAsia="仿宋_GB2312"/>
                <w:sz w:val="24"/>
                <w:color w:val="000000"/>
              </w:rPr>
              <w:t>5.供应商不得以任何方式损害采购人的形象和利益。</w:t>
            </w:r>
          </w:p>
          <w:p>
            <w:pPr>
              <w:pStyle w:val="null3"/>
              <w:spacing w:before="180"/>
              <w:ind w:firstLine="484"/>
              <w:jc w:val="left"/>
            </w:pPr>
            <w:r>
              <w:rPr>
                <w:rFonts w:ascii="仿宋_GB2312" w:hAnsi="仿宋_GB2312" w:cs="仿宋_GB2312" w:eastAsia="仿宋_GB2312"/>
                <w:sz w:val="24"/>
                <w:color w:val="000000"/>
              </w:rPr>
              <w:t>一经发现供应商与被检查单位存在以上利益勾结等违法违规行</w:t>
            </w:r>
            <w:r>
              <w:rPr>
                <w:rFonts w:ascii="仿宋_GB2312" w:hAnsi="仿宋_GB2312" w:cs="仿宋_GB2312" w:eastAsia="仿宋_GB2312"/>
                <w:sz w:val="24"/>
                <w:color w:val="000000"/>
              </w:rPr>
              <w:t>为的，将依法依规追究</w:t>
            </w:r>
            <w:r>
              <w:rPr>
                <w:rFonts w:ascii="仿宋_GB2312" w:hAnsi="仿宋_GB2312" w:cs="仿宋_GB2312" w:eastAsia="仿宋_GB2312"/>
                <w:sz w:val="24"/>
                <w:color w:val="000000"/>
              </w:rPr>
              <w:t>双方责任。</w:t>
            </w:r>
          </w:p>
          <w:p>
            <w:pPr>
              <w:pStyle w:val="null3"/>
              <w:ind w:left="480"/>
              <w:jc w:val="left"/>
            </w:pPr>
            <w:r>
              <w:rPr>
                <w:rFonts w:ascii="仿宋_GB2312" w:hAnsi="仿宋_GB2312" w:cs="仿宋_GB2312" w:eastAsia="仿宋_GB2312"/>
                <w:sz w:val="24"/>
                <w:color w:val="000000"/>
              </w:rPr>
              <w:t>（三）保密要求</w:t>
            </w:r>
          </w:p>
          <w:p>
            <w:pPr>
              <w:pStyle w:val="null3"/>
            </w:pPr>
            <w:r>
              <w:rPr>
                <w:rFonts w:ascii="仿宋_GB2312" w:hAnsi="仿宋_GB2312" w:cs="仿宋_GB2312" w:eastAsia="仿宋_GB2312"/>
                <w:sz w:val="24"/>
                <w:color w:val="000000"/>
              </w:rPr>
              <w:t>供应商必须承诺对本项目所涉及的所有电子数据、文件材料以及由采</w:t>
            </w:r>
            <w:r>
              <w:rPr>
                <w:rFonts w:ascii="仿宋_GB2312" w:hAnsi="仿宋_GB2312" w:cs="仿宋_GB2312" w:eastAsia="仿宋_GB2312"/>
                <w:sz w:val="24"/>
                <w:color w:val="000000"/>
              </w:rPr>
              <w:t>购人提供的所有</w:t>
            </w:r>
            <w:r>
              <w:rPr>
                <w:rFonts w:ascii="仿宋_GB2312" w:hAnsi="仿宋_GB2312" w:cs="仿宋_GB2312" w:eastAsia="仿宋_GB2312"/>
                <w:sz w:val="24"/>
                <w:color w:val="000000"/>
              </w:rPr>
              <w:t>内部资料、文档、被检查单位商业秘密以及有关工作秘密和信息予以保密；未经采</w:t>
            </w:r>
            <w:r>
              <w:rPr>
                <w:rFonts w:ascii="仿宋_GB2312" w:hAnsi="仿宋_GB2312" w:cs="仿宋_GB2312" w:eastAsia="仿宋_GB2312"/>
                <w:sz w:val="24"/>
                <w:color w:val="000000"/>
              </w:rPr>
              <w:t>购人书</w:t>
            </w:r>
            <w:r>
              <w:rPr>
                <w:rFonts w:ascii="仿宋_GB2312" w:hAnsi="仿宋_GB2312" w:cs="仿宋_GB2312" w:eastAsia="仿宋_GB2312"/>
                <w:sz w:val="24"/>
                <w:color w:val="000000"/>
              </w:rPr>
              <w:t>面许可，不得以任何形式透露本项目的任何内容；供应商必须按照采购人的要求签</w:t>
            </w:r>
            <w:r>
              <w:rPr>
                <w:rFonts w:ascii="仿宋_GB2312" w:hAnsi="仿宋_GB2312" w:cs="仿宋_GB2312" w:eastAsia="仿宋_GB2312"/>
                <w:sz w:val="24"/>
                <w:color w:val="000000"/>
              </w:rPr>
              <w:t>订相关</w:t>
            </w:r>
            <w:r>
              <w:rPr>
                <w:rFonts w:ascii="仿宋_GB2312" w:hAnsi="仿宋_GB2312" w:cs="仿宋_GB2312" w:eastAsia="仿宋_GB2312"/>
                <w:sz w:val="24"/>
                <w:color w:val="000000"/>
              </w:rPr>
              <w:t>保密协议，接受采购人对数据保密工作的检查。</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35"/>
                <w:b/>
                <w:color w:val="000000"/>
              </w:rPr>
              <w:t>商务要求</w:t>
            </w:r>
          </w:p>
          <w:p>
            <w:pPr>
              <w:pStyle w:val="null3"/>
              <w:spacing w:before="75"/>
              <w:ind w:left="480"/>
              <w:jc w:val="left"/>
            </w:pPr>
            <w:r>
              <w:rPr>
                <w:rFonts w:ascii="仿宋_GB2312" w:hAnsi="仿宋_GB2312" w:cs="仿宋_GB2312" w:eastAsia="仿宋_GB2312"/>
                <w:sz w:val="24"/>
                <w:b/>
                <w:color w:val="000000"/>
              </w:rPr>
              <w:t>一、服务期限及地点</w:t>
            </w:r>
          </w:p>
          <w:p>
            <w:pPr>
              <w:pStyle w:val="null3"/>
              <w:spacing w:before="180"/>
              <w:ind w:left="600"/>
              <w:jc w:val="left"/>
            </w:pPr>
            <w:r>
              <w:rPr>
                <w:rFonts w:ascii="仿宋_GB2312" w:hAnsi="仿宋_GB2312" w:cs="仿宋_GB2312" w:eastAsia="仿宋_GB2312"/>
                <w:sz w:val="24"/>
                <w:color w:val="000000"/>
              </w:rPr>
              <w:t>☆</w:t>
            </w:r>
            <w:r>
              <w:rPr>
                <w:rFonts w:ascii="仿宋_GB2312" w:hAnsi="仿宋_GB2312" w:cs="仿宋_GB2312" w:eastAsia="仿宋_GB2312"/>
                <w:sz w:val="24"/>
                <w:b/>
                <w:color w:val="000000"/>
              </w:rPr>
              <w:t>服务期限：</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自合同签订生效之日起</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1"/>
                <w:color w:val="000000"/>
              </w:rPr>
              <w:t xml:space="preserve"> </w:t>
            </w:r>
            <w:r>
              <w:rPr>
                <w:rFonts w:ascii="仿宋_GB2312" w:hAnsi="仿宋_GB2312" w:cs="仿宋_GB2312" w:eastAsia="仿宋_GB2312"/>
                <w:sz w:val="24"/>
                <w:color w:val="000000"/>
              </w:rPr>
              <w:t>年</w:t>
            </w:r>
            <w:r>
              <w:rPr>
                <w:rFonts w:ascii="仿宋_GB2312" w:hAnsi="仿宋_GB2312" w:cs="仿宋_GB2312" w:eastAsia="仿宋_GB2312"/>
                <w:sz w:val="24"/>
                <w:b/>
                <w:color w:val="000000"/>
              </w:rPr>
              <w:t>。</w:t>
            </w:r>
          </w:p>
          <w:p>
            <w:pPr>
              <w:pStyle w:val="null3"/>
              <w:spacing w:before="150"/>
              <w:ind w:left="600"/>
              <w:jc w:val="left"/>
            </w:pPr>
            <w:r>
              <w:rPr>
                <w:rFonts w:ascii="仿宋_GB2312" w:hAnsi="仿宋_GB2312" w:cs="仿宋_GB2312" w:eastAsia="仿宋_GB2312"/>
                <w:sz w:val="24"/>
                <w:color w:val="000000"/>
              </w:rPr>
              <w:t>☆</w:t>
            </w:r>
            <w:r>
              <w:rPr>
                <w:rFonts w:ascii="仿宋_GB2312" w:hAnsi="仿宋_GB2312" w:cs="仿宋_GB2312" w:eastAsia="仿宋_GB2312"/>
                <w:sz w:val="24"/>
                <w:b/>
                <w:color w:val="000000"/>
              </w:rPr>
              <w:t>服务地点：</w:t>
            </w:r>
            <w:r>
              <w:rPr>
                <w:rFonts w:ascii="仿宋_GB2312" w:hAnsi="仿宋_GB2312" w:cs="仿宋_GB2312" w:eastAsia="仿宋_GB2312"/>
                <w:sz w:val="24"/>
                <w:color w:val="000000"/>
              </w:rPr>
              <w:t>采购人指定地点。</w:t>
            </w:r>
          </w:p>
          <w:p>
            <w:pPr>
              <w:pStyle w:val="null3"/>
              <w:spacing w:before="150"/>
              <w:ind w:left="480"/>
              <w:jc w:val="left"/>
            </w:pPr>
            <w:r>
              <w:rPr>
                <w:rFonts w:ascii="仿宋_GB2312" w:hAnsi="仿宋_GB2312" w:cs="仿宋_GB2312" w:eastAsia="仿宋_GB2312"/>
                <w:sz w:val="24"/>
                <w:b/>
                <w:color w:val="000000"/>
              </w:rPr>
              <w:t>二、价格：</w:t>
            </w:r>
          </w:p>
          <w:p>
            <w:pPr>
              <w:pStyle w:val="null3"/>
              <w:spacing w:before="180"/>
              <w:ind w:firstLine="476"/>
              <w:jc w:val="left"/>
            </w:pPr>
            <w:r>
              <w:rPr>
                <w:rFonts w:ascii="仿宋_GB2312" w:hAnsi="仿宋_GB2312" w:cs="仿宋_GB2312" w:eastAsia="仿宋_GB2312"/>
                <w:sz w:val="24"/>
                <w:b/>
                <w:color w:val="000000"/>
              </w:rPr>
              <w:t>☆服务费用及支付方式</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1"/>
                <w:color w:val="000000"/>
              </w:rPr>
              <w:t>1.本合同签订生效后30日内，支付基本服务费金额的50%款项。</w:t>
            </w:r>
          </w:p>
          <w:p>
            <w:pPr>
              <w:pStyle w:val="null3"/>
            </w:pPr>
            <w:r>
              <w:rPr>
                <w:rFonts w:ascii="仿宋_GB2312" w:hAnsi="仿宋_GB2312" w:cs="仿宋_GB2312" w:eastAsia="仿宋_GB2312"/>
                <w:sz w:val="21"/>
                <w:color w:val="000000"/>
              </w:rPr>
              <w:t>2.服务期结束完成且验收合格后30日内，支付基本服务费金额的剩余50%款项。</w:t>
            </w:r>
          </w:p>
          <w:p>
            <w:pPr>
              <w:pStyle w:val="null3"/>
              <w:spacing w:before="180"/>
              <w:ind w:firstLine="476"/>
              <w:jc w:val="left"/>
            </w:pPr>
            <w:r>
              <w:rPr>
                <w:rFonts w:ascii="仿宋_GB2312" w:hAnsi="仿宋_GB2312" w:cs="仿宋_GB2312" w:eastAsia="仿宋_GB2312"/>
                <w:sz w:val="24"/>
                <w:b/>
                <w:color w:val="000000"/>
              </w:rPr>
              <w:t>三、质量保证：</w:t>
            </w:r>
          </w:p>
          <w:p>
            <w:pPr>
              <w:pStyle w:val="null3"/>
              <w:spacing w:before="180"/>
              <w:ind w:firstLine="472"/>
              <w:jc w:val="left"/>
            </w:pPr>
            <w:r>
              <w:rPr>
                <w:rFonts w:ascii="仿宋_GB2312" w:hAnsi="仿宋_GB2312" w:cs="仿宋_GB2312" w:eastAsia="仿宋_GB2312"/>
                <w:sz w:val="24"/>
                <w:color w:val="000000"/>
              </w:rPr>
              <w:t>供应商提供的服务，应全面满足磋商文件的要求，磋商文件未明确要</w:t>
            </w:r>
            <w:r>
              <w:rPr>
                <w:rFonts w:ascii="仿宋_GB2312" w:hAnsi="仿宋_GB2312" w:cs="仿宋_GB2312" w:eastAsia="仿宋_GB2312"/>
                <w:sz w:val="24"/>
                <w:color w:val="000000"/>
              </w:rPr>
              <w:t>求的内容，供应</w:t>
            </w:r>
            <w:r>
              <w:rPr>
                <w:rFonts w:ascii="仿宋_GB2312" w:hAnsi="仿宋_GB2312" w:cs="仿宋_GB2312" w:eastAsia="仿宋_GB2312"/>
                <w:sz w:val="24"/>
                <w:color w:val="000000"/>
              </w:rPr>
              <w:t>商须按采购人的补充要求为准。</w:t>
            </w:r>
          </w:p>
          <w:p>
            <w:pPr>
              <w:pStyle w:val="null3"/>
              <w:ind w:left="510"/>
              <w:jc w:val="left"/>
            </w:pPr>
            <w:r>
              <w:rPr>
                <w:rFonts w:ascii="仿宋_GB2312" w:hAnsi="仿宋_GB2312" w:cs="仿宋_GB2312" w:eastAsia="仿宋_GB2312"/>
                <w:sz w:val="24"/>
                <w:b/>
                <w:color w:val="000000"/>
              </w:rPr>
              <w:t>四、其他</w:t>
            </w:r>
          </w:p>
          <w:p>
            <w:pPr>
              <w:pStyle w:val="null3"/>
              <w:spacing w:before="180"/>
              <w:ind w:left="480"/>
              <w:jc w:val="left"/>
            </w:pPr>
            <w:r>
              <w:rPr>
                <w:rFonts w:ascii="仿宋_GB2312" w:hAnsi="仿宋_GB2312" w:cs="仿宋_GB2312" w:eastAsia="仿宋_GB2312"/>
                <w:sz w:val="24"/>
                <w:b/>
                <w:color w:val="000000"/>
              </w:rPr>
              <w:t>（一）合同份数</w:t>
            </w:r>
          </w:p>
          <w:p>
            <w:pPr>
              <w:pStyle w:val="null3"/>
              <w:spacing w:before="180"/>
              <w:ind w:left="480"/>
              <w:jc w:val="left"/>
            </w:pPr>
            <w:r>
              <w:rPr>
                <w:rFonts w:ascii="仿宋_GB2312" w:hAnsi="仿宋_GB2312" w:cs="仿宋_GB2312" w:eastAsia="仿宋_GB2312"/>
                <w:sz w:val="24"/>
                <w:color w:val="000000"/>
              </w:rPr>
              <w:t>见正式合同。</w:t>
            </w:r>
          </w:p>
          <w:p>
            <w:pPr>
              <w:pStyle w:val="null3"/>
              <w:spacing w:before="180"/>
              <w:ind w:left="480"/>
              <w:jc w:val="left"/>
            </w:pPr>
            <w:r>
              <w:rPr>
                <w:rFonts w:ascii="仿宋_GB2312" w:hAnsi="仿宋_GB2312" w:cs="仿宋_GB2312" w:eastAsia="仿宋_GB2312"/>
                <w:sz w:val="24"/>
                <w:b/>
                <w:color w:val="000000"/>
              </w:rPr>
              <w:t>（二）补充条款</w:t>
            </w:r>
          </w:p>
          <w:p>
            <w:pPr>
              <w:pStyle w:val="null3"/>
              <w:spacing w:before="180"/>
              <w:ind w:left="480"/>
              <w:jc w:val="left"/>
            </w:pPr>
            <w:r>
              <w:rPr>
                <w:rFonts w:ascii="仿宋_GB2312" w:hAnsi="仿宋_GB2312" w:cs="仿宋_GB2312" w:eastAsia="仿宋_GB2312"/>
                <w:sz w:val="24"/>
                <w:color w:val="000000"/>
              </w:rPr>
              <w:t>具体内容以正式合同为准。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 1 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进度款，本合同签订生效后30日内，支付基本服务费金额的50%款项，达到付款条件起30个工作日内，支付合同总金额的50.0%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进度款，服务期结束且项目验收合格后30日内，支付基本服务费金额剩余50%款项，达到付款条件起30个工作日内，支付合同总金额的50.0%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中华人民共和国政府采购法实施条例》的相关条款和本合同约定，乙方未全面履行合同义务或者发生违约，甲方会同采购代理机构有权终止合同，依法向乙方进行经济索赔，并报请政府采购监督管理机关进行相应的行政处罚。甲方违约的，应当赔偿给乙方造成的经济损失。</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1.本项目采购活动执行下列政府采购政策： （1）《财政部 国家发展改革委关于印发〈节能产品政府采购实施意见〉的通知》（财库〔2004〕185号）； （2）《国务院办公厅关于建立政府强制采购节能产品制度的通知》（国办发〔2007〕51号）； （3）《财政部环保总局关于环境标志产品政府采购实施的意见》（财库〔2006〕90号）； （4）《财政部 司法部关于政府采购支持监狱企业发展有关问题的通知》（财库〔2014〕68号）； （5）《财政部、民政部、中国残疾人联合会关于促进残疾人就业政府采购政策的通知》（财库〔2017〕141号）； （6）《财政部 发展改革委 生态环境部 市场监管总局关于调整优化节能产品、环境标志产品政府采购执行机制的通知》（财库〔2019〕9号）； （7）《关于运用政府采购政策支持乡村产业振兴的通知》（财库〔2021〕19号）； （8）《政府采购促进中小企业发展管理办法》（财库〔2020〕46号）； （9）《陕西省财政厅关于印发&lt;陕西省中小企业政府采购信用融资办法&gt;的通知》（陕财办采〔2018〕23 号； （10）陕西省财政厅《关于进一步加强政府绿色采购有关问题的通知》（陕财办采〔2021〕29号）； （11）《关于进一步加大政府采购支持中小企业力度的通知》（财库〔2022〕19号； （12）《关于扩大政府采购支持绿色建材促进建筑品质提升政策实施范围的通知》财库〔2022〕35号； （13）其他需执行的政府采购政策； 2.本项目所属行业为其他未列明行业；3.本项目专门面向中小企业。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具有审计资质单位出具的2025年的财务审计报告（成立时间至提交磋商响应文件截止时间不足一年的可提供成立后任意时段的资产负债表），或其磋商前六个月内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2026年1月至今已缴纳的至少一个月的依法缴纳税收的相关凭据（时间以税款所属日期为准、税种须包含增值税或企业所得税），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提供2026年1月至今已缴纳的至少一个月的社会保障资金缴存单据或社保机构开具的社会保险参保缴费情况证明，依法不需要缴纳社会保障资金的单位应提供相关证明材料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设备和专业技术能力</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单位负责人）直接参加投标的，须出具法定代表人（单位负责人）证明书（附法人身份证复印件）；法定代表人（单位负责人）授权代表参加投标的，还须出具法定代表人（单位负责人）授权书（附法人及授权代表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应符合竞争性磋商响应文件要求。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报价唯一，磋商报价符合唯一性要求、响应报价表填写符合要求、报价货币符合磋商文件要求、报价数量与要求符合并未出现漏项、未超出采购预算和磋商文件规定的各分项最高限价； 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磋商响应文件内容符合磋商文件要求； 磋商响应文件中项目名称、项目编号与本项目一致；磋商响应文件至少包括：（1）响应函、（2）响应报价表、（3）供应商资格证明、（4）采购需求偏离表。</w:t>
            </w:r>
          </w:p>
        </w:tc>
        <w:tc>
          <w:tcPr>
            <w:tcW w:type="dxa" w:w="1661"/>
          </w:tcPr>
          <w:p>
            <w:pPr>
              <w:pStyle w:val="null3"/>
            </w:pPr>
            <w:r>
              <w:rPr>
                <w:rFonts w:ascii="仿宋_GB2312" w:hAnsi="仿宋_GB2312" w:cs="仿宋_GB2312" w:eastAsia="仿宋_GB2312"/>
              </w:rPr>
              <w:t>响应文件封面 采购需求偏离表.docx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对磋商文件条款响应</w:t>
            </w:r>
          </w:p>
        </w:tc>
        <w:tc>
          <w:tcPr>
            <w:tcW w:type="dxa" w:w="3322"/>
          </w:tcPr>
          <w:p>
            <w:pPr>
              <w:pStyle w:val="null3"/>
            </w:pPr>
            <w:r>
              <w:rPr>
                <w:rFonts w:ascii="仿宋_GB2312" w:hAnsi="仿宋_GB2312" w:cs="仿宋_GB2312" w:eastAsia="仿宋_GB2312"/>
              </w:rPr>
              <w:t>要求实质性条款全部响应，不能有采购人不能 接受的附加条件，未有负偏离且响应的内容未 含有采购人不能接受的附加条件。</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本项目需求，提供详细、清晰、科学、合理的监管服务方案。包含但不限于①医保基监管服务方案，②医保基金监管方法体系，③医保基金监管实施方案。以上内容专⻔针对本项⽬且符合本项⽬实际需求的得12分，每缺⼀项内容扣4分，若上述内容存在瑕疵，每存在1处瑕疵扣1分，扣完为⽌。 【注：“瑕疵”是指：标准规范等描述错误的内容；存在套⽤其他 项⽬⽅案不适⽤本项⽬实际情况的情形；存在项⽬名称、实施地点与本项⽬不⼀致；内容明显错误情形；内容不符合相关国家或⾏业规范要求、内容不完整或缺少关键节点、前后内容互相⽭盾的情形；存在不可能实现的夸⼤情形；内容简略或简单复制本项⽬采购需求、表述不清不符合采购需求的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针对本项目需求，提供详细、完善的实施方案；包含但不限于①项目组织管理；②实施过程；③进度计划；④保障措施；⑤保密管理；以上内容专⻔针对本项⽬且符合本项⽬实际需求的得 15分，每缺⼀项内容扣3分，若上述内容存在瑕疵，每存在1处瑕疵扣1分，扣完为⽌。 【注：“瑕疵”是指：标准规范等描述错误的内容；存在套⽤其他 项⽬⽅案不适⽤本项⽬实际情况的情形；存在项⽬名称、实施地点与本项⽬不⼀致；内容明显错误情形；内容不符合相关国家或⾏业规范要求、内容不完整或缺少关键节点、前后内容互相⽭盾的情形；存在不可能实现的夸⼤情形；内容简略或简单复制本项⽬采购需求、表述不清不符合采购需求的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项目质量管理方案</w:t>
            </w:r>
          </w:p>
        </w:tc>
        <w:tc>
          <w:tcPr>
            <w:tcW w:type="dxa" w:w="2492"/>
          </w:tcPr>
          <w:p>
            <w:pPr>
              <w:pStyle w:val="null3"/>
            </w:pPr>
            <w:r>
              <w:rPr>
                <w:rFonts w:ascii="仿宋_GB2312" w:hAnsi="仿宋_GB2312" w:cs="仿宋_GB2312" w:eastAsia="仿宋_GB2312"/>
              </w:rPr>
              <w:t>针对本项目需求，提供详细的项目质量管理方案，包括但不限于①项目质量管理的措施，②质量指标的承诺，③目标情况等内容；以上内容专⻔针对本项⽬且符合本项⽬实际需求的得6分，每缺⼀项内容扣2分，若上述内容存在瑕疵，每存在1处瑕疵扣1分，扣完为⽌。 【注：“瑕疵”是指：标准规范等描述错误的内容；存在套⽤其他 项⽬⽅案不适⽤本项⽬实际情况的情形；存在项⽬名称、实施地点与本项⽬不⼀致；内容明显错误情形；内容不符合相关国家或⾏业规范要求、内容不完整或缺少关键节点、前后内容互相⽭盾的情形；存在不可能实现的夸⼤情形；内容简略或简单复制本项⽬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针对本项目需求，提供详细的项目应急措施方案，包括但不限于①对突发事件的应急预案；②现场处理方案等。以上内容专⻔针对本项⽬且符合本项⽬实际需求的得6分，每缺⼀项内容扣3分，若上述内容存在瑕疵，每存在1处瑕疵扣1分，扣完为⽌。 【注：“瑕疵”是指：标准规范等描述错误的内容；存在套⽤其他 项⽬⽅案不适⽤本项⽬实际情况的情形；存在项⽬名称、实施地点与本项⽬不⼀致；内容明显错误情形；内容不符合相关国家或⾏业规范要求、内容不完整或缺少关键节点、前后内容互相⽭盾的情形；存在不可能实现的夸⼤情形；内容简略或简单复制本项⽬采购需求、表述不清不符合采购需求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供应商实际投入项目组人员需包含计算机技术和大数据分析、医学和药学、会计和审计等各类专业人员并提供相关证明材料。 1. 项目负责人具有高级信息系统项目管理师或 PMP 资质证书（提供一份业绩证明）， 同时要求具备医学相关资质得3分，未提供不得分。 2. 项目团队中具有计算机技术、大数据分析等专业本科及以上学历人员，每提供一份证书得 2 分，满分6分。 3. 项目团队中具有医学、药学等专业本科及以上学历人员，每提供一份证书得 2 分，满分 10 分； 4. 项目团队中具有会计、审计等专业本科及以上学历人员，每提供一份证书得 2 分，满分6 分。 注：上述均须提供相关人员证书的复印件并加盖公章， （以上证书每人只能计算一个证书，不重复计分）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自主知识产权</w:t>
            </w:r>
          </w:p>
        </w:tc>
        <w:tc>
          <w:tcPr>
            <w:tcW w:type="dxa" w:w="2492"/>
          </w:tcPr>
          <w:p>
            <w:pPr>
              <w:pStyle w:val="null3"/>
            </w:pPr>
            <w:r>
              <w:rPr>
                <w:rFonts w:ascii="仿宋_GB2312" w:hAnsi="仿宋_GB2312" w:cs="仿宋_GB2312" w:eastAsia="仿宋_GB2312"/>
              </w:rPr>
              <w:t>供应商具有医保基金大数据监管平台、数据采集系统、大数据管理平台、大数据稽核平台、医保基金监管全流程管理系统等与医保基金监管业务相关的软件产品著作权登记证书，每提供一个证书得2分，满分6分。 供应商需提供上述证明文件复印件并加盖公章。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 年 1 月至今完成的类似项目业绩，每提供一个得 3 分，满分 15 分。 注：业绩证明以合同为准，须在响应文件中附合同扫描件加盖单位公章， 同一业主不重复计分。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1.经资格审查、符合性审查合格的响应⽂件，其投标报价为有效投标报价，对符合政策性扣减的供应商的有效投标价格进⾏政策性扣减，并依据扣减后的价格（评审价格）进⾏价格评审。 2.满⾜磋商⽂件要求且投标报价最低的为评标基准价，其价格分为满分。价格分按照下列公式计算：报价得分=（评标基准价/有效报价）×价格权重×100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