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版本号：HZ-L2026014C20260710002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数据专线租赁采购项目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HZ-L2026014C</w:t>
      </w:r>
      <w:r>
        <w:br/>
      </w:r>
      <w:r>
        <w:br/>
      </w:r>
      <w:r>
        <w:br/>
      </w:r>
    </w:p>
    <w:p>
      <w:pPr>
        <w:pStyle w:val="null3"/>
        <w:jc w:val="center"/>
        <w:outlineLvl w:val="2"/>
      </w:pPr>
      <w:r>
        <w:rPr>
          <w:rFonts w:ascii="仿宋_GB2312" w:hAnsi="仿宋_GB2312" w:cs="仿宋_GB2312" w:eastAsia="仿宋_GB2312"/>
          <w:sz w:val="28"/>
          <w:b/>
        </w:rPr>
        <w:t>陕西省戒毒管理局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陕西省戒毒管理局</w:t>
      </w:r>
      <w:r>
        <w:rPr>
          <w:rFonts w:ascii="仿宋_GB2312" w:hAnsi="仿宋_GB2312" w:cs="仿宋_GB2312" w:eastAsia="仿宋_GB2312"/>
        </w:rPr>
        <w:t>委托，拟对</w:t>
      </w:r>
      <w:r>
        <w:rPr>
          <w:rFonts w:ascii="仿宋_GB2312" w:hAnsi="仿宋_GB2312" w:cs="仿宋_GB2312" w:eastAsia="仿宋_GB2312"/>
        </w:rPr>
        <w:t>数据专线租赁采购项目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HZ-L2026014C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数据专线租赁采购项目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陕西省戒毒管理局数据专线租赁采购项目。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陕西省戒毒管理局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029-87371214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收款账户如下： 账户名称:陕西汉正项目管理有限公司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陕西省戒毒管理局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陕西省戒毒管理局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陕西省戒毒管理局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地址：西安市雁塔区科技二路71号竹园·天寰国际1706室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陕西省戒毒管理局数据专线租赁采购项目，1项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全省司法行政戒毒系统的专网租赁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标的名称：全省司法行政戒毒系统的专网租赁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 xml:space="preserve">  省戒毒局与戒毒所之间的数据专线，保障司法部视频点名系统、视频监控上传系统、数据采集平台、视频会议、</w:t>
            </w:r>
            <w:r>
              <w:rPr>
                <w:rFonts w:ascii="仿宋_GB2312" w:hAnsi="仿宋_GB2312" w:cs="仿宋_GB2312" w:eastAsia="仿宋_GB2312"/>
                <w:sz w:val="28"/>
              </w:rPr>
              <w:t>OA系统等业务系统的正常运行。包括：（1）省戒毒局机关到引镇数据机房的数据专线（带宽1000M）；（2）省戒毒局机关互联网专线（带宽500M）；（3）引镇数据机房互联网专线（带宽100M）；（4）省戒毒局到各戒毒所司法专网（省戒毒局到虢镇所、渭南所、长安所、女所、汉中所、新周所、眉县所、榆林所、宝鸡所、延安所、康复所、西安市所带宽均为50M）。</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2、未按合同要求提供服务或质量不能满足合同要求，采购人有权依据《中华人民共和国民法典》有关条款及合同约定终止合同，并要求供应商承担违约责任。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1.成交供应商在采购结果发布后3个工作日内向代理机构提交纸质版响应文件以便于存档，响应文件正本1份，副本2份。纸质响应文件均须A4纸打印，分别各自装订成册并编制目录和页码。 2.线下递交响应文件地点：西安市雁塔区科技二路71号竹园·天寰国际1706室。 3.如采购文件中融资相关内容与新政策要求有出入，按照最新要求执行。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存款账户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 符合磋商文件签署盖章要求</w:t>
            </w:r>
          </w:p>
        </w:tc>
        <w:tc>
          <w:tcPr>
            <w:tcW w:type="dxa" w:w="1661"/>
          </w:tcPr>
          <w:p>
            <w:pPr>
              <w:pStyle w:val="null3"/>
            </w:pPr>
            <w:r>
              <w:rPr>
                <w:rFonts w:ascii="仿宋_GB2312" w:hAnsi="仿宋_GB2312" w:cs="仿宋_GB2312" w:eastAsia="仿宋_GB2312"/>
              </w:rPr>
              <w:t>技术方案.docx 售后服务方案.docx 业绩一览表.docx 项目理解与重难点分析.docx 中小企业声明函 商务要求应答表.docx 质量保障措施.docx 其他材料及供应商认为有必要说明、阐述的事项.docx 响应文件封面 应急处理预案.docx 残疾人福利性单位声明函 保密制度.docx 标的清单 资格证明材料.docx 服务内容及服务要求应答表.docx 其他服务承诺及合理化建议.docx 响应函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技术方案.docx 售后服务方案.docx 业绩一览表.docx 项目理解与重难点分析.docx 中小企业声明函 商务要求应答表.docx 质量保障措施.docx 其他材料及供应商认为有必要说明、阐述的事项.docx 响应文件封面 应急处理预案.docx 残疾人福利性单位声明函 保密制度.docx 标的清单 资格证明材料.docx 服务内容及服务要求应答表.docx 其他服务承诺及合理化建议.docx 响应函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针对本项目实际情况提供项目理解及重难点分析，其中包含：①服务目标、②服务内容、③重点、难点及解决办法。 以上内容完整、不存在瑕疵，得6分；每缺失1项要点扣2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项目理解与重难点分析.docx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针对本项目实际情况提供服务方案，其中包含：①实施方案、②业务连续性、③团队人员配置、④安全保障措施、⑤一站式服务。 以上内容完整、不存在瑕疵，得15分；每缺失1项要点扣3分；要点齐全但存在瑕疵的，每处瑕疵扣1分，扣完为止。（本项所指瑕疵，包含以下情形：内容存在逻辑错误、信息有误、内容不完善、表述前后矛盾、生搬套用非本项目方案、内容与采购需求不匹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结合项目特点，目标明确，对质量保障措施响应程度赋分。 ①质量保障措施完善合理，能保证项目运行，得6分； ②质量保障措施较完善，能基本保证项目运行得4分； ③质量保障措施一般较为简单，能得2分； ④未提供或内容与本项目无关不得分。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供应商具有相关保密制度等，承诺不得泄漏采购单位一切敏感信息等。 ①承诺明确清晰，符合采购人规定，具有完善的安全保障以及保密制度，得6分； ②承诺明确清晰，符合采购人规定，安全保障以及保密制度较完善，得4分； ③有相关承诺但内容较为简单，得2分； ④ 未提供或内容与本项目无关不得分。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保密制度.docx</w:t>
            </w:r>
          </w:p>
        </w:tc>
      </w:tr>
      <w:tr>
        <w:tc>
          <w:tcPr>
            <w:tcW w:type="dxa" w:w="831"/>
            <w:vMerge/>
          </w:tcPr>
          <w:p/>
        </w:tc>
        <w:tc>
          <w:tcPr>
            <w:tcW w:type="dxa" w:w="1661"/>
          </w:tcPr>
          <w:p>
            <w:pPr>
              <w:pStyle w:val="null3"/>
            </w:pPr>
            <w:r>
              <w:rPr>
                <w:rFonts w:ascii="仿宋_GB2312" w:hAnsi="仿宋_GB2312" w:cs="仿宋_GB2312" w:eastAsia="仿宋_GB2312"/>
              </w:rPr>
              <w:t>其他服务承诺及合理化建议</w:t>
            </w:r>
          </w:p>
        </w:tc>
        <w:tc>
          <w:tcPr>
            <w:tcW w:type="dxa" w:w="2492"/>
          </w:tcPr>
          <w:p>
            <w:pPr>
              <w:pStyle w:val="null3"/>
            </w:pPr>
            <w:r>
              <w:rPr>
                <w:rFonts w:ascii="仿宋_GB2312" w:hAnsi="仿宋_GB2312" w:cs="仿宋_GB2312" w:eastAsia="仿宋_GB2312"/>
              </w:rPr>
              <w:t>根据供应商可为采购人提供的其他相关服务内容、服务承诺及合理化建议赋分。 1.提供的其他相关服务内容、服务承诺及合理化建议内容具体、详实完整，紧密贴合本项目实际需求，与项目匹配度极高，具备极强的落地可行性，能够有效保障、优化项目实施效果，得6分； 2.提供的其他相关服务内容、服务承诺及合理化建议内容较为详细，整体贴合项目需求，对项目顺利开展具备一定实际指导意义和应用价值，但内容完整性、细节完善度或适配性存在少量瑕疵，得4分； 3.提供的其他相关服务内容、服务承诺及合理化建议内容较为常规、笼统，针对性和专业性一般，与项目匹配度普通，得2分； 4.未提供或内容与本项目无关不得分。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其他服务承诺及合理化建议.docx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针对本项目实际情况提供技术方案，其中包含：①传输线路网络管理、②子网和传输系统管理、③通道管理、④电路管理、⑤运维管理、⑥线路切割。 以上内容齐全得18分，每缺一项扣3分；扣完为止。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针对本项目实际情况提供应急处理预案，其中包含：①突发情况处理办法、②预防性管理维护方案、③重大活动、④节假日应急保障。 以上内容齐全得12分，每缺一项扣3分；扣完为止。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应急处理预案.docx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针对本项目实际情况提供售后服务方案，其中包含：①故障响应时间及应对措施、②售后服务流程、③售后服务承诺、④完整的客服体系服务运维管理系统、⑤服务满意度调查及改进措施。 以上内容齐全得15分；每缺一项扣3分；扣完为止。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供应商提供自2023年6月1日起至今（以合同签订时间为准）承担过的类似项目业绩。每提供1个有效业绩得2分，最高得6分。 注：须提供合同关键页、合同签署页，清晰体现项目名称、服务内容、合同签订时间，材料缺失、信息不全、无法判定的，不计分。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详见附件：项目理解与重难点分析.docx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详见附件：保密制度.docx</w:t>
      </w:r>
    </w:p>
    <w:p>
      <w:pPr>
        <w:pStyle w:val="null3"/>
        <w:ind w:firstLine="960"/>
      </w:pPr>
      <w:r>
        <w:rPr>
          <w:rFonts w:ascii="仿宋_GB2312" w:hAnsi="仿宋_GB2312" w:cs="仿宋_GB2312" w:eastAsia="仿宋_GB2312"/>
        </w:rPr>
        <w:t>详见附件：其他服务承诺及合理化建议.docx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