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A3DA2">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0"/>
        <w:jc w:val="center"/>
        <w:textAlignment w:val="auto"/>
        <w:outlineLvl w:val="0"/>
        <w:rPr>
          <w:rFonts w:hint="eastAsia" w:ascii="仿宋" w:eastAsia="仿宋" w:cs="仿宋"/>
          <w:b/>
          <w:kern w:val="2"/>
          <w:sz w:val="44"/>
          <w:szCs w:val="44"/>
          <w:highlight w:val="none"/>
          <w:lang w:val="en-US" w:eastAsia="zh-CN"/>
        </w:rPr>
      </w:pPr>
      <w:r>
        <w:rPr>
          <w:rFonts w:hint="eastAsia" w:ascii="仿宋" w:eastAsia="仿宋" w:cs="仿宋"/>
          <w:b/>
          <w:kern w:val="2"/>
          <w:sz w:val="44"/>
          <w:szCs w:val="44"/>
          <w:highlight w:val="none"/>
          <w:lang w:val="en-US" w:eastAsia="zh-CN"/>
        </w:rPr>
        <w:t xml:space="preserve"> </w:t>
      </w:r>
      <w:bookmarkStart w:id="0" w:name="_Toc24676"/>
      <w:r>
        <w:rPr>
          <w:rFonts w:hint="eastAsia" w:ascii="仿宋" w:eastAsia="仿宋" w:cs="仿宋"/>
          <w:b/>
          <w:kern w:val="2"/>
          <w:sz w:val="44"/>
          <w:szCs w:val="44"/>
          <w:highlight w:val="none"/>
          <w:lang w:val="en-US" w:eastAsia="zh-CN"/>
        </w:rPr>
        <w:t>拟签订的合同文本</w:t>
      </w:r>
      <w:bookmarkEnd w:id="0"/>
    </w:p>
    <w:p w14:paraId="4257DE58">
      <w:pPr>
        <w:pStyle w:val="10"/>
        <w:keepNext w:val="0"/>
        <w:keepLines w:val="0"/>
        <w:pageBreakBefore w:val="0"/>
        <w:numPr>
          <w:ilvl w:val="0"/>
          <w:numId w:val="0"/>
        </w:numPr>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 注：本合同作为合同的基本格式，采购人有权在签订合同时对合同的相关条款及内容作进一步的细化和修改，但不得改变采购文件及响应文件、成交通知书规定的实质性内容）</w:t>
      </w:r>
    </w:p>
    <w:p w14:paraId="2AFE34CD">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采购人（以下称“甲方”）：</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                                        </w:t>
      </w:r>
    </w:p>
    <w:p w14:paraId="648ED930">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F0A0A69">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 xml:space="preserve">                                                     </w:t>
      </w:r>
    </w:p>
    <w:p w14:paraId="3331BADB">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供应商（以下称“乙方”）：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rPr>
        <w:t xml:space="preserve">  </w:t>
      </w:r>
      <w:r>
        <w:rPr>
          <w:rFonts w:hint="eastAsia" w:ascii="仿宋" w:hAnsi="仿宋" w:eastAsia="仿宋" w:cs="仿宋"/>
          <w:color w:val="auto"/>
          <w:sz w:val="28"/>
          <w:szCs w:val="28"/>
          <w:highlight w:val="none"/>
        </w:rPr>
        <w:t xml:space="preserve">                                       </w:t>
      </w:r>
    </w:p>
    <w:p w14:paraId="02AF6095">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6DE8E86D">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3924D3BA">
      <w:pPr>
        <w:pStyle w:val="10"/>
        <w:keepNext w:val="0"/>
        <w:keepLines w:val="0"/>
        <w:pageBreakBefore w:val="0"/>
        <w:kinsoku/>
        <w:overflowPunct/>
        <w:topLinePunct w:val="0"/>
        <w:bidi w:val="0"/>
        <w:adjustRightInd/>
        <w:snapToGrid/>
        <w:spacing w:line="360" w:lineRule="auto"/>
        <w:ind w:firstLine="546" w:firstLineChars="19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根据《中华人民共和国政府采购法》及实施条例</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《中华人民共和国民法典》和甲方采购项目</w:t>
      </w:r>
      <w:r>
        <w:rPr>
          <w:rFonts w:hint="eastAsia" w:ascii="仿宋" w:hAnsi="仿宋" w:eastAsia="仿宋" w:cs="仿宋"/>
          <w:color w:val="auto"/>
          <w:sz w:val="28"/>
          <w:szCs w:val="28"/>
          <w:highlight w:val="none"/>
          <w:u w:val="single"/>
        </w:rPr>
        <w:t>（项目编号：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w:t>
      </w:r>
      <w:r>
        <w:rPr>
          <w:rFonts w:hint="eastAsia" w:ascii="仿宋" w:hAnsi="仿宋" w:eastAsia="仿宋" w:cs="仿宋"/>
          <w:color w:val="auto"/>
          <w:sz w:val="28"/>
          <w:szCs w:val="28"/>
          <w:highlight w:val="none"/>
          <w:lang w:val="en-US" w:eastAsia="zh-CN"/>
        </w:rPr>
        <w:t>乙方递交的响应</w:t>
      </w:r>
      <w:r>
        <w:rPr>
          <w:rFonts w:hint="eastAsia" w:ascii="仿宋" w:hAnsi="仿宋" w:eastAsia="仿宋" w:cs="仿宋"/>
          <w:color w:val="auto"/>
          <w:sz w:val="28"/>
          <w:szCs w:val="28"/>
          <w:highlight w:val="none"/>
        </w:rPr>
        <w:t>文件等有关规定，为确保甲方采购项目的顺利实施，甲、乙双方在平等自愿原则下签订本合同，并共同遵守如下条款：</w:t>
      </w:r>
    </w:p>
    <w:p w14:paraId="6ECD5BA5">
      <w:pPr>
        <w:keepNext w:val="0"/>
        <w:keepLines w:val="0"/>
        <w:pageBreakBefore w:val="0"/>
        <w:numPr>
          <w:ilvl w:val="0"/>
          <w:numId w:val="1"/>
        </w:numPr>
        <w:tabs>
          <w:tab w:val="left" w:pos="1379"/>
        </w:tabs>
        <w:kinsoku/>
        <w:overflowPunct/>
        <w:topLinePunct w:val="0"/>
        <w:bidi w:val="0"/>
        <w:adjustRightInd/>
        <w:snapToGrid/>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1" w:name="_Toc6440"/>
      <w:bookmarkStart w:id="2" w:name="_Toc18746"/>
      <w:bookmarkStart w:id="3" w:name="_Toc23230"/>
      <w:bookmarkStart w:id="4" w:name="_Toc8233"/>
      <w:r>
        <w:rPr>
          <w:rFonts w:hint="eastAsia" w:ascii="仿宋" w:hAnsi="仿宋" w:eastAsia="仿宋" w:cs="仿宋"/>
          <w:b/>
          <w:bCs w:val="0"/>
          <w:color w:val="auto"/>
          <w:sz w:val="28"/>
          <w:szCs w:val="28"/>
          <w:highlight w:val="none"/>
          <w:lang w:val="en-US" w:eastAsia="zh-CN"/>
        </w:rPr>
        <w:t>合同采购内容</w:t>
      </w:r>
      <w:bookmarkEnd w:id="1"/>
      <w:bookmarkEnd w:id="2"/>
      <w:bookmarkEnd w:id="3"/>
      <w:bookmarkEnd w:id="4"/>
    </w:p>
    <w:p w14:paraId="457C582A">
      <w:pPr>
        <w:keepNext w:val="0"/>
        <w:keepLines w:val="0"/>
        <w:pageBreakBefore w:val="0"/>
        <w:tabs>
          <w:tab w:val="left" w:pos="1379"/>
        </w:tabs>
        <w:kinsoku/>
        <w:overflowPunct/>
        <w:topLinePunct w:val="0"/>
        <w:bidi w:val="0"/>
        <w:adjustRightInd/>
        <w:snapToGrid/>
        <w:spacing w:line="360" w:lineRule="auto"/>
        <w:ind w:firstLine="560" w:firstLineChars="200"/>
        <w:outlineLvl w:val="1"/>
        <w:rPr>
          <w:rFonts w:hint="default" w:ascii="仿宋" w:hAnsi="仿宋" w:eastAsia="仿宋" w:cs="仿宋"/>
          <w:b/>
          <w:bCs w:val="0"/>
          <w:color w:val="auto"/>
          <w:sz w:val="28"/>
          <w:szCs w:val="28"/>
          <w:highlight w:val="none"/>
          <w:lang w:val="en-US" w:eastAsia="zh-CN"/>
        </w:rPr>
      </w:pPr>
      <w:bookmarkStart w:id="5" w:name="_Toc4621"/>
      <w:bookmarkStart w:id="6" w:name="_Toc22213"/>
      <w:bookmarkStart w:id="7" w:name="_Toc24758"/>
      <w:bookmarkStart w:id="8" w:name="_Toc17097"/>
      <w:r>
        <w:rPr>
          <w:rFonts w:hint="eastAsia" w:ascii="仿宋" w:hAnsi="仿宋" w:eastAsia="仿宋" w:cs="仿宋"/>
          <w:color w:val="auto"/>
          <w:kern w:val="1"/>
          <w:sz w:val="28"/>
          <w:szCs w:val="28"/>
          <w:highlight w:val="none"/>
          <w:lang w:val="en-US" w:eastAsia="zh-CN" w:bidi="ar-SA"/>
        </w:rPr>
        <w:t>详见采购文件内容</w:t>
      </w:r>
    </w:p>
    <w:p w14:paraId="1C1E34EE">
      <w:pPr>
        <w:keepNext w:val="0"/>
        <w:keepLines w:val="0"/>
        <w:pageBreakBefore w:val="0"/>
        <w:tabs>
          <w:tab w:val="left" w:pos="1379"/>
        </w:tabs>
        <w:kinsoku/>
        <w:overflowPunct/>
        <w:topLinePunct w:val="0"/>
        <w:bidi w:val="0"/>
        <w:adjustRightInd/>
        <w:snapToGrid/>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二</w:t>
      </w:r>
      <w:r>
        <w:rPr>
          <w:rFonts w:hint="eastAsia" w:ascii="仿宋" w:hAnsi="仿宋" w:eastAsia="仿宋" w:cs="仿宋"/>
          <w:b/>
          <w:bCs w:val="0"/>
          <w:color w:val="auto"/>
          <w:sz w:val="28"/>
          <w:szCs w:val="28"/>
          <w:highlight w:val="none"/>
        </w:rPr>
        <w:t>条</w:t>
      </w:r>
      <w:r>
        <w:rPr>
          <w:rFonts w:hint="eastAsia" w:ascii="仿宋" w:hAnsi="仿宋" w:eastAsia="仿宋" w:cs="仿宋"/>
          <w:b/>
          <w:bCs w:val="0"/>
          <w:color w:val="auto"/>
          <w:sz w:val="28"/>
          <w:szCs w:val="28"/>
          <w:highlight w:val="none"/>
          <w:lang w:val="en-US" w:eastAsia="zh-CN"/>
        </w:rPr>
        <w:t xml:space="preserve"> 合同价款</w:t>
      </w:r>
      <w:bookmarkEnd w:id="5"/>
      <w:bookmarkEnd w:id="6"/>
      <w:bookmarkEnd w:id="7"/>
      <w:bookmarkEnd w:id="8"/>
    </w:p>
    <w:p w14:paraId="09185683">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合同总价款</w:t>
      </w:r>
      <w:r>
        <w:rPr>
          <w:rFonts w:hint="eastAsia" w:ascii="仿宋" w:hAnsi="仿宋" w:eastAsia="仿宋" w:cs="仿宋"/>
          <w:color w:val="auto"/>
          <w:sz w:val="28"/>
          <w:szCs w:val="28"/>
          <w:highlight w:val="none"/>
        </w:rPr>
        <w:t>为人民币</w:t>
      </w:r>
      <w:r>
        <w:rPr>
          <w:rFonts w:hint="eastAsia" w:ascii="仿宋" w:hAnsi="仿宋" w:eastAsia="仿宋" w:cs="仿宋"/>
          <w:color w:val="auto"/>
          <w:sz w:val="28"/>
          <w:szCs w:val="28"/>
          <w:highlight w:val="none"/>
          <w:u w:val="single"/>
        </w:rPr>
        <w:t>（大写）：</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07156D21">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2.本项目</w:t>
      </w:r>
      <w:r>
        <w:rPr>
          <w:rFonts w:hint="eastAsia" w:ascii="仿宋" w:hAnsi="仿宋" w:eastAsia="仿宋" w:cs="仿宋"/>
          <w:color w:val="auto"/>
          <w:sz w:val="28"/>
          <w:szCs w:val="28"/>
          <w:highlight w:val="none"/>
          <w:lang w:val="en-US" w:eastAsia="zh-CN"/>
        </w:rPr>
        <w:t>合同总价款</w:t>
      </w:r>
      <w:r>
        <w:rPr>
          <w:rFonts w:hint="eastAsia" w:ascii="仿宋" w:hAnsi="仿宋" w:eastAsia="仿宋" w:cs="仿宋"/>
          <w:color w:val="auto"/>
          <w:sz w:val="28"/>
          <w:szCs w:val="28"/>
          <w:highlight w:val="none"/>
        </w:rPr>
        <w:t>由以下组成：</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674E47AF">
      <w:pPr>
        <w:pStyle w:val="10"/>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3.甲方无须另向乙方支付本合同规定之外的其他任何费用</w:t>
      </w:r>
      <w:r>
        <w:rPr>
          <w:rFonts w:hint="eastAsia" w:ascii="仿宋" w:hAnsi="仿宋" w:eastAsia="仿宋" w:cs="仿宋"/>
          <w:color w:val="auto"/>
          <w:sz w:val="28"/>
          <w:szCs w:val="28"/>
          <w:highlight w:val="none"/>
          <w:lang w:eastAsia="zh-CN"/>
        </w:rPr>
        <w:t>。</w:t>
      </w:r>
    </w:p>
    <w:p w14:paraId="1C74B0F5">
      <w:pPr>
        <w:pStyle w:val="10"/>
        <w:keepNext w:val="0"/>
        <w:keepLines w:val="0"/>
        <w:pageBreakBefore w:val="0"/>
        <w:kinsoku/>
        <w:wordWrap/>
        <w:overflowPunct/>
        <w:topLinePunct w:val="0"/>
        <w:bidi w:val="0"/>
        <w:adjustRightInd/>
        <w:snapToGrid w:val="0"/>
        <w:spacing w:line="360" w:lineRule="auto"/>
        <w:ind w:firstLine="48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4.履约保证金：/</w:t>
      </w:r>
    </w:p>
    <w:p w14:paraId="28787DC1">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9" w:name="_Toc26962"/>
      <w:bookmarkStart w:id="10" w:name="_Toc23966"/>
      <w:bookmarkStart w:id="11" w:name="_Toc20621"/>
      <w:bookmarkStart w:id="12" w:name="_Toc4425"/>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 xml:space="preserve">条  </w:t>
      </w:r>
      <w:r>
        <w:rPr>
          <w:rFonts w:hint="eastAsia" w:ascii="仿宋" w:hAnsi="仿宋" w:eastAsia="仿宋" w:cs="仿宋"/>
          <w:b/>
          <w:bCs w:val="0"/>
          <w:color w:val="auto"/>
          <w:sz w:val="28"/>
          <w:szCs w:val="28"/>
          <w:highlight w:val="none"/>
          <w:lang w:val="en-US" w:eastAsia="zh-CN"/>
        </w:rPr>
        <w:t>付款方式、时间及条件</w:t>
      </w:r>
      <w:bookmarkEnd w:id="9"/>
      <w:bookmarkEnd w:id="10"/>
      <w:bookmarkEnd w:id="11"/>
      <w:bookmarkEnd w:id="12"/>
    </w:p>
    <w:p w14:paraId="1E53469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560" w:firstLineChars="200"/>
        <w:rPr>
          <w:rFonts w:hint="eastAsia" w:ascii="仿宋" w:hAnsi="仿宋" w:eastAsia="仿宋" w:cs="仿宋"/>
          <w:color w:val="auto"/>
          <w:kern w:val="1"/>
          <w:sz w:val="28"/>
          <w:szCs w:val="28"/>
          <w:highlight w:val="none"/>
          <w:lang w:val="en-US" w:eastAsia="zh-CN" w:bidi="ar-SA"/>
        </w:rPr>
      </w:pPr>
      <w:bookmarkStart w:id="13" w:name="_Toc16037"/>
      <w:bookmarkStart w:id="14" w:name="_Toc32672"/>
      <w:bookmarkStart w:id="15" w:name="_Toc15165"/>
      <w:r>
        <w:rPr>
          <w:rFonts w:hint="eastAsia" w:ascii="仿宋" w:hAnsi="仿宋" w:eastAsia="仿宋" w:cs="仿宋"/>
          <w:color w:val="auto"/>
          <w:kern w:val="1"/>
          <w:sz w:val="28"/>
          <w:szCs w:val="28"/>
          <w:highlight w:val="none"/>
          <w:lang w:val="en-US" w:eastAsia="zh-CN" w:bidi="ar-SA"/>
        </w:rPr>
        <w:t> 合同签订后，达到付款条件起 30个工作</w:t>
      </w:r>
      <w:bookmarkStart w:id="112" w:name="_GoBack"/>
      <w:bookmarkEnd w:id="112"/>
      <w:r>
        <w:rPr>
          <w:rFonts w:hint="eastAsia" w:ascii="仿宋" w:hAnsi="仿宋" w:eastAsia="仿宋" w:cs="仿宋"/>
          <w:color w:val="auto"/>
          <w:kern w:val="1"/>
          <w:sz w:val="28"/>
          <w:szCs w:val="28"/>
          <w:highlight w:val="none"/>
          <w:lang w:val="en-US" w:eastAsia="zh-CN" w:bidi="ar-SA"/>
        </w:rPr>
        <w:t>日内，支付合同总金额的 100.00%。</w:t>
      </w:r>
    </w:p>
    <w:p w14:paraId="7148142D">
      <w:pPr>
        <w:keepNext w:val="0"/>
        <w:keepLines w:val="0"/>
        <w:pageBreakBefore w:val="0"/>
        <w:widowControl w:val="0"/>
        <w:numPr>
          <w:ilvl w:val="0"/>
          <w:numId w:val="0"/>
        </w:numPr>
        <w:tabs>
          <w:tab w:val="left" w:pos="1379"/>
        </w:tabs>
        <w:kinsoku/>
        <w:wordWrap/>
        <w:overflowPunct/>
        <w:topLinePunct w:val="0"/>
        <w:bidi w:val="0"/>
        <w:adjustRightInd/>
        <w:snapToGrid w:val="0"/>
        <w:spacing w:line="360" w:lineRule="auto"/>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四</w:t>
      </w:r>
      <w:r>
        <w:rPr>
          <w:rFonts w:hint="eastAsia" w:ascii="仿宋" w:hAnsi="仿宋" w:eastAsia="仿宋" w:cs="仿宋"/>
          <w:b/>
          <w:bCs w:val="0"/>
          <w:color w:val="auto"/>
          <w:sz w:val="28"/>
          <w:szCs w:val="28"/>
          <w:highlight w:val="none"/>
        </w:rPr>
        <w:t xml:space="preserve">条 </w:t>
      </w:r>
      <w:r>
        <w:rPr>
          <w:rFonts w:hint="eastAsia" w:ascii="仿宋" w:hAnsi="仿宋" w:eastAsia="仿宋" w:cs="仿宋"/>
          <w:b/>
          <w:bCs w:val="0"/>
          <w:color w:val="auto"/>
          <w:sz w:val="28"/>
          <w:szCs w:val="28"/>
          <w:highlight w:val="none"/>
          <w:lang w:val="en-US" w:eastAsia="zh-CN"/>
        </w:rPr>
        <w:t>服务期、地点、方式</w:t>
      </w:r>
      <w:bookmarkEnd w:id="13"/>
      <w:bookmarkEnd w:id="14"/>
      <w:bookmarkEnd w:id="15"/>
    </w:p>
    <w:p w14:paraId="63B697E7">
      <w:pPr>
        <w:keepNext w:val="0"/>
        <w:keepLines w:val="0"/>
        <w:pageBreakBefore w:val="0"/>
        <w:widowControl w:val="0"/>
        <w:tabs>
          <w:tab w:val="left" w:pos="1379"/>
        </w:tabs>
        <w:kinsoku/>
        <w:wordWrap/>
        <w:overflowPunct/>
        <w:topLinePunct w:val="0"/>
        <w:bidi w:val="0"/>
        <w:adjustRightInd/>
        <w:snapToGrid w:val="0"/>
        <w:spacing w:line="360" w:lineRule="auto"/>
        <w:ind w:firstLine="560" w:firstLineChars="200"/>
        <w:textAlignment w:val="auto"/>
        <w:rPr>
          <w:rFonts w:hint="default" w:ascii="仿宋" w:hAnsi="仿宋" w:eastAsia="仿宋" w:cs="仿宋"/>
          <w:color w:val="auto"/>
          <w:sz w:val="28"/>
          <w:szCs w:val="28"/>
          <w:highlight w:val="none"/>
          <w:u w:val="single"/>
          <w:lang w:val="en-US" w:eastAsia="zh-CN"/>
        </w:rPr>
      </w:pPr>
      <w:bookmarkStart w:id="16" w:name="_Toc211854449"/>
      <w:bookmarkStart w:id="17" w:name="_Toc225244852"/>
      <w:bookmarkStart w:id="18" w:name="_Toc251768862"/>
      <w:bookmarkStart w:id="19" w:name="_Toc283019214"/>
      <w:bookmarkStart w:id="20" w:name="_Toc225670751"/>
      <w:bookmarkStart w:id="21" w:name="_Toc241833903"/>
      <w:bookmarkStart w:id="22" w:name="_Toc247334841"/>
      <w:bookmarkStart w:id="23" w:name="_Toc282696226"/>
      <w:bookmarkStart w:id="24" w:name="_Toc211911348"/>
      <w:bookmarkStart w:id="25" w:name="_Toc232492928"/>
      <w:bookmarkStart w:id="26" w:name="_Toc185395249"/>
      <w:bookmarkStart w:id="27" w:name="_Toc212019594"/>
      <w:bookmarkStart w:id="28" w:name="_Toc286993786"/>
      <w:bookmarkStart w:id="29" w:name="_Toc237145406"/>
      <w:bookmarkStart w:id="30" w:name="_Toc239568418"/>
      <w:bookmarkStart w:id="31" w:name="_Toc239233914"/>
      <w:bookmarkStart w:id="32" w:name="_Toc225654644"/>
      <w:bookmarkStart w:id="33" w:name="_Toc238984975"/>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.服务期</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p>
    <w:p w14:paraId="075B6F9E">
      <w:pPr>
        <w:pStyle w:val="11"/>
        <w:keepNext w:val="0"/>
        <w:keepLines w:val="0"/>
        <w:pageBreakBefore w:val="0"/>
        <w:widowControl w:val="0"/>
        <w:kinsoku/>
        <w:wordWrap/>
        <w:overflowPunct/>
        <w:topLinePunct w:val="0"/>
        <w:bidi w:val="0"/>
        <w:adjustRightInd/>
        <w:snapToGrid w:val="0"/>
        <w:spacing w:line="360" w:lineRule="auto"/>
        <w:textAlignment w:val="auto"/>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.交付</w:t>
      </w:r>
      <w:r>
        <w:rPr>
          <w:rFonts w:hint="eastAsia" w:ascii="仿宋" w:hAnsi="仿宋" w:eastAsia="仿宋" w:cs="仿宋"/>
          <w:color w:val="auto"/>
          <w:sz w:val="28"/>
          <w:szCs w:val="28"/>
          <w:highlight w:val="none"/>
        </w:rPr>
        <w:t>地点：</w:t>
      </w:r>
      <w:r>
        <w:rPr>
          <w:rFonts w:hint="eastAsia" w:cs="仿宋"/>
          <w:color w:val="auto"/>
          <w:sz w:val="28"/>
          <w:szCs w:val="28"/>
          <w:highlight w:val="none"/>
          <w:u w:val="single"/>
          <w:lang w:val="en-US" w:eastAsia="zh-CN"/>
        </w:rPr>
        <w:t xml:space="preserve">                         </w:t>
      </w:r>
    </w:p>
    <w:p w14:paraId="6105D35B">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val="en-US" w:eastAsia="zh-CN"/>
        </w:rPr>
        <w:t>3.交付条件：</w:t>
      </w:r>
      <w:r>
        <w:rPr>
          <w:rFonts w:hint="eastAsia" w:ascii="仿宋" w:hAnsi="仿宋" w:eastAsia="仿宋" w:cs="仿宋"/>
          <w:color w:val="auto"/>
          <w:sz w:val="28"/>
          <w:szCs w:val="28"/>
          <w:highlight w:val="none"/>
          <w:u w:val="single"/>
        </w:rPr>
        <w:t>本次所有服务工作完成</w:t>
      </w:r>
      <w:r>
        <w:rPr>
          <w:rFonts w:hint="eastAsia" w:ascii="仿宋" w:hAnsi="仿宋" w:eastAsia="仿宋" w:cs="仿宋"/>
          <w:color w:val="auto"/>
          <w:sz w:val="28"/>
          <w:szCs w:val="28"/>
          <w:highlight w:val="none"/>
          <w:u w:val="single"/>
          <w:lang w:val="en-US" w:eastAsia="zh-CN"/>
        </w:rPr>
        <w:t xml:space="preserve">     </w:t>
      </w:r>
    </w:p>
    <w:p w14:paraId="546933AA">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none"/>
          <w:lang w:val="en-US" w:eastAsia="zh-CN"/>
        </w:rPr>
        <w:t>甲方联系人：</w:t>
      </w:r>
      <w:r>
        <w:rPr>
          <w:rFonts w:hint="eastAsia" w:ascii="仿宋" w:hAnsi="仿宋" w:eastAsia="仿宋" w:cs="仿宋"/>
          <w:color w:val="auto"/>
          <w:sz w:val="28"/>
          <w:szCs w:val="28"/>
          <w:highlight w:val="none"/>
          <w:u w:val="single"/>
          <w:lang w:val="en-US" w:eastAsia="zh-CN"/>
        </w:rPr>
        <w:t xml:space="preserve">   （姓名，联系方式）</w:t>
      </w:r>
      <w:r>
        <w:rPr>
          <w:rFonts w:hint="eastAsia"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 xml:space="preserve"> </w:t>
      </w:r>
    </w:p>
    <w:p w14:paraId="50CEFCBD">
      <w:pPr>
        <w:pStyle w:val="11"/>
        <w:keepNext w:val="0"/>
        <w:keepLines w:val="0"/>
        <w:pageBreakBefore w:val="0"/>
        <w:widowControl w:val="0"/>
        <w:kinsoku/>
        <w:wordWrap/>
        <w:overflowPunct/>
        <w:topLinePunct w:val="0"/>
        <w:bidi w:val="0"/>
        <w:adjustRightInd/>
        <w:snapToGrid w:val="0"/>
        <w:spacing w:line="360" w:lineRule="auto"/>
        <w:textAlignment w:val="auto"/>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u w:val="none"/>
          <w:lang w:val="en-US" w:eastAsia="zh-CN"/>
        </w:rPr>
        <w:t>乙方联系人：</w:t>
      </w:r>
      <w:r>
        <w:rPr>
          <w:rFonts w:hint="eastAsia" w:ascii="仿宋" w:hAnsi="仿宋" w:eastAsia="仿宋" w:cs="仿宋"/>
          <w:color w:val="auto"/>
          <w:sz w:val="28"/>
          <w:szCs w:val="28"/>
          <w:highlight w:val="none"/>
          <w:u w:val="single"/>
          <w:lang w:val="en-US" w:eastAsia="zh-CN"/>
        </w:rPr>
        <w:t xml:space="preserve">   （姓名，联系方式）</w:t>
      </w:r>
      <w:r>
        <w:rPr>
          <w:rFonts w:hint="eastAsia"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 xml:space="preserve"> </w:t>
      </w:r>
    </w:p>
    <w:p w14:paraId="6C724668">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34" w:name="_Toc13316"/>
      <w:bookmarkStart w:id="35" w:name="_Toc28705"/>
      <w:bookmarkStart w:id="36" w:name="_Toc2585"/>
      <w:bookmarkStart w:id="37" w:name="_Toc19538"/>
      <w:r>
        <w:rPr>
          <w:rFonts w:hint="eastAsia" w:ascii="仿宋" w:hAnsi="仿宋" w:eastAsia="仿宋" w:cs="仿宋"/>
          <w:b/>
          <w:bCs w:val="0"/>
          <w:color w:val="auto"/>
          <w:sz w:val="28"/>
          <w:szCs w:val="28"/>
          <w:highlight w:val="none"/>
        </w:rPr>
        <w:t>第</w:t>
      </w:r>
      <w:r>
        <w:rPr>
          <w:rFonts w:hint="eastAsia" w:ascii="仿宋" w:hAnsi="仿宋" w:eastAsia="仿宋" w:cs="仿宋"/>
          <w:b/>
          <w:bCs w:val="0"/>
          <w:color w:val="auto"/>
          <w:sz w:val="28"/>
          <w:szCs w:val="28"/>
          <w:highlight w:val="none"/>
          <w:lang w:val="en-US" w:eastAsia="zh-CN"/>
        </w:rPr>
        <w:t>五</w:t>
      </w:r>
      <w:r>
        <w:rPr>
          <w:rFonts w:hint="eastAsia" w:ascii="仿宋" w:hAnsi="仿宋" w:eastAsia="仿宋" w:cs="仿宋"/>
          <w:b/>
          <w:bCs w:val="0"/>
          <w:color w:val="auto"/>
          <w:sz w:val="28"/>
          <w:szCs w:val="28"/>
          <w:highlight w:val="none"/>
        </w:rPr>
        <w:t>条</w:t>
      </w:r>
      <w:r>
        <w:rPr>
          <w:rFonts w:hint="eastAsia" w:ascii="仿宋" w:hAnsi="仿宋" w:eastAsia="仿宋" w:cs="仿宋"/>
          <w:b/>
          <w:bCs w:val="0"/>
          <w:color w:val="auto"/>
          <w:sz w:val="28"/>
          <w:szCs w:val="28"/>
          <w:highlight w:val="none"/>
          <w:lang w:val="en-US" w:eastAsia="zh-CN"/>
        </w:rPr>
        <w:t xml:space="preserve"> 质量保证及售后服务</w:t>
      </w:r>
      <w:bookmarkEnd w:id="34"/>
      <w:bookmarkEnd w:id="35"/>
      <w:bookmarkEnd w:id="36"/>
      <w:bookmarkEnd w:id="37"/>
    </w:p>
    <w:p w14:paraId="6DF0B982">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kern w:val="2"/>
          <w:sz w:val="28"/>
          <w:szCs w:val="28"/>
          <w:highlight w:val="none"/>
          <w:lang w:val="en-US" w:eastAsia="zh-CN"/>
        </w:rPr>
      </w:pPr>
      <w:r>
        <w:rPr>
          <w:rFonts w:hint="eastAsia" w:ascii="仿宋" w:hAnsi="仿宋" w:eastAsia="仿宋" w:cs="仿宋"/>
          <w:color w:val="auto"/>
          <w:sz w:val="28"/>
          <w:szCs w:val="28"/>
          <w:highlight w:val="none"/>
          <w:lang w:val="en-US" w:eastAsia="zh-CN"/>
        </w:rPr>
        <w:t>质量保证</w:t>
      </w:r>
      <w:r>
        <w:rPr>
          <w:rFonts w:hint="eastAsia" w:ascii="仿宋" w:hAnsi="仿宋" w:eastAsia="仿宋" w:cs="仿宋"/>
          <w:color w:val="auto"/>
          <w:sz w:val="28"/>
          <w:szCs w:val="28"/>
          <w:highlight w:val="none"/>
        </w:rPr>
        <w:t>：乙方应保证所提供的服务，符合</w:t>
      </w:r>
      <w:r>
        <w:rPr>
          <w:rFonts w:hint="eastAsia" w:ascii="仿宋" w:hAnsi="仿宋" w:eastAsia="仿宋" w:cs="仿宋"/>
          <w:color w:val="auto"/>
          <w:sz w:val="28"/>
          <w:szCs w:val="28"/>
          <w:highlight w:val="none"/>
          <w:lang w:val="en-US" w:eastAsia="zh-CN"/>
        </w:rPr>
        <w:t>甲方的</w:t>
      </w:r>
      <w:r>
        <w:rPr>
          <w:rFonts w:hint="eastAsia" w:ascii="仿宋" w:hAnsi="仿宋" w:eastAsia="仿宋" w:cs="仿宋"/>
          <w:color w:val="auto"/>
          <w:sz w:val="28"/>
          <w:szCs w:val="28"/>
          <w:highlight w:val="none"/>
        </w:rPr>
        <w:t>要求。如不符时，乙方应负全责并尽快处理解决，由此造成的损失和相关费用由乙方负责，甲方保留终止合同及索赔的权利。</w:t>
      </w:r>
      <w:r>
        <w:rPr>
          <w:rFonts w:hint="eastAsia" w:ascii="仿宋" w:hAnsi="仿宋" w:eastAsia="仿宋" w:cs="仿宋"/>
          <w:kern w:val="2"/>
          <w:sz w:val="28"/>
          <w:szCs w:val="28"/>
          <w:highlight w:val="none"/>
          <w:lang w:val="en-US" w:eastAsia="zh-CN"/>
        </w:rPr>
        <w:t>服务期间如因乙方过失或疏忽发生意外事故，导致甲乙双方或其他第三方人身伤亡或财产损失等，均由乙方承担全部责任。</w:t>
      </w:r>
    </w:p>
    <w:p w14:paraId="4AD1DA9B">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售后服务：</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w:t>
      </w:r>
    </w:p>
    <w:p w14:paraId="0F8F1386">
      <w:pPr>
        <w:pStyle w:val="10"/>
        <w:keepNext w:val="0"/>
        <w:keepLines w:val="0"/>
        <w:pageBreakBefore w:val="0"/>
        <w:numPr>
          <w:ilvl w:val="0"/>
          <w:numId w:val="2"/>
        </w:numPr>
        <w:kinsoku/>
        <w:wordWrap/>
        <w:overflowPunct/>
        <w:topLinePunct w:val="0"/>
        <w:autoSpaceDE/>
        <w:autoSpaceDN/>
        <w:bidi w:val="0"/>
        <w:adjustRightInd w:val="0"/>
        <w:snapToGrid w:val="0"/>
        <w:spacing w:line="360" w:lineRule="auto"/>
        <w:ind w:firstLine="562" w:firstLineChars="200"/>
        <w:textAlignment w:val="auto"/>
        <w:outlineLvl w:val="1"/>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rPr>
        <w:t xml:space="preserve"> </w:t>
      </w:r>
      <w:bookmarkStart w:id="38" w:name="_Toc2059"/>
      <w:bookmarkStart w:id="39" w:name="_Toc11338"/>
      <w:bookmarkStart w:id="40" w:name="_Toc4471"/>
      <w:bookmarkStart w:id="41" w:name="_Toc27776"/>
      <w:r>
        <w:rPr>
          <w:rFonts w:hint="eastAsia" w:ascii="仿宋" w:hAnsi="仿宋" w:eastAsia="仿宋" w:cs="仿宋"/>
          <w:b/>
          <w:bCs w:val="0"/>
          <w:color w:val="auto"/>
          <w:sz w:val="28"/>
          <w:szCs w:val="28"/>
          <w:highlight w:val="none"/>
          <w:lang w:val="en-US" w:eastAsia="zh-CN"/>
        </w:rPr>
        <w:t>验收</w:t>
      </w:r>
      <w:bookmarkEnd w:id="38"/>
      <w:bookmarkEnd w:id="39"/>
      <w:bookmarkEnd w:id="40"/>
      <w:bookmarkEnd w:id="41"/>
    </w:p>
    <w:p w14:paraId="0C4E6514">
      <w:pPr>
        <w:pStyle w:val="13"/>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bookmarkStart w:id="42" w:name="_Toc19571"/>
      <w:bookmarkStart w:id="43" w:name="_Toc1943"/>
      <w:bookmarkStart w:id="44" w:name="_Toc24822"/>
      <w:r>
        <w:rPr>
          <w:rFonts w:hint="eastAsia" w:ascii="仿宋" w:hAnsi="仿宋" w:eastAsia="仿宋" w:cs="仿宋"/>
          <w:color w:val="auto"/>
          <w:kern w:val="1"/>
          <w:sz w:val="28"/>
          <w:szCs w:val="28"/>
          <w:highlight w:val="none"/>
          <w:lang w:val="en-US" w:eastAsia="zh-CN" w:bidi="ar-SA"/>
        </w:rPr>
        <w:t>1.采购人根据采购文件和响应文件及相关文件，进行验收，确认是否达到采购要求。</w:t>
      </w:r>
    </w:p>
    <w:p w14:paraId="1B85BD9B">
      <w:pPr>
        <w:pStyle w:val="13"/>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r>
        <w:rPr>
          <w:rFonts w:hint="eastAsia" w:ascii="仿宋" w:hAnsi="仿宋" w:eastAsia="仿宋" w:cs="仿宋"/>
          <w:color w:val="auto"/>
          <w:kern w:val="1"/>
          <w:sz w:val="28"/>
          <w:szCs w:val="28"/>
          <w:highlight w:val="none"/>
          <w:lang w:val="en-US" w:eastAsia="zh-CN" w:bidi="ar-SA"/>
        </w:rPr>
        <w:t xml:space="preserve">2.供应商向采购人提供服务过程中的所有资料,以便采购人日后管理和维护。 </w:t>
      </w:r>
    </w:p>
    <w:p w14:paraId="71CABAF9">
      <w:pPr>
        <w:pStyle w:val="13"/>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color w:val="auto"/>
          <w:kern w:val="1"/>
          <w:sz w:val="28"/>
          <w:szCs w:val="28"/>
          <w:highlight w:val="none"/>
          <w:lang w:val="en-US" w:eastAsia="zh-CN" w:bidi="ar-SA"/>
        </w:rPr>
      </w:pPr>
      <w:r>
        <w:rPr>
          <w:rFonts w:hint="eastAsia" w:ascii="仿宋" w:hAnsi="仿宋" w:eastAsia="仿宋" w:cs="仿宋"/>
          <w:color w:val="auto"/>
          <w:kern w:val="1"/>
          <w:sz w:val="28"/>
          <w:szCs w:val="28"/>
          <w:highlight w:val="none"/>
          <w:lang w:val="en-US" w:eastAsia="zh-CN" w:bidi="ar-SA"/>
        </w:rPr>
        <w:t>3.验收依据 ①采购文件、响应文件、澄清表（函）； ②本合同及附件文本； ③国家相应的标准、规范。</w:t>
      </w:r>
    </w:p>
    <w:p w14:paraId="281F140D">
      <w:pPr>
        <w:pStyle w:val="10"/>
        <w:keepNext w:val="0"/>
        <w:keepLines w:val="0"/>
        <w:pageBreakBefore w:val="0"/>
        <w:numPr>
          <w:ilvl w:val="0"/>
          <w:numId w:val="2"/>
        </w:numPr>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lang w:val="en-US" w:eastAsia="zh-CN"/>
        </w:rPr>
        <w:t xml:space="preserve"> </w:t>
      </w:r>
      <w:bookmarkStart w:id="45" w:name="_Toc25250"/>
      <w:r>
        <w:rPr>
          <w:rFonts w:hint="eastAsia" w:ascii="仿宋" w:hAnsi="仿宋" w:eastAsia="仿宋" w:cs="仿宋"/>
          <w:b/>
          <w:bCs w:val="0"/>
          <w:color w:val="auto"/>
          <w:sz w:val="28"/>
          <w:szCs w:val="28"/>
          <w:highlight w:val="none"/>
        </w:rPr>
        <w:t>无产权瑕疵条款</w:t>
      </w:r>
      <w:bookmarkEnd w:id="42"/>
      <w:bookmarkEnd w:id="43"/>
      <w:bookmarkEnd w:id="44"/>
      <w:bookmarkEnd w:id="45"/>
    </w:p>
    <w:p w14:paraId="214D1B2D">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乙方保证所提供的服务的所有权完全属于乙方且无任何抵押、查封等产权瑕疵。如有产权瑕疵的，视为乙方违约。乙方应负担由此而产生的一切损失。</w:t>
      </w:r>
    </w:p>
    <w:p w14:paraId="334BC8D6">
      <w:pPr>
        <w:pStyle w:val="10"/>
        <w:keepNext w:val="0"/>
        <w:keepLines w:val="0"/>
        <w:pageBreakBefore w:val="0"/>
        <w:numPr>
          <w:ilvl w:val="0"/>
          <w:numId w:val="2"/>
        </w:numPr>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46" w:name="_Toc6497"/>
      <w:bookmarkStart w:id="47" w:name="_Toc9603"/>
      <w:bookmarkStart w:id="48" w:name="_Toc12634"/>
      <w:r>
        <w:rPr>
          <w:rFonts w:hint="eastAsia" w:ascii="仿宋" w:hAnsi="仿宋" w:eastAsia="仿宋" w:cs="仿宋"/>
          <w:b/>
          <w:bCs w:val="0"/>
          <w:color w:val="auto"/>
          <w:sz w:val="28"/>
          <w:szCs w:val="28"/>
          <w:highlight w:val="none"/>
          <w:lang w:val="en-US" w:eastAsia="zh-CN"/>
        </w:rPr>
        <w:t xml:space="preserve"> </w:t>
      </w:r>
      <w:bookmarkStart w:id="49" w:name="_Toc6407"/>
      <w:r>
        <w:rPr>
          <w:rFonts w:hint="eastAsia" w:ascii="仿宋" w:hAnsi="仿宋" w:eastAsia="仿宋" w:cs="仿宋"/>
          <w:b/>
          <w:bCs w:val="0"/>
          <w:color w:val="auto"/>
          <w:sz w:val="28"/>
          <w:szCs w:val="28"/>
          <w:highlight w:val="none"/>
        </w:rPr>
        <w:t>甲方的权利和义务</w:t>
      </w:r>
      <w:bookmarkEnd w:id="46"/>
      <w:bookmarkEnd w:id="47"/>
      <w:bookmarkEnd w:id="48"/>
      <w:bookmarkEnd w:id="49"/>
    </w:p>
    <w:p w14:paraId="1EFC585A">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50579573">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2.甲方有权依据双方签订的考评办法对乙方提供的服务进行定期考评。当考评结果未达到标准时，有权依据考评办法约定的数额扣除履约保证金。</w:t>
      </w:r>
    </w:p>
    <w:p w14:paraId="61BA091C">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3.负责检查监督乙方管理工作的实施及制度的执行情况。</w:t>
      </w:r>
    </w:p>
    <w:p w14:paraId="77C11797">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4.根据本合同规定，按时向乙方支付应付服务费用。</w:t>
      </w:r>
    </w:p>
    <w:p w14:paraId="719692F5">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5.国家</w:t>
      </w:r>
      <w:r>
        <w:rPr>
          <w:rFonts w:hint="eastAsia" w:ascii="仿宋" w:hAnsi="仿宋" w:eastAsia="仿宋" w:cs="仿宋"/>
          <w:bCs/>
          <w:color w:val="auto"/>
          <w:sz w:val="28"/>
          <w:szCs w:val="28"/>
          <w:highlight w:val="none"/>
          <w:lang w:eastAsia="zh-CN"/>
        </w:rPr>
        <w:t>法律法规</w:t>
      </w:r>
      <w:r>
        <w:rPr>
          <w:rFonts w:hint="eastAsia" w:ascii="仿宋" w:hAnsi="仿宋" w:eastAsia="仿宋" w:cs="仿宋"/>
          <w:bCs/>
          <w:color w:val="auto"/>
          <w:sz w:val="28"/>
          <w:szCs w:val="28"/>
          <w:highlight w:val="none"/>
        </w:rPr>
        <w:t>所规定由甲方承担的其它责任。</w:t>
      </w:r>
    </w:p>
    <w:p w14:paraId="6D80533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50" w:name="_Toc7157"/>
      <w:bookmarkStart w:id="51" w:name="_Toc12376"/>
      <w:bookmarkStart w:id="52" w:name="_Toc10390"/>
      <w:bookmarkStart w:id="53" w:name="_Toc1227"/>
      <w:r>
        <w:rPr>
          <w:rFonts w:hint="eastAsia" w:ascii="仿宋" w:hAnsi="仿宋" w:eastAsia="仿宋" w:cs="仿宋"/>
          <w:b/>
          <w:bCs w:val="0"/>
          <w:color w:val="auto"/>
          <w:sz w:val="28"/>
          <w:szCs w:val="28"/>
          <w:highlight w:val="none"/>
          <w:lang w:val="en-US" w:eastAsia="zh-CN"/>
        </w:rPr>
        <w:t>第九</w:t>
      </w:r>
      <w:r>
        <w:rPr>
          <w:rFonts w:hint="eastAsia" w:ascii="仿宋" w:hAnsi="仿宋" w:eastAsia="仿宋" w:cs="仿宋"/>
          <w:b/>
          <w:bCs w:val="0"/>
          <w:color w:val="auto"/>
          <w:sz w:val="28"/>
          <w:szCs w:val="28"/>
          <w:highlight w:val="none"/>
        </w:rPr>
        <w:t>条  乙方的权利和义务</w:t>
      </w:r>
      <w:bookmarkEnd w:id="50"/>
      <w:bookmarkEnd w:id="51"/>
      <w:bookmarkEnd w:id="52"/>
      <w:bookmarkEnd w:id="53"/>
    </w:p>
    <w:p w14:paraId="28FA9294">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1.对本合同规定的委托服务范围内的项目享有管理权及服务义务。</w:t>
      </w:r>
    </w:p>
    <w:p w14:paraId="4E4C039B">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2.根据本合同的规定向甲方收取相关服务费用，并有权在本项目管理范围内管理及合理使用。</w:t>
      </w:r>
    </w:p>
    <w:p w14:paraId="5C6F7494">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3.及时向甲方通告本项目服务范围内有关服务的重大事项，及时配合处理投诉。</w:t>
      </w:r>
    </w:p>
    <w:p w14:paraId="3C56D448">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bCs/>
          <w:color w:val="auto"/>
          <w:sz w:val="28"/>
          <w:szCs w:val="28"/>
          <w:highlight w:val="none"/>
        </w:rPr>
        <w:t>接受项目行业管理部门及政府有关部门的指导，接受甲方的监督。</w:t>
      </w:r>
    </w:p>
    <w:p w14:paraId="036B1B25">
      <w:pPr>
        <w:keepNext w:val="0"/>
        <w:keepLines w:val="0"/>
        <w:pageBreakBefore w:val="0"/>
        <w:kinsoku/>
        <w:wordWrap/>
        <w:overflowPunct/>
        <w:topLinePunct w:val="0"/>
        <w:bidi w:val="0"/>
        <w:adjustRightInd/>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5.国家</w:t>
      </w:r>
      <w:r>
        <w:rPr>
          <w:rFonts w:hint="eastAsia" w:ascii="仿宋" w:hAnsi="仿宋" w:eastAsia="仿宋" w:cs="仿宋"/>
          <w:bCs/>
          <w:color w:val="auto"/>
          <w:sz w:val="28"/>
          <w:szCs w:val="28"/>
          <w:highlight w:val="none"/>
          <w:lang w:eastAsia="zh-CN"/>
        </w:rPr>
        <w:t>法律法规</w:t>
      </w:r>
      <w:r>
        <w:rPr>
          <w:rFonts w:hint="eastAsia" w:ascii="仿宋" w:hAnsi="仿宋" w:eastAsia="仿宋" w:cs="仿宋"/>
          <w:bCs/>
          <w:color w:val="auto"/>
          <w:sz w:val="28"/>
          <w:szCs w:val="28"/>
          <w:highlight w:val="none"/>
        </w:rPr>
        <w:t>所规定由乙方承担的其它责任。</w:t>
      </w:r>
    </w:p>
    <w:p w14:paraId="6FEE7C3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54" w:name="_Toc29819"/>
      <w:bookmarkStart w:id="55" w:name="_Toc19456"/>
      <w:bookmarkStart w:id="56" w:name="_Toc12373"/>
      <w:bookmarkStart w:id="57" w:name="_Toc26868"/>
      <w:r>
        <w:rPr>
          <w:rFonts w:hint="eastAsia" w:ascii="仿宋" w:hAnsi="仿宋" w:eastAsia="仿宋" w:cs="仿宋"/>
          <w:b/>
          <w:bCs w:val="0"/>
          <w:color w:val="auto"/>
          <w:sz w:val="28"/>
          <w:szCs w:val="28"/>
          <w:highlight w:val="none"/>
        </w:rPr>
        <w:t>第十条  违约责任</w:t>
      </w:r>
      <w:bookmarkEnd w:id="54"/>
      <w:bookmarkEnd w:id="55"/>
      <w:bookmarkEnd w:id="56"/>
      <w:bookmarkEnd w:id="57"/>
    </w:p>
    <w:p w14:paraId="4CC1CD8B">
      <w:pPr>
        <w:pStyle w:val="13"/>
        <w:ind w:firstLine="560" w:firstLineChars="200"/>
        <w:rPr>
          <w:rFonts w:hint="eastAsia" w:ascii="仿宋" w:hAnsi="仿宋" w:eastAsia="仿宋" w:cs="仿宋"/>
          <w:bCs/>
          <w:color w:val="auto"/>
          <w:sz w:val="28"/>
          <w:szCs w:val="28"/>
          <w:highlight w:val="none"/>
          <w:lang w:val="en-US" w:eastAsia="zh-CN" w:bidi="ar-SA"/>
        </w:rPr>
      </w:pPr>
      <w:bookmarkStart w:id="58" w:name="_Toc13266"/>
      <w:bookmarkStart w:id="59" w:name="_Toc20912"/>
      <w:bookmarkStart w:id="60" w:name="_Toc20005"/>
      <w:bookmarkStart w:id="61" w:name="_Toc20006"/>
      <w:r>
        <w:rPr>
          <w:rFonts w:hint="eastAsia" w:ascii="仿宋" w:hAnsi="仿宋" w:eastAsia="仿宋" w:cs="仿宋"/>
          <w:bCs/>
          <w:color w:val="auto"/>
          <w:sz w:val="28"/>
          <w:szCs w:val="28"/>
          <w:highlight w:val="none"/>
          <w:lang w:val="en-US" w:eastAsia="zh-CN" w:bidi="ar-SA"/>
        </w:rPr>
        <w:t>1.按《中华人民共和国民法典》中的相关条款执行。</w:t>
      </w:r>
    </w:p>
    <w:p w14:paraId="0BCAC348">
      <w:pPr>
        <w:pStyle w:val="13"/>
        <w:ind w:firstLine="560" w:firstLineChars="200"/>
        <w:rPr>
          <w:rFonts w:hint="eastAsia" w:ascii="仿宋" w:hAnsi="仿宋" w:eastAsia="仿宋" w:cs="仿宋"/>
          <w:bCs/>
          <w:color w:val="auto"/>
          <w:sz w:val="28"/>
          <w:szCs w:val="28"/>
          <w:highlight w:val="none"/>
          <w:lang w:val="en-US" w:eastAsia="zh-CN" w:bidi="ar-SA"/>
        </w:rPr>
      </w:pPr>
      <w:r>
        <w:rPr>
          <w:rFonts w:hint="eastAsia" w:ascii="仿宋" w:hAnsi="仿宋" w:eastAsia="仿宋" w:cs="仿宋"/>
          <w:bCs/>
          <w:color w:val="auto"/>
          <w:sz w:val="28"/>
          <w:szCs w:val="28"/>
          <w:highlight w:val="none"/>
          <w:lang w:val="en-US" w:eastAsia="zh-CN" w:bidi="ar-SA"/>
        </w:rPr>
        <w:t>2.未按合同要求提供的服务，采购人有权终止合同和对供应商的违约行为进行追究。</w:t>
      </w:r>
    </w:p>
    <w:p w14:paraId="31AE82A3">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一</w:t>
      </w:r>
      <w:r>
        <w:rPr>
          <w:rFonts w:hint="eastAsia" w:ascii="仿宋" w:hAnsi="仿宋" w:eastAsia="仿宋" w:cs="仿宋"/>
          <w:b/>
          <w:bCs w:val="0"/>
          <w:color w:val="auto"/>
          <w:sz w:val="28"/>
          <w:szCs w:val="28"/>
          <w:highlight w:val="none"/>
        </w:rPr>
        <w:t>条  不可抗力事件处理</w:t>
      </w:r>
      <w:bookmarkEnd w:id="58"/>
      <w:bookmarkEnd w:id="59"/>
      <w:bookmarkEnd w:id="60"/>
      <w:bookmarkEnd w:id="61"/>
    </w:p>
    <w:p w14:paraId="526B5D36">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1.在合同有效期内，任何一方因不可抗力事件导致不能履行合同，则合同履行期可延长，其延长期与不可抗力影响期相同。</w:t>
      </w:r>
    </w:p>
    <w:p w14:paraId="6EEED892">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2.不可抗力事件发生后，应立即通知对方，并寄送有关权威机构出具的证明。</w:t>
      </w:r>
    </w:p>
    <w:p w14:paraId="2D0B04BC">
      <w:pPr>
        <w:keepNext w:val="0"/>
        <w:keepLines w:val="0"/>
        <w:pageBreakBefore w:val="0"/>
        <w:tabs>
          <w:tab w:val="left" w:pos="0"/>
        </w:tabs>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3.不可抗力事件延续</w:t>
      </w: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天以上，双方应通过友好协商，确定是否继续履行合同。</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93C6630">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62" w:name="_Toc30380"/>
      <w:bookmarkStart w:id="63" w:name="_Toc25202"/>
      <w:bookmarkStart w:id="64" w:name="_Toc3229"/>
      <w:bookmarkStart w:id="65" w:name="_Toc13911"/>
      <w:bookmarkStart w:id="66" w:name="_Toc185395254"/>
      <w:bookmarkStart w:id="67" w:name="_Toc239568423"/>
      <w:bookmarkStart w:id="68" w:name="_Toc212019599"/>
      <w:bookmarkStart w:id="69" w:name="_Toc211911353"/>
      <w:bookmarkStart w:id="70" w:name="_Toc211854454"/>
      <w:bookmarkStart w:id="71" w:name="_Toc225244857"/>
      <w:bookmarkStart w:id="72" w:name="_Toc241833908"/>
      <w:bookmarkStart w:id="73" w:name="_Toc286993792"/>
      <w:bookmarkStart w:id="74" w:name="_Toc225670756"/>
      <w:bookmarkStart w:id="75" w:name="_Toc225654649"/>
      <w:bookmarkStart w:id="76" w:name="_Toc238984980"/>
      <w:bookmarkStart w:id="77" w:name="_Toc232492933"/>
      <w:bookmarkStart w:id="78" w:name="_Toc251768867"/>
      <w:bookmarkStart w:id="79" w:name="_Toc237145411"/>
      <w:bookmarkStart w:id="80" w:name="_Toc239233919"/>
      <w:bookmarkStart w:id="81" w:name="_Toc247334846"/>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二</w:t>
      </w:r>
      <w:r>
        <w:rPr>
          <w:rFonts w:hint="eastAsia" w:ascii="仿宋" w:hAnsi="仿宋" w:eastAsia="仿宋" w:cs="仿宋"/>
          <w:b/>
          <w:bCs w:val="0"/>
          <w:color w:val="auto"/>
          <w:sz w:val="28"/>
          <w:szCs w:val="28"/>
          <w:highlight w:val="none"/>
        </w:rPr>
        <w:t>条  合同的变更和终止</w:t>
      </w:r>
      <w:bookmarkEnd w:id="62"/>
      <w:bookmarkEnd w:id="63"/>
      <w:bookmarkEnd w:id="64"/>
      <w:bookmarkEnd w:id="65"/>
    </w:p>
    <w:p w14:paraId="7AD55C75">
      <w:pPr>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除《中华人民共和国政府采购法》第49条、第50条第二款规定的情形外，本合同一经签订，甲乙双方不得擅自变更、中止或终止合同。</w:t>
      </w:r>
    </w:p>
    <w:p w14:paraId="19840B45">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82" w:name="_Toc5821"/>
      <w:bookmarkStart w:id="83" w:name="_Toc32542"/>
      <w:bookmarkStart w:id="84" w:name="_Toc24039"/>
      <w:bookmarkStart w:id="85" w:name="_Toc8343"/>
      <w:r>
        <w:rPr>
          <w:rFonts w:hint="eastAsia" w:ascii="仿宋" w:hAnsi="仿宋" w:eastAsia="仿宋" w:cs="仿宋"/>
          <w:b/>
          <w:bCs w:val="0"/>
          <w:color w:val="auto"/>
          <w:sz w:val="28"/>
          <w:szCs w:val="28"/>
          <w:highlight w:val="none"/>
        </w:rPr>
        <w:t>第十</w:t>
      </w:r>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 xml:space="preserve">条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ascii="仿宋" w:hAnsi="仿宋" w:eastAsia="仿宋" w:cs="仿宋"/>
          <w:b/>
          <w:bCs w:val="0"/>
          <w:color w:val="auto"/>
          <w:sz w:val="28"/>
          <w:szCs w:val="28"/>
          <w:highlight w:val="none"/>
          <w:lang w:val="en-US" w:eastAsia="zh-CN"/>
        </w:rPr>
        <w:t>争议解决条款</w:t>
      </w:r>
      <w:bookmarkEnd w:id="82"/>
      <w:bookmarkEnd w:id="83"/>
      <w:bookmarkEnd w:id="84"/>
      <w:bookmarkEnd w:id="85"/>
    </w:p>
    <w:p w14:paraId="27CBD5CC">
      <w:pPr>
        <w:pStyle w:val="13"/>
        <w:numPr>
          <w:ilvl w:val="0"/>
          <w:numId w:val="0"/>
        </w:numPr>
        <w:rPr>
          <w:rFonts w:hint="eastAsia" w:ascii="仿宋" w:hAnsi="仿宋" w:eastAsia="仿宋" w:cs="仿宋"/>
          <w:color w:val="auto"/>
          <w:sz w:val="28"/>
          <w:szCs w:val="28"/>
          <w:highlight w:val="none"/>
          <w:lang w:val="en-US" w:eastAsia="zh-CN" w:bidi="ar-SA"/>
        </w:rPr>
      </w:pPr>
      <w:bookmarkStart w:id="86" w:name="_Toc185395255"/>
      <w:bookmarkStart w:id="87" w:name="_Toc237145412"/>
      <w:bookmarkStart w:id="88" w:name="_Toc283019219"/>
      <w:bookmarkStart w:id="89" w:name="_Toc212019600"/>
      <w:bookmarkStart w:id="90" w:name="_Toc211854455"/>
      <w:bookmarkStart w:id="91" w:name="_Toc241833909"/>
      <w:bookmarkStart w:id="92" w:name="_Toc225670757"/>
      <w:bookmarkStart w:id="93" w:name="_Toc238984981"/>
      <w:bookmarkStart w:id="94" w:name="_Toc225654650"/>
      <w:bookmarkStart w:id="95" w:name="_Toc251768868"/>
      <w:bookmarkStart w:id="96" w:name="_Toc247334847"/>
      <w:bookmarkStart w:id="97" w:name="_Toc286993793"/>
      <w:bookmarkStart w:id="98" w:name="_Toc282696231"/>
      <w:bookmarkStart w:id="99" w:name="_Toc239233920"/>
      <w:bookmarkStart w:id="100" w:name="_Toc239568424"/>
      <w:bookmarkStart w:id="101" w:name="_Toc225244858"/>
      <w:bookmarkStart w:id="102" w:name="_Toc211911354"/>
      <w:bookmarkStart w:id="103" w:name="_Toc232492934"/>
      <w:bookmarkStart w:id="104" w:name="_Toc233"/>
      <w:bookmarkStart w:id="105" w:name="_Toc24825"/>
      <w:bookmarkStart w:id="106" w:name="_Toc1703"/>
      <w:bookmarkStart w:id="107" w:name="_Toc29426"/>
      <w:r>
        <w:rPr>
          <w:rFonts w:hint="eastAsia" w:ascii="仿宋" w:hAnsi="仿宋" w:eastAsia="仿宋" w:cs="仿宋"/>
          <w:color w:val="auto"/>
          <w:sz w:val="28"/>
          <w:szCs w:val="28"/>
          <w:lang w:val="en-US" w:eastAsia="zh-CN" w:bidi="ar-SA"/>
        </w:rPr>
        <w:t xml:space="preserve">    1.</w:t>
      </w:r>
      <w:r>
        <w:rPr>
          <w:rFonts w:hint="eastAsia" w:ascii="仿宋" w:hAnsi="仿宋" w:eastAsia="仿宋" w:cs="仿宋"/>
          <w:color w:val="auto"/>
          <w:sz w:val="28"/>
          <w:szCs w:val="28"/>
          <w:highlight w:val="none"/>
          <w:lang w:val="en-US" w:eastAsia="zh-CN" w:bidi="ar-SA"/>
        </w:rPr>
        <w:t xml:space="preserve">按《中华人民共和国民法典》中的相关条款执行。 </w:t>
      </w:r>
    </w:p>
    <w:p w14:paraId="1DAF39AD">
      <w:pPr>
        <w:pStyle w:val="13"/>
        <w:outlineLvl w:val="2"/>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 xml:space="preserve">    2.未按合同要求提供服务或质量不能满足合同要求，采购人有权依据《中华人民共和国民法典》有关条款及合同约定终止合同，并要求供应商承担违约责任。</w:t>
      </w:r>
    </w:p>
    <w:p w14:paraId="7CA4667A">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第十四条  合同</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hint="eastAsia" w:ascii="仿宋" w:hAnsi="仿宋" w:eastAsia="仿宋" w:cs="仿宋"/>
          <w:b/>
          <w:bCs w:val="0"/>
          <w:color w:val="auto"/>
          <w:sz w:val="28"/>
          <w:szCs w:val="28"/>
          <w:highlight w:val="none"/>
        </w:rPr>
        <w:t>生效及其他</w:t>
      </w:r>
      <w:bookmarkEnd w:id="104"/>
      <w:bookmarkEnd w:id="105"/>
      <w:bookmarkEnd w:id="106"/>
      <w:bookmarkEnd w:id="107"/>
    </w:p>
    <w:p w14:paraId="47E40D0E">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1.合同经双方法定代表人或授权委托代理人签字并加盖单位公章后生效。</w:t>
      </w:r>
    </w:p>
    <w:p w14:paraId="13D7A92A">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2.合同执行中涉及采购资金和采购内容修改或补充的，须经政府采购监管部门审批，并</w:t>
      </w:r>
      <w:r>
        <w:rPr>
          <w:rFonts w:hint="eastAsia" w:ascii="仿宋" w:hAnsi="仿宋" w:eastAsia="仿宋" w:cs="仿宋"/>
          <w:color w:val="auto"/>
          <w:sz w:val="28"/>
          <w:szCs w:val="28"/>
          <w:highlight w:val="none"/>
          <w:lang w:eastAsia="zh-CN"/>
        </w:rPr>
        <w:t>签订</w:t>
      </w:r>
      <w:r>
        <w:rPr>
          <w:rFonts w:hint="eastAsia" w:ascii="仿宋" w:hAnsi="仿宋" w:eastAsia="仿宋" w:cs="仿宋"/>
          <w:color w:val="auto"/>
          <w:sz w:val="28"/>
          <w:szCs w:val="28"/>
          <w:highlight w:val="none"/>
        </w:rPr>
        <w:t>书面补充协议报政府采购监督管理部门备案，方可作为主合同不可分割的一部分。</w:t>
      </w:r>
    </w:p>
    <w:p w14:paraId="0D607B9D">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3.本合同一式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份，自双方签章之日起起效。甲方</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份，乙方</w:t>
      </w:r>
      <w:r>
        <w:rPr>
          <w:rFonts w:hint="eastAsia" w:ascii="仿宋" w:hAnsi="仿宋" w:eastAsia="仿宋" w:cs="仿宋"/>
          <w:i/>
          <w:iCs/>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具有同等法律效力。</w:t>
      </w:r>
    </w:p>
    <w:p w14:paraId="00B2671E">
      <w:pPr>
        <w:keepNext w:val="0"/>
        <w:keepLines w:val="0"/>
        <w:pageBreakBefore w:val="0"/>
        <w:tabs>
          <w:tab w:val="left" w:pos="1379"/>
        </w:tabs>
        <w:kinsoku/>
        <w:wordWrap/>
        <w:overflowPunct/>
        <w:topLinePunct w:val="0"/>
        <w:bidi w:val="0"/>
        <w:adjustRightInd/>
        <w:snapToGrid w:val="0"/>
        <w:spacing w:line="360" w:lineRule="auto"/>
        <w:ind w:firstLine="562" w:firstLineChars="200"/>
        <w:outlineLvl w:val="1"/>
        <w:rPr>
          <w:rFonts w:hint="eastAsia" w:ascii="仿宋" w:hAnsi="仿宋" w:eastAsia="仿宋" w:cs="仿宋"/>
          <w:b/>
          <w:bCs w:val="0"/>
          <w:color w:val="auto"/>
          <w:sz w:val="28"/>
          <w:szCs w:val="28"/>
          <w:highlight w:val="none"/>
        </w:rPr>
      </w:pPr>
      <w:bookmarkStart w:id="108" w:name="_Toc15608"/>
      <w:bookmarkStart w:id="109" w:name="_Toc11903"/>
      <w:bookmarkStart w:id="110" w:name="_Toc12138"/>
      <w:bookmarkStart w:id="111" w:name="_Toc11151"/>
      <w:r>
        <w:rPr>
          <w:rFonts w:hint="eastAsia" w:ascii="仿宋" w:hAnsi="仿宋" w:eastAsia="仿宋" w:cs="仿宋"/>
          <w:b/>
          <w:bCs w:val="0"/>
          <w:color w:val="auto"/>
          <w:sz w:val="28"/>
          <w:szCs w:val="28"/>
          <w:highlight w:val="none"/>
        </w:rPr>
        <w:t>第十五条  附件</w:t>
      </w:r>
      <w:bookmarkEnd w:id="108"/>
      <w:bookmarkEnd w:id="109"/>
      <w:bookmarkEnd w:id="110"/>
      <w:bookmarkEnd w:id="111"/>
    </w:p>
    <w:p w14:paraId="77264C03">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文件</w:t>
      </w:r>
    </w:p>
    <w:p w14:paraId="607CCFD7">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2.修改澄清文件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若有</w:t>
      </w:r>
      <w:r>
        <w:rPr>
          <w:rFonts w:hint="eastAsia" w:ascii="仿宋" w:hAnsi="仿宋" w:eastAsia="仿宋" w:cs="仿宋"/>
          <w:color w:val="auto"/>
          <w:sz w:val="28"/>
          <w:szCs w:val="28"/>
          <w:highlight w:val="none"/>
          <w:lang w:eastAsia="zh-CN"/>
        </w:rPr>
        <w:t>）</w:t>
      </w:r>
    </w:p>
    <w:p w14:paraId="7FCF71E1">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w:t>
      </w:r>
    </w:p>
    <w:p w14:paraId="00FC23D3">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rPr>
        <w:t>通知书</w:t>
      </w:r>
    </w:p>
    <w:p w14:paraId="0CF3E2FC">
      <w:pPr>
        <w:pStyle w:val="12"/>
        <w:keepNext w:val="0"/>
        <w:keepLines w:val="0"/>
        <w:pageBreakBefore w:val="0"/>
        <w:kinsoku/>
        <w:wordWrap/>
        <w:overflowPunct/>
        <w:topLinePunct w:val="0"/>
        <w:bidi w:val="0"/>
        <w:adjustRightInd/>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w:t>
      </w:r>
    </w:p>
    <w:p w14:paraId="218940B3">
      <w:pPr>
        <w:spacing w:line="360" w:lineRule="auto"/>
        <w:ind w:firstLine="560" w:firstLineChars="200"/>
        <w:rPr>
          <w:rFonts w:hint="eastAsia" w:ascii="仿宋" w:hAnsi="仿宋" w:eastAsia="仿宋" w:cs="仿宋"/>
          <w:color w:val="auto"/>
          <w:sz w:val="28"/>
          <w:szCs w:val="28"/>
          <w:highlight w:val="none"/>
        </w:rPr>
      </w:pPr>
    </w:p>
    <w:p w14:paraId="6EB54570">
      <w:pPr>
        <w:spacing w:line="360" w:lineRule="auto"/>
        <w:ind w:firstLine="560" w:firstLineChars="200"/>
        <w:rPr>
          <w:rFonts w:hint="eastAsia" w:ascii="仿宋" w:hAnsi="仿宋" w:eastAsia="仿宋" w:cs="仿宋"/>
          <w:color w:val="auto"/>
          <w:sz w:val="28"/>
          <w:szCs w:val="28"/>
          <w:highlight w:val="none"/>
        </w:rPr>
      </w:pPr>
    </w:p>
    <w:p w14:paraId="2E50FA4F">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     方：（</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 xml:space="preserve">章）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乙    方：   （</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p>
    <w:p w14:paraId="34ED87F3">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法定代表人（委托代理人）：      法定代表人（委托代理人）：</w:t>
      </w:r>
    </w:p>
    <w:p w14:paraId="5C9F0771">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                      地    址：</w:t>
      </w:r>
    </w:p>
    <w:p w14:paraId="2908BE5C">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                      开户银行：</w:t>
      </w:r>
    </w:p>
    <w:p w14:paraId="407F7783">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    号：</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账    号：</w:t>
      </w:r>
    </w:p>
    <w:p w14:paraId="5456DADB">
      <w:p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纳税人识别号：</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纳税人识别号：</w:t>
      </w:r>
    </w:p>
    <w:p w14:paraId="22B0D501">
      <w:pPr>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电    话：                      电    话：</w:t>
      </w:r>
    </w:p>
    <w:p w14:paraId="2164C584">
      <w:pPr>
        <w:pStyle w:val="3"/>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日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日</w:t>
      </w:r>
    </w:p>
    <w:p w14:paraId="419FD3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31020"/>
    <w:rsid w:val="040E1283"/>
    <w:rsid w:val="051931EE"/>
    <w:rsid w:val="0CD50699"/>
    <w:rsid w:val="13BB36C2"/>
    <w:rsid w:val="1B2B737F"/>
    <w:rsid w:val="1E4B53A1"/>
    <w:rsid w:val="21C4408A"/>
    <w:rsid w:val="26A55B5E"/>
    <w:rsid w:val="2D355E3C"/>
    <w:rsid w:val="332130EA"/>
    <w:rsid w:val="38984DF4"/>
    <w:rsid w:val="3B404329"/>
    <w:rsid w:val="3D524AD5"/>
    <w:rsid w:val="3E9C3F92"/>
    <w:rsid w:val="3F7040E9"/>
    <w:rsid w:val="405745EF"/>
    <w:rsid w:val="41C72BA9"/>
    <w:rsid w:val="42701DA1"/>
    <w:rsid w:val="49184958"/>
    <w:rsid w:val="4B810772"/>
    <w:rsid w:val="4EA34EA3"/>
    <w:rsid w:val="50281B04"/>
    <w:rsid w:val="50903205"/>
    <w:rsid w:val="5402603D"/>
    <w:rsid w:val="5DE03A1E"/>
    <w:rsid w:val="5E766130"/>
    <w:rsid w:val="673922FD"/>
    <w:rsid w:val="67EB36EB"/>
    <w:rsid w:val="680D3662"/>
    <w:rsid w:val="68AF4358"/>
    <w:rsid w:val="69DD7064"/>
    <w:rsid w:val="6C0B2E7C"/>
    <w:rsid w:val="72856323"/>
    <w:rsid w:val="75C1693B"/>
    <w:rsid w:val="7734348A"/>
    <w:rsid w:val="77986BC8"/>
    <w:rsid w:val="77BF1E80"/>
    <w:rsid w:val="7CA73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footer"/>
    <w:basedOn w:val="1"/>
    <w:next w:val="3"/>
    <w:unhideWhenUsed/>
    <w:qFormat/>
    <w:uiPriority w:val="99"/>
    <w:pPr>
      <w:tabs>
        <w:tab w:val="center" w:pos="4153"/>
        <w:tab w:val="right" w:pos="8306"/>
      </w:tabs>
      <w:snapToGrid w:val="0"/>
      <w:spacing w:line="240" w:lineRule="atLeas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列出段落1"/>
    <w:basedOn w:val="1"/>
    <w:autoRedefine/>
    <w:qFormat/>
    <w:uiPriority w:val="34"/>
    <w:pPr>
      <w:ind w:firstLine="420" w:firstLineChars="200"/>
    </w:pPr>
    <w:rPr>
      <w:rFonts w:ascii="Calibri" w:hAnsi="Calibri" w:cs="黑体"/>
      <w:szCs w:val="2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1830</Words>
  <Characters>1875</Characters>
  <Lines>0</Lines>
  <Paragraphs>0</Paragraphs>
  <TotalTime>0</TotalTime>
  <ScaleCrop>false</ScaleCrop>
  <LinksUpToDate>false</LinksUpToDate>
  <CharactersWithSpaces>2726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2025-01-23T02:14:00Z</dcterms:created>
  <dc:creator>Hailan</dc:creator>
  <cp:lastModifiedBy>XXIA</cp:lastModifiedBy>
  <dcterms:modified xsi:type="dcterms:W3CDTF">2026-07-09T10:48:23Z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eyJoZGlkIjoiNzRkODU0NWM1NTRlNTZjMDFhNjAyNDM3ZDE1ZjE0YTMiLCJ1c2VySWQiOiIzMTQzODkxMTYifQ==</vt:lpwstr>
  </property>
  <property fmtid="{D5CDD505-2E9C-101B-9397-08002B2CF9AE}" pid="4" name="ICV">
    <vt:lpwstr>AC09B0799EF341D9BCC21DB45BA2D720_12</vt:lpwstr>
  </property>
</Properties>
</file>