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71D0E">
      <w:pPr>
        <w:pStyle w:val="2"/>
        <w:rPr>
          <w:rFonts w:hint="eastAsia" w:ascii="宋体" w:hAnsi="宋体" w:cs="宋体"/>
          <w:sz w:val="48"/>
          <w:szCs w:val="48"/>
        </w:rPr>
      </w:pPr>
      <w:r>
        <w:rPr>
          <w:rFonts w:hint="eastAsia" w:ascii="宋体" w:hAnsi="宋体" w:cs="宋体"/>
        </w:rPr>
        <w:t>合同范本（仅供参考）</w:t>
      </w:r>
    </w:p>
    <w:p w14:paraId="3E7261B3">
      <w:pPr>
        <w:widowControl/>
        <w:tabs>
          <w:tab w:val="left" w:pos="7815"/>
        </w:tabs>
        <w:spacing w:line="1100" w:lineRule="exact"/>
        <w:ind w:left="-424" w:leftChars="-202" w:right="-197" w:rightChars="-94"/>
        <w:jc w:val="center"/>
        <w:rPr>
          <w:rFonts w:hint="eastAsia" w:ascii="宋体" w:hAnsi="宋体" w:cs="宋体"/>
          <w:b/>
          <w:bCs/>
          <w:sz w:val="44"/>
          <w:szCs w:val="44"/>
        </w:rPr>
      </w:pPr>
    </w:p>
    <w:p w14:paraId="451AF209">
      <w:pPr>
        <w:widowControl/>
        <w:tabs>
          <w:tab w:val="left" w:pos="7815"/>
        </w:tabs>
        <w:spacing w:line="1100" w:lineRule="exact"/>
        <w:ind w:left="-424" w:leftChars="-202" w:right="-197" w:rightChars="-94"/>
        <w:jc w:val="center"/>
        <w:rPr>
          <w:rFonts w:hint="eastAsia" w:ascii="宋体" w:hAnsi="宋体" w:eastAsia="宋体" w:cs="宋体"/>
          <w:b/>
          <w:bCs/>
          <w:sz w:val="44"/>
          <w:szCs w:val="44"/>
          <w:lang w:eastAsia="zh-CN"/>
        </w:rPr>
      </w:pPr>
      <w:r>
        <w:rPr>
          <w:rFonts w:hint="eastAsia" w:ascii="宋体" w:hAnsi="宋体" w:cs="宋体"/>
          <w:b/>
          <w:bCs/>
          <w:sz w:val="44"/>
          <w:szCs w:val="44"/>
          <w:lang w:eastAsia="zh-CN"/>
        </w:rPr>
        <w:t>淳化县胡家庙中心小学信息化设备购置项目</w:t>
      </w:r>
    </w:p>
    <w:p w14:paraId="35C40D3A">
      <w:pPr>
        <w:widowControl/>
        <w:tabs>
          <w:tab w:val="left" w:pos="7815"/>
        </w:tabs>
        <w:spacing w:line="1100" w:lineRule="exact"/>
        <w:ind w:left="-424" w:leftChars="-202" w:right="-197" w:rightChars="-94"/>
        <w:jc w:val="center"/>
        <w:rPr>
          <w:rFonts w:hint="eastAsia" w:ascii="宋体" w:hAnsi="宋体" w:cs="宋体"/>
          <w:b/>
          <w:bCs/>
          <w:kern w:val="0"/>
          <w:sz w:val="48"/>
          <w:szCs w:val="48"/>
        </w:rPr>
      </w:pPr>
      <w:r>
        <w:rPr>
          <w:rFonts w:hint="eastAsia" w:ascii="宋体" w:hAnsi="宋体" w:cs="宋体"/>
          <w:b/>
          <w:bCs/>
          <w:kern w:val="0"/>
          <w:sz w:val="48"/>
          <w:szCs w:val="48"/>
        </w:rPr>
        <w:t>供 货 合 同</w:t>
      </w:r>
    </w:p>
    <w:p w14:paraId="3D3C2843">
      <w:pPr>
        <w:widowControl/>
        <w:spacing w:line="360" w:lineRule="auto"/>
        <w:jc w:val="center"/>
        <w:rPr>
          <w:rFonts w:hint="eastAsia" w:ascii="宋体" w:hAnsi="宋体" w:cs="宋体"/>
          <w:b/>
          <w:bCs/>
          <w:kern w:val="0"/>
          <w:sz w:val="36"/>
          <w:szCs w:val="36"/>
        </w:rPr>
      </w:pPr>
      <w:r>
        <w:rPr>
          <w:rFonts w:hint="eastAsia" w:ascii="宋体" w:hAnsi="宋体" w:cs="宋体"/>
          <w:b/>
          <w:bCs/>
          <w:kern w:val="0"/>
          <w:sz w:val="36"/>
          <w:szCs w:val="36"/>
        </w:rPr>
        <w:t>（编号：            ）</w:t>
      </w:r>
    </w:p>
    <w:p w14:paraId="47E1630A">
      <w:pPr>
        <w:widowControl/>
        <w:spacing w:line="360" w:lineRule="auto"/>
        <w:rPr>
          <w:rFonts w:hint="eastAsia" w:ascii="宋体" w:hAnsi="宋体" w:cs="宋体"/>
          <w:b/>
          <w:bCs/>
          <w:kern w:val="0"/>
          <w:sz w:val="44"/>
          <w:szCs w:val="44"/>
        </w:rPr>
      </w:pPr>
      <w:r>
        <w:rPr>
          <w:rFonts w:hint="eastAsia" w:ascii="宋体" w:hAnsi="宋体" w:cs="宋体"/>
          <w:b/>
          <w:bCs/>
          <w:kern w:val="0"/>
          <w:sz w:val="36"/>
          <w:szCs w:val="36"/>
        </w:rPr>
        <w:t xml:space="preserve"> </w:t>
      </w:r>
    </w:p>
    <w:p w14:paraId="2CA14229">
      <w:pPr>
        <w:widowControl/>
        <w:spacing w:line="360" w:lineRule="auto"/>
        <w:rPr>
          <w:rFonts w:hint="eastAsia" w:ascii="宋体" w:hAnsi="宋体" w:cs="宋体"/>
          <w:b/>
          <w:bCs/>
          <w:kern w:val="0"/>
          <w:sz w:val="32"/>
          <w:szCs w:val="32"/>
        </w:rPr>
      </w:pPr>
    </w:p>
    <w:p w14:paraId="4173FC55">
      <w:pPr>
        <w:widowControl/>
        <w:ind w:firstLine="2249" w:firstLineChars="700"/>
        <w:rPr>
          <w:rFonts w:hint="eastAsia" w:ascii="宋体" w:hAnsi="宋体" w:cs="宋体"/>
          <w:b/>
          <w:bCs/>
          <w:kern w:val="0"/>
          <w:sz w:val="32"/>
          <w:szCs w:val="32"/>
        </w:rPr>
      </w:pPr>
    </w:p>
    <w:p w14:paraId="19A40FC4">
      <w:pPr>
        <w:widowControl/>
        <w:rPr>
          <w:rFonts w:hint="eastAsia" w:ascii="宋体" w:hAnsi="宋体" w:cs="宋体"/>
          <w:kern w:val="0"/>
          <w:sz w:val="34"/>
          <w:szCs w:val="34"/>
        </w:rPr>
      </w:pPr>
    </w:p>
    <w:p w14:paraId="45FD7F3C">
      <w:pPr>
        <w:widowControl/>
        <w:rPr>
          <w:rFonts w:hint="eastAsia" w:ascii="宋体" w:hAnsi="宋体" w:cs="宋体"/>
          <w:kern w:val="0"/>
          <w:sz w:val="34"/>
          <w:szCs w:val="34"/>
        </w:rPr>
      </w:pPr>
    </w:p>
    <w:p w14:paraId="29070102">
      <w:pPr>
        <w:widowControl/>
        <w:rPr>
          <w:rFonts w:hint="eastAsia" w:ascii="宋体" w:hAnsi="宋体" w:cs="宋体"/>
          <w:kern w:val="0"/>
          <w:sz w:val="34"/>
          <w:szCs w:val="34"/>
        </w:rPr>
      </w:pPr>
    </w:p>
    <w:p w14:paraId="0CBE65E6">
      <w:pPr>
        <w:pStyle w:val="6"/>
        <w:rPr>
          <w:rFonts w:hint="eastAsia" w:ascii="宋体" w:hAnsi="宋体" w:cs="宋体"/>
        </w:rPr>
      </w:pPr>
    </w:p>
    <w:p w14:paraId="7F57D68F">
      <w:pPr>
        <w:widowControl/>
        <w:rPr>
          <w:rFonts w:hint="eastAsia" w:ascii="宋体" w:hAnsi="宋体" w:cs="宋体"/>
          <w:kern w:val="0"/>
          <w:sz w:val="34"/>
          <w:szCs w:val="34"/>
        </w:rPr>
      </w:pPr>
    </w:p>
    <w:p w14:paraId="67CF1A04">
      <w:pPr>
        <w:widowControl/>
        <w:spacing w:line="360" w:lineRule="auto"/>
        <w:ind w:firstLine="1902" w:firstLineChars="592"/>
        <w:rPr>
          <w:rFonts w:hint="eastAsia" w:ascii="宋体" w:hAnsi="宋体" w:eastAsia="宋体" w:cs="宋体"/>
          <w:b/>
          <w:bCs/>
          <w:kern w:val="0"/>
          <w:sz w:val="32"/>
          <w:szCs w:val="32"/>
          <w:lang w:eastAsia="zh-CN"/>
        </w:rPr>
      </w:pPr>
      <w:r>
        <w:rPr>
          <w:rFonts w:hint="eastAsia" w:ascii="宋体" w:hAnsi="宋体" w:cs="宋体"/>
          <w:b/>
          <w:bCs/>
          <w:kern w:val="0"/>
          <w:sz w:val="32"/>
          <w:szCs w:val="32"/>
        </w:rPr>
        <w:t>甲方：</w:t>
      </w:r>
    </w:p>
    <w:p w14:paraId="02182A91">
      <w:pPr>
        <w:widowControl/>
        <w:spacing w:line="360" w:lineRule="auto"/>
        <w:ind w:firstLine="1928" w:firstLineChars="600"/>
        <w:rPr>
          <w:rFonts w:hint="eastAsia" w:ascii="宋体" w:hAnsi="宋体" w:cs="宋体"/>
          <w:b/>
          <w:bCs/>
          <w:kern w:val="0"/>
          <w:sz w:val="32"/>
          <w:szCs w:val="32"/>
        </w:rPr>
      </w:pPr>
      <w:r>
        <w:rPr>
          <w:rFonts w:hint="eastAsia" w:ascii="宋体" w:hAnsi="宋体" w:cs="宋体"/>
          <w:b/>
          <w:bCs/>
          <w:kern w:val="0"/>
          <w:sz w:val="32"/>
          <w:szCs w:val="32"/>
        </w:rPr>
        <w:t>乙方：</w:t>
      </w:r>
    </w:p>
    <w:p w14:paraId="40A2C8D3">
      <w:pPr>
        <w:widowControl/>
        <w:spacing w:line="360" w:lineRule="auto"/>
        <w:ind w:firstLine="1928" w:firstLineChars="600"/>
        <w:rPr>
          <w:rFonts w:hint="eastAsia" w:ascii="宋体" w:hAnsi="宋体" w:cs="宋体"/>
          <w:b/>
          <w:bCs/>
          <w:kern w:val="0"/>
          <w:sz w:val="32"/>
          <w:szCs w:val="32"/>
        </w:rPr>
      </w:pPr>
      <w:r>
        <w:rPr>
          <w:rFonts w:hint="eastAsia" w:ascii="宋体" w:hAnsi="宋体" w:cs="宋体"/>
          <w:b/>
          <w:bCs/>
          <w:kern w:val="0"/>
          <w:sz w:val="32"/>
          <w:szCs w:val="32"/>
        </w:rPr>
        <w:t>日期：    年     月   日</w:t>
      </w:r>
    </w:p>
    <w:p w14:paraId="3FFF292F">
      <w:pPr>
        <w:rPr>
          <w:rFonts w:hint="eastAsia" w:ascii="宋体" w:hAnsi="宋体" w:cs="宋体"/>
        </w:rPr>
      </w:pPr>
    </w:p>
    <w:p w14:paraId="3ADBC472">
      <w:pPr>
        <w:rPr>
          <w:rFonts w:hint="eastAsia" w:ascii="宋体" w:hAnsi="宋体" w:cs="宋体"/>
        </w:rPr>
      </w:pPr>
    </w:p>
    <w:p w14:paraId="1C0C111F">
      <w:pPr>
        <w:jc w:val="center"/>
        <w:rPr>
          <w:rFonts w:hint="eastAsia" w:ascii="宋体" w:hAnsi="宋体" w:cs="宋体"/>
          <w:sz w:val="32"/>
          <w:szCs w:val="40"/>
        </w:rPr>
      </w:pPr>
    </w:p>
    <w:p w14:paraId="7BB53EBA">
      <w:pPr>
        <w:jc w:val="center"/>
        <w:rPr>
          <w:rFonts w:hint="eastAsia" w:ascii="宋体" w:hAnsi="宋体" w:cs="宋体"/>
          <w:sz w:val="32"/>
          <w:szCs w:val="40"/>
        </w:rPr>
      </w:pPr>
    </w:p>
    <w:p w14:paraId="25521E5F">
      <w:pPr>
        <w:jc w:val="center"/>
        <w:rPr>
          <w:rFonts w:hint="eastAsia" w:ascii="宋体" w:hAnsi="宋体" w:cs="宋体"/>
          <w:b/>
          <w:bCs/>
          <w:sz w:val="32"/>
          <w:szCs w:val="40"/>
        </w:rPr>
      </w:pPr>
      <w:r>
        <w:rPr>
          <w:rFonts w:hint="eastAsia" w:ascii="宋体" w:hAnsi="宋体" w:cs="宋体"/>
          <w:b/>
          <w:bCs/>
          <w:sz w:val="32"/>
          <w:szCs w:val="40"/>
        </w:rPr>
        <w:t>淳化县胡家庙中心小学信息化设备购置项目采购合同</w:t>
      </w:r>
    </w:p>
    <w:p w14:paraId="5A63E2CD">
      <w:pPr>
        <w:pStyle w:val="10"/>
        <w:ind w:firstLine="480"/>
        <w:rPr>
          <w:rFonts w:hint="eastAsia" w:ascii="宋体" w:hAnsi="宋体"/>
        </w:rPr>
      </w:pPr>
    </w:p>
    <w:p w14:paraId="4500A678">
      <w:pPr>
        <w:pStyle w:val="10"/>
        <w:spacing w:line="360" w:lineRule="auto"/>
        <w:ind w:firstLine="480"/>
        <w:rPr>
          <w:rFonts w:hint="eastAsia" w:ascii="宋体" w:hAnsi="宋体" w:eastAsia="宋体"/>
          <w:lang w:eastAsia="zh-CN"/>
        </w:rPr>
      </w:pPr>
      <w:r>
        <w:rPr>
          <w:rFonts w:hint="eastAsia" w:ascii="宋体" w:hAnsi="宋体"/>
        </w:rPr>
        <w:t>甲方：</w:t>
      </w:r>
    </w:p>
    <w:p w14:paraId="44FF14D2">
      <w:pPr>
        <w:pStyle w:val="10"/>
        <w:spacing w:line="360" w:lineRule="auto"/>
        <w:ind w:firstLine="480"/>
        <w:rPr>
          <w:rFonts w:hint="eastAsia" w:ascii="宋体" w:hAnsi="宋体"/>
        </w:rPr>
      </w:pPr>
      <w:r>
        <w:rPr>
          <w:rFonts w:hint="eastAsia" w:ascii="宋体" w:hAnsi="宋体"/>
        </w:rPr>
        <w:t>乙方：</w:t>
      </w:r>
    </w:p>
    <w:p w14:paraId="08CEA438">
      <w:pPr>
        <w:widowControl/>
        <w:spacing w:line="360" w:lineRule="auto"/>
        <w:ind w:firstLine="480" w:firstLineChars="200"/>
        <w:rPr>
          <w:rFonts w:hint="eastAsia" w:ascii="宋体" w:hAnsi="宋体" w:cs="宋体"/>
          <w:sz w:val="24"/>
        </w:rPr>
      </w:pPr>
      <w:bookmarkStart w:id="7" w:name="_GoBack"/>
      <w:bookmarkEnd w:id="7"/>
      <w:r>
        <w:rPr>
          <w:rFonts w:hint="eastAsia" w:ascii="宋体" w:hAnsi="宋体" w:cs="宋体"/>
          <w:sz w:val="24"/>
        </w:rPr>
        <w:t>本项目在淳化县财政局的监督管理下，严格按照政府采购程序组织竞争性谈判，确定乙方为</w:t>
      </w:r>
      <w:r>
        <w:rPr>
          <w:rFonts w:hint="eastAsia" w:ascii="宋体" w:hAnsi="宋体" w:cs="宋体"/>
          <w:sz w:val="24"/>
          <w:u w:val="single"/>
        </w:rPr>
        <w:t>淳化县胡家庙中心小学信息化设备购置项目</w:t>
      </w:r>
      <w:r>
        <w:rPr>
          <w:rFonts w:hint="eastAsia" w:ascii="宋体" w:hAnsi="宋体" w:cs="宋体"/>
          <w:sz w:val="24"/>
        </w:rPr>
        <w:t>（项目编号：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lang w:val="en-US" w:eastAsia="zh-CN"/>
        </w:rPr>
        <w:t>成交供应商</w:t>
      </w:r>
      <w:r>
        <w:rPr>
          <w:rFonts w:hint="eastAsia" w:ascii="宋体" w:hAnsi="宋体" w:cs="宋体"/>
          <w:sz w:val="24"/>
        </w:rPr>
        <w:t>。现根据《中华人民共和国政府采购法》《中华人民共和国民法典》及本项目谈判文件、成交通知书的相关约定，甲乙双方经平等协商一致，达成如下合同条款：</w:t>
      </w:r>
    </w:p>
    <w:p w14:paraId="7A7EA958">
      <w:pPr>
        <w:spacing w:line="360" w:lineRule="auto"/>
        <w:rPr>
          <w:rFonts w:hint="eastAsia" w:ascii="宋体" w:hAnsi="宋体" w:cs="宋体"/>
          <w:sz w:val="24"/>
        </w:rPr>
      </w:pPr>
      <w:bookmarkStart w:id="0" w:name="_Toc217446107"/>
      <w:r>
        <w:rPr>
          <w:rFonts w:hint="eastAsia" w:ascii="宋体" w:hAnsi="宋体" w:cs="宋体"/>
          <w:sz w:val="24"/>
        </w:rPr>
        <w:t>一、合同货物</w:t>
      </w:r>
      <w:bookmarkEnd w:id="0"/>
    </w:p>
    <w:p w14:paraId="68338D3A">
      <w:pPr>
        <w:spacing w:line="360" w:lineRule="auto"/>
        <w:ind w:firstLine="482" w:firstLineChars="200"/>
        <w:rPr>
          <w:rFonts w:hint="eastAsia" w:ascii="宋体" w:hAnsi="宋体" w:cs="宋体"/>
          <w:b/>
          <w:bCs/>
          <w:sz w:val="24"/>
        </w:rPr>
      </w:pPr>
      <w:r>
        <w:rPr>
          <w:rFonts w:hint="eastAsia" w:ascii="宋体" w:hAnsi="宋体" w:cs="宋体"/>
          <w:b/>
          <w:bCs/>
          <w:sz w:val="24"/>
        </w:rPr>
        <w:t>1、产品技术规格、数量：</w:t>
      </w:r>
    </w:p>
    <w:tbl>
      <w:tblPr>
        <w:tblStyle w:val="8"/>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198"/>
        <w:gridCol w:w="993"/>
        <w:gridCol w:w="1559"/>
        <w:gridCol w:w="850"/>
        <w:gridCol w:w="993"/>
        <w:gridCol w:w="850"/>
        <w:gridCol w:w="1276"/>
        <w:gridCol w:w="1299"/>
      </w:tblGrid>
      <w:tr w14:paraId="74B2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700" w:type="dxa"/>
            <w:vAlign w:val="center"/>
          </w:tcPr>
          <w:p w14:paraId="1CBDD871">
            <w:pPr>
              <w:spacing w:line="360" w:lineRule="auto"/>
              <w:jc w:val="center"/>
              <w:rPr>
                <w:rFonts w:hint="eastAsia" w:ascii="宋体" w:hAnsi="宋体" w:cs="宋体"/>
                <w:sz w:val="24"/>
              </w:rPr>
            </w:pPr>
            <w:r>
              <w:rPr>
                <w:rFonts w:hint="eastAsia" w:ascii="宋体" w:hAnsi="宋体" w:cs="宋体"/>
                <w:sz w:val="24"/>
              </w:rPr>
              <w:t>序号</w:t>
            </w:r>
          </w:p>
        </w:tc>
        <w:tc>
          <w:tcPr>
            <w:tcW w:w="1198" w:type="dxa"/>
            <w:vAlign w:val="center"/>
          </w:tcPr>
          <w:p w14:paraId="3A252FE2">
            <w:pPr>
              <w:spacing w:line="360" w:lineRule="auto"/>
              <w:jc w:val="center"/>
              <w:rPr>
                <w:rFonts w:hint="eastAsia" w:ascii="宋体" w:hAnsi="宋体" w:cs="宋体"/>
                <w:sz w:val="24"/>
              </w:rPr>
            </w:pPr>
            <w:r>
              <w:rPr>
                <w:rFonts w:hint="eastAsia" w:ascii="宋体" w:hAnsi="宋体" w:cs="宋体"/>
                <w:sz w:val="24"/>
              </w:rPr>
              <w:t>产品</w:t>
            </w:r>
          </w:p>
          <w:p w14:paraId="3FAAB9DB">
            <w:pPr>
              <w:spacing w:line="360" w:lineRule="auto"/>
              <w:jc w:val="center"/>
              <w:rPr>
                <w:rFonts w:hint="eastAsia" w:ascii="宋体" w:hAnsi="宋体" w:cs="宋体"/>
                <w:sz w:val="24"/>
              </w:rPr>
            </w:pPr>
            <w:r>
              <w:rPr>
                <w:rFonts w:hint="eastAsia" w:ascii="宋体" w:hAnsi="宋体" w:cs="宋体"/>
                <w:sz w:val="24"/>
              </w:rPr>
              <w:t>名称</w:t>
            </w:r>
          </w:p>
        </w:tc>
        <w:tc>
          <w:tcPr>
            <w:tcW w:w="993" w:type="dxa"/>
            <w:vAlign w:val="center"/>
          </w:tcPr>
          <w:p w14:paraId="13A8EEB6">
            <w:pPr>
              <w:spacing w:line="360" w:lineRule="auto"/>
              <w:jc w:val="center"/>
              <w:rPr>
                <w:rFonts w:hint="eastAsia" w:ascii="宋体" w:hAnsi="宋体" w:cs="宋体"/>
                <w:sz w:val="24"/>
              </w:rPr>
            </w:pPr>
            <w:r>
              <w:rPr>
                <w:rFonts w:hint="eastAsia" w:ascii="宋体" w:hAnsi="宋体" w:cs="宋体"/>
                <w:sz w:val="24"/>
              </w:rPr>
              <w:t>品牌</w:t>
            </w:r>
          </w:p>
        </w:tc>
        <w:tc>
          <w:tcPr>
            <w:tcW w:w="1559" w:type="dxa"/>
            <w:vAlign w:val="center"/>
          </w:tcPr>
          <w:p w14:paraId="52DA8206">
            <w:pPr>
              <w:spacing w:line="360" w:lineRule="auto"/>
              <w:jc w:val="center"/>
              <w:rPr>
                <w:rFonts w:hint="eastAsia" w:ascii="宋体" w:hAnsi="宋体" w:cs="宋体"/>
                <w:sz w:val="24"/>
              </w:rPr>
            </w:pPr>
            <w:r>
              <w:rPr>
                <w:rFonts w:hint="eastAsia" w:ascii="宋体" w:hAnsi="宋体" w:cs="宋体"/>
                <w:sz w:val="24"/>
              </w:rPr>
              <w:t>规格型号</w:t>
            </w:r>
          </w:p>
        </w:tc>
        <w:tc>
          <w:tcPr>
            <w:tcW w:w="850" w:type="dxa"/>
            <w:vAlign w:val="center"/>
          </w:tcPr>
          <w:p w14:paraId="23BB0C14">
            <w:pPr>
              <w:spacing w:line="360" w:lineRule="auto"/>
              <w:jc w:val="center"/>
              <w:rPr>
                <w:rFonts w:hint="eastAsia" w:ascii="宋体" w:hAnsi="宋体" w:cs="宋体"/>
                <w:sz w:val="24"/>
              </w:rPr>
            </w:pPr>
            <w:r>
              <w:rPr>
                <w:rFonts w:hint="eastAsia" w:ascii="宋体" w:hAnsi="宋体" w:cs="宋体"/>
                <w:sz w:val="24"/>
              </w:rPr>
              <w:t>产地</w:t>
            </w:r>
          </w:p>
        </w:tc>
        <w:tc>
          <w:tcPr>
            <w:tcW w:w="993" w:type="dxa"/>
            <w:vAlign w:val="center"/>
          </w:tcPr>
          <w:p w14:paraId="59CB2452">
            <w:pPr>
              <w:spacing w:line="360" w:lineRule="auto"/>
              <w:jc w:val="center"/>
              <w:rPr>
                <w:rFonts w:hint="eastAsia" w:ascii="宋体" w:hAnsi="宋体" w:cs="宋体"/>
                <w:sz w:val="24"/>
              </w:rPr>
            </w:pPr>
            <w:r>
              <w:rPr>
                <w:rFonts w:hint="eastAsia" w:ascii="宋体" w:hAnsi="宋体" w:cs="宋体"/>
                <w:sz w:val="24"/>
              </w:rPr>
              <w:t>单位</w:t>
            </w:r>
          </w:p>
        </w:tc>
        <w:tc>
          <w:tcPr>
            <w:tcW w:w="850" w:type="dxa"/>
            <w:vAlign w:val="center"/>
          </w:tcPr>
          <w:p w14:paraId="613D3B73">
            <w:pPr>
              <w:spacing w:line="360" w:lineRule="auto"/>
              <w:jc w:val="center"/>
              <w:rPr>
                <w:rFonts w:hint="eastAsia" w:ascii="宋体" w:hAnsi="宋体" w:cs="宋体"/>
                <w:sz w:val="24"/>
              </w:rPr>
            </w:pPr>
            <w:r>
              <w:rPr>
                <w:rFonts w:hint="eastAsia" w:ascii="宋体" w:hAnsi="宋体" w:cs="宋体"/>
                <w:sz w:val="24"/>
              </w:rPr>
              <w:t>数量</w:t>
            </w:r>
          </w:p>
        </w:tc>
        <w:tc>
          <w:tcPr>
            <w:tcW w:w="1276" w:type="dxa"/>
            <w:vAlign w:val="center"/>
          </w:tcPr>
          <w:p w14:paraId="051E8692">
            <w:pPr>
              <w:spacing w:line="360" w:lineRule="auto"/>
              <w:ind w:firstLine="240" w:firstLineChars="100"/>
              <w:rPr>
                <w:rFonts w:hint="eastAsia" w:ascii="宋体" w:hAnsi="宋体" w:cs="宋体"/>
                <w:sz w:val="24"/>
              </w:rPr>
            </w:pPr>
            <w:r>
              <w:rPr>
                <w:rFonts w:hint="eastAsia" w:ascii="宋体" w:hAnsi="宋体" w:cs="宋体"/>
                <w:sz w:val="24"/>
              </w:rPr>
              <w:t>单价</w:t>
            </w:r>
          </w:p>
          <w:p w14:paraId="7F1D2FB4">
            <w:pPr>
              <w:spacing w:line="360" w:lineRule="auto"/>
              <w:rPr>
                <w:rFonts w:hint="eastAsia" w:ascii="宋体" w:hAnsi="宋体" w:cs="宋体"/>
                <w:sz w:val="24"/>
              </w:rPr>
            </w:pPr>
            <w:r>
              <w:rPr>
                <w:rFonts w:hint="eastAsia" w:ascii="宋体" w:hAnsi="宋体" w:cs="宋体"/>
                <w:sz w:val="24"/>
              </w:rPr>
              <w:t>（万元）</w:t>
            </w:r>
          </w:p>
        </w:tc>
        <w:tc>
          <w:tcPr>
            <w:tcW w:w="1299" w:type="dxa"/>
            <w:vAlign w:val="center"/>
          </w:tcPr>
          <w:p w14:paraId="1DBC1417">
            <w:pPr>
              <w:spacing w:line="360" w:lineRule="auto"/>
              <w:jc w:val="center"/>
              <w:rPr>
                <w:rFonts w:hint="eastAsia" w:ascii="宋体" w:hAnsi="宋体" w:cs="宋体"/>
                <w:sz w:val="24"/>
              </w:rPr>
            </w:pPr>
            <w:r>
              <w:rPr>
                <w:rFonts w:hint="eastAsia" w:ascii="宋体" w:hAnsi="宋体" w:cs="宋体"/>
                <w:sz w:val="24"/>
              </w:rPr>
              <w:t>合计</w:t>
            </w:r>
          </w:p>
          <w:p w14:paraId="535B6808">
            <w:pPr>
              <w:spacing w:line="360" w:lineRule="auto"/>
              <w:rPr>
                <w:rFonts w:hint="eastAsia" w:ascii="宋体" w:hAnsi="宋体" w:cs="宋体"/>
                <w:sz w:val="24"/>
              </w:rPr>
            </w:pPr>
            <w:r>
              <w:rPr>
                <w:rFonts w:hint="eastAsia" w:ascii="宋体" w:hAnsi="宋体" w:cs="宋体"/>
                <w:sz w:val="24"/>
              </w:rPr>
              <w:t>（万元）</w:t>
            </w:r>
          </w:p>
        </w:tc>
      </w:tr>
      <w:tr w14:paraId="3E06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00" w:type="dxa"/>
            <w:vAlign w:val="center"/>
          </w:tcPr>
          <w:p w14:paraId="0E0DF8BD">
            <w:pPr>
              <w:spacing w:line="360" w:lineRule="auto"/>
              <w:jc w:val="center"/>
              <w:rPr>
                <w:rFonts w:hint="eastAsia" w:ascii="宋体" w:hAnsi="宋体" w:cs="宋体"/>
                <w:sz w:val="24"/>
              </w:rPr>
            </w:pPr>
          </w:p>
        </w:tc>
        <w:tc>
          <w:tcPr>
            <w:tcW w:w="1198" w:type="dxa"/>
            <w:vAlign w:val="center"/>
          </w:tcPr>
          <w:p w14:paraId="490C2FF8">
            <w:pPr>
              <w:spacing w:line="360" w:lineRule="auto"/>
              <w:jc w:val="center"/>
              <w:rPr>
                <w:rFonts w:hint="eastAsia" w:ascii="宋体" w:hAnsi="宋体" w:cs="宋体"/>
                <w:sz w:val="24"/>
              </w:rPr>
            </w:pPr>
          </w:p>
        </w:tc>
        <w:tc>
          <w:tcPr>
            <w:tcW w:w="993" w:type="dxa"/>
            <w:vAlign w:val="center"/>
          </w:tcPr>
          <w:p w14:paraId="7399179B">
            <w:pPr>
              <w:spacing w:line="360" w:lineRule="auto"/>
              <w:jc w:val="center"/>
              <w:rPr>
                <w:rFonts w:hint="eastAsia" w:ascii="宋体" w:hAnsi="宋体" w:cs="宋体"/>
                <w:sz w:val="24"/>
              </w:rPr>
            </w:pPr>
          </w:p>
        </w:tc>
        <w:tc>
          <w:tcPr>
            <w:tcW w:w="1559" w:type="dxa"/>
            <w:vAlign w:val="center"/>
          </w:tcPr>
          <w:p w14:paraId="532B7F55">
            <w:pPr>
              <w:spacing w:line="360" w:lineRule="auto"/>
              <w:jc w:val="center"/>
              <w:rPr>
                <w:rFonts w:hint="eastAsia" w:ascii="宋体" w:hAnsi="宋体" w:cs="宋体"/>
                <w:sz w:val="24"/>
              </w:rPr>
            </w:pPr>
          </w:p>
        </w:tc>
        <w:tc>
          <w:tcPr>
            <w:tcW w:w="850" w:type="dxa"/>
            <w:vAlign w:val="center"/>
          </w:tcPr>
          <w:p w14:paraId="46C0BA9E">
            <w:pPr>
              <w:pStyle w:val="7"/>
              <w:spacing w:line="360" w:lineRule="auto"/>
              <w:rPr>
                <w:rFonts w:hint="eastAsia" w:hAnsi="宋体" w:cs="宋体"/>
                <w:sz w:val="24"/>
                <w:szCs w:val="24"/>
              </w:rPr>
            </w:pPr>
          </w:p>
        </w:tc>
        <w:tc>
          <w:tcPr>
            <w:tcW w:w="993" w:type="dxa"/>
            <w:vAlign w:val="center"/>
          </w:tcPr>
          <w:p w14:paraId="6AC417F6">
            <w:pPr>
              <w:pStyle w:val="7"/>
              <w:spacing w:line="360" w:lineRule="auto"/>
              <w:rPr>
                <w:rFonts w:hint="eastAsia" w:hAnsi="宋体" w:cs="宋体"/>
                <w:sz w:val="24"/>
                <w:szCs w:val="24"/>
              </w:rPr>
            </w:pPr>
          </w:p>
        </w:tc>
        <w:tc>
          <w:tcPr>
            <w:tcW w:w="850" w:type="dxa"/>
            <w:vAlign w:val="center"/>
          </w:tcPr>
          <w:p w14:paraId="7FD82D07">
            <w:pPr>
              <w:pStyle w:val="7"/>
              <w:spacing w:line="360" w:lineRule="auto"/>
              <w:rPr>
                <w:rFonts w:hint="eastAsia" w:hAnsi="宋体" w:cs="宋体"/>
                <w:sz w:val="24"/>
                <w:szCs w:val="24"/>
              </w:rPr>
            </w:pPr>
          </w:p>
        </w:tc>
        <w:tc>
          <w:tcPr>
            <w:tcW w:w="1276" w:type="dxa"/>
            <w:vAlign w:val="center"/>
          </w:tcPr>
          <w:p w14:paraId="23445EA1">
            <w:pPr>
              <w:pStyle w:val="7"/>
              <w:spacing w:line="360" w:lineRule="auto"/>
              <w:rPr>
                <w:rFonts w:hint="eastAsia" w:hAnsi="宋体" w:cs="宋体"/>
                <w:b/>
                <w:bCs/>
                <w:sz w:val="24"/>
                <w:szCs w:val="24"/>
              </w:rPr>
            </w:pPr>
          </w:p>
        </w:tc>
        <w:tc>
          <w:tcPr>
            <w:tcW w:w="1299" w:type="dxa"/>
            <w:vAlign w:val="center"/>
          </w:tcPr>
          <w:p w14:paraId="10EF0E59">
            <w:pPr>
              <w:pStyle w:val="7"/>
              <w:spacing w:line="360" w:lineRule="auto"/>
              <w:rPr>
                <w:rFonts w:hint="eastAsia" w:hAnsi="宋体" w:cs="宋体"/>
                <w:spacing w:val="-6"/>
                <w:sz w:val="24"/>
                <w:szCs w:val="24"/>
              </w:rPr>
            </w:pPr>
          </w:p>
        </w:tc>
      </w:tr>
      <w:tr w14:paraId="207C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00" w:type="dxa"/>
            <w:vAlign w:val="center"/>
          </w:tcPr>
          <w:p w14:paraId="0D1BAD12">
            <w:pPr>
              <w:spacing w:line="360" w:lineRule="auto"/>
              <w:jc w:val="center"/>
              <w:rPr>
                <w:rFonts w:hint="eastAsia" w:ascii="宋体" w:hAnsi="宋体" w:cs="宋体"/>
                <w:sz w:val="24"/>
              </w:rPr>
            </w:pPr>
          </w:p>
        </w:tc>
        <w:tc>
          <w:tcPr>
            <w:tcW w:w="1198" w:type="dxa"/>
            <w:vAlign w:val="center"/>
          </w:tcPr>
          <w:p w14:paraId="79CB4C93">
            <w:pPr>
              <w:spacing w:line="360" w:lineRule="auto"/>
              <w:jc w:val="center"/>
              <w:rPr>
                <w:rFonts w:hint="eastAsia" w:ascii="宋体" w:hAnsi="宋体" w:cs="宋体"/>
                <w:sz w:val="24"/>
              </w:rPr>
            </w:pPr>
          </w:p>
        </w:tc>
        <w:tc>
          <w:tcPr>
            <w:tcW w:w="993" w:type="dxa"/>
            <w:vAlign w:val="center"/>
          </w:tcPr>
          <w:p w14:paraId="074596B9">
            <w:pPr>
              <w:spacing w:line="360" w:lineRule="auto"/>
              <w:jc w:val="center"/>
              <w:rPr>
                <w:rFonts w:hint="eastAsia" w:ascii="宋体" w:hAnsi="宋体" w:cs="宋体"/>
                <w:sz w:val="24"/>
              </w:rPr>
            </w:pPr>
          </w:p>
        </w:tc>
        <w:tc>
          <w:tcPr>
            <w:tcW w:w="1559" w:type="dxa"/>
            <w:vAlign w:val="center"/>
          </w:tcPr>
          <w:p w14:paraId="13B3D94D">
            <w:pPr>
              <w:spacing w:line="360" w:lineRule="auto"/>
              <w:jc w:val="center"/>
              <w:rPr>
                <w:rFonts w:hint="eastAsia" w:ascii="宋体" w:hAnsi="宋体" w:cs="宋体"/>
                <w:sz w:val="24"/>
              </w:rPr>
            </w:pPr>
          </w:p>
        </w:tc>
        <w:tc>
          <w:tcPr>
            <w:tcW w:w="850" w:type="dxa"/>
            <w:vAlign w:val="center"/>
          </w:tcPr>
          <w:p w14:paraId="75A42B3F">
            <w:pPr>
              <w:pStyle w:val="7"/>
              <w:spacing w:line="360" w:lineRule="auto"/>
              <w:rPr>
                <w:rFonts w:hint="eastAsia" w:hAnsi="宋体" w:cs="宋体"/>
                <w:sz w:val="24"/>
                <w:szCs w:val="24"/>
              </w:rPr>
            </w:pPr>
          </w:p>
        </w:tc>
        <w:tc>
          <w:tcPr>
            <w:tcW w:w="993" w:type="dxa"/>
            <w:vAlign w:val="center"/>
          </w:tcPr>
          <w:p w14:paraId="361C0CA5">
            <w:pPr>
              <w:pStyle w:val="7"/>
              <w:spacing w:line="360" w:lineRule="auto"/>
              <w:rPr>
                <w:rFonts w:hint="eastAsia" w:hAnsi="宋体" w:cs="宋体"/>
                <w:sz w:val="24"/>
                <w:szCs w:val="24"/>
              </w:rPr>
            </w:pPr>
          </w:p>
        </w:tc>
        <w:tc>
          <w:tcPr>
            <w:tcW w:w="850" w:type="dxa"/>
            <w:vAlign w:val="center"/>
          </w:tcPr>
          <w:p w14:paraId="6D1DDA0C">
            <w:pPr>
              <w:pStyle w:val="7"/>
              <w:spacing w:line="360" w:lineRule="auto"/>
              <w:rPr>
                <w:rFonts w:hint="eastAsia" w:hAnsi="宋体" w:cs="宋体"/>
                <w:sz w:val="24"/>
                <w:szCs w:val="24"/>
              </w:rPr>
            </w:pPr>
          </w:p>
        </w:tc>
        <w:tc>
          <w:tcPr>
            <w:tcW w:w="1276" w:type="dxa"/>
            <w:vAlign w:val="center"/>
          </w:tcPr>
          <w:p w14:paraId="2D4302D6">
            <w:pPr>
              <w:pStyle w:val="7"/>
              <w:spacing w:line="360" w:lineRule="auto"/>
              <w:rPr>
                <w:rFonts w:hint="eastAsia" w:hAnsi="宋体" w:cs="宋体"/>
                <w:b/>
                <w:bCs/>
                <w:sz w:val="24"/>
                <w:szCs w:val="24"/>
              </w:rPr>
            </w:pPr>
          </w:p>
        </w:tc>
        <w:tc>
          <w:tcPr>
            <w:tcW w:w="1299" w:type="dxa"/>
            <w:vAlign w:val="center"/>
          </w:tcPr>
          <w:p w14:paraId="7ED0849C">
            <w:pPr>
              <w:pStyle w:val="7"/>
              <w:spacing w:line="360" w:lineRule="auto"/>
              <w:rPr>
                <w:rFonts w:hint="eastAsia" w:hAnsi="宋体" w:cs="宋体"/>
                <w:spacing w:val="-6"/>
                <w:sz w:val="24"/>
                <w:szCs w:val="24"/>
              </w:rPr>
            </w:pPr>
          </w:p>
        </w:tc>
      </w:tr>
      <w:tr w14:paraId="76B7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00" w:type="dxa"/>
            <w:vAlign w:val="center"/>
          </w:tcPr>
          <w:p w14:paraId="5C0A901E">
            <w:pPr>
              <w:spacing w:line="360" w:lineRule="auto"/>
              <w:jc w:val="center"/>
              <w:rPr>
                <w:rFonts w:hint="eastAsia" w:ascii="宋体" w:hAnsi="宋体" w:cs="宋体"/>
                <w:sz w:val="24"/>
              </w:rPr>
            </w:pPr>
          </w:p>
        </w:tc>
        <w:tc>
          <w:tcPr>
            <w:tcW w:w="1198" w:type="dxa"/>
            <w:vAlign w:val="center"/>
          </w:tcPr>
          <w:p w14:paraId="1C47C609">
            <w:pPr>
              <w:spacing w:line="360" w:lineRule="auto"/>
              <w:jc w:val="center"/>
              <w:rPr>
                <w:rFonts w:hint="eastAsia" w:ascii="宋体" w:hAnsi="宋体" w:cs="宋体"/>
                <w:sz w:val="24"/>
              </w:rPr>
            </w:pPr>
          </w:p>
        </w:tc>
        <w:tc>
          <w:tcPr>
            <w:tcW w:w="993" w:type="dxa"/>
            <w:vAlign w:val="center"/>
          </w:tcPr>
          <w:p w14:paraId="088519C5">
            <w:pPr>
              <w:spacing w:line="360" w:lineRule="auto"/>
              <w:jc w:val="center"/>
              <w:rPr>
                <w:rFonts w:hint="eastAsia" w:ascii="宋体" w:hAnsi="宋体" w:cs="宋体"/>
                <w:sz w:val="24"/>
              </w:rPr>
            </w:pPr>
          </w:p>
        </w:tc>
        <w:tc>
          <w:tcPr>
            <w:tcW w:w="1559" w:type="dxa"/>
            <w:vAlign w:val="center"/>
          </w:tcPr>
          <w:p w14:paraId="753A4D84">
            <w:pPr>
              <w:spacing w:line="360" w:lineRule="auto"/>
              <w:jc w:val="center"/>
              <w:rPr>
                <w:rFonts w:hint="eastAsia" w:ascii="宋体" w:hAnsi="宋体" w:cs="宋体"/>
                <w:sz w:val="24"/>
              </w:rPr>
            </w:pPr>
          </w:p>
        </w:tc>
        <w:tc>
          <w:tcPr>
            <w:tcW w:w="850" w:type="dxa"/>
            <w:vAlign w:val="center"/>
          </w:tcPr>
          <w:p w14:paraId="58BCAE92">
            <w:pPr>
              <w:pStyle w:val="7"/>
              <w:spacing w:line="360" w:lineRule="auto"/>
              <w:rPr>
                <w:rFonts w:hint="eastAsia" w:hAnsi="宋体" w:cs="宋体"/>
                <w:sz w:val="24"/>
                <w:szCs w:val="24"/>
              </w:rPr>
            </w:pPr>
          </w:p>
        </w:tc>
        <w:tc>
          <w:tcPr>
            <w:tcW w:w="993" w:type="dxa"/>
            <w:vAlign w:val="center"/>
          </w:tcPr>
          <w:p w14:paraId="59820D59">
            <w:pPr>
              <w:pStyle w:val="7"/>
              <w:spacing w:line="360" w:lineRule="auto"/>
              <w:rPr>
                <w:rFonts w:hint="eastAsia" w:hAnsi="宋体" w:cs="宋体"/>
                <w:sz w:val="24"/>
                <w:szCs w:val="24"/>
              </w:rPr>
            </w:pPr>
          </w:p>
        </w:tc>
        <w:tc>
          <w:tcPr>
            <w:tcW w:w="850" w:type="dxa"/>
            <w:vAlign w:val="center"/>
          </w:tcPr>
          <w:p w14:paraId="6D470844">
            <w:pPr>
              <w:pStyle w:val="7"/>
              <w:spacing w:line="360" w:lineRule="auto"/>
              <w:rPr>
                <w:rFonts w:hint="eastAsia" w:hAnsi="宋体" w:cs="宋体"/>
                <w:sz w:val="24"/>
                <w:szCs w:val="24"/>
              </w:rPr>
            </w:pPr>
          </w:p>
        </w:tc>
        <w:tc>
          <w:tcPr>
            <w:tcW w:w="1276" w:type="dxa"/>
            <w:vAlign w:val="center"/>
          </w:tcPr>
          <w:p w14:paraId="5914F8FC">
            <w:pPr>
              <w:pStyle w:val="7"/>
              <w:spacing w:line="360" w:lineRule="auto"/>
              <w:rPr>
                <w:rFonts w:hint="eastAsia" w:hAnsi="宋体" w:cs="宋体"/>
                <w:sz w:val="24"/>
                <w:szCs w:val="24"/>
              </w:rPr>
            </w:pPr>
          </w:p>
        </w:tc>
        <w:tc>
          <w:tcPr>
            <w:tcW w:w="1299" w:type="dxa"/>
            <w:vAlign w:val="center"/>
          </w:tcPr>
          <w:p w14:paraId="14A0C520">
            <w:pPr>
              <w:pStyle w:val="7"/>
              <w:spacing w:line="360" w:lineRule="auto"/>
              <w:rPr>
                <w:rFonts w:hint="eastAsia" w:hAnsi="宋体" w:cs="宋体"/>
                <w:spacing w:val="-6"/>
                <w:sz w:val="24"/>
                <w:szCs w:val="24"/>
              </w:rPr>
            </w:pPr>
          </w:p>
        </w:tc>
      </w:tr>
      <w:tr w14:paraId="2438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718" w:type="dxa"/>
            <w:gridSpan w:val="9"/>
            <w:vAlign w:val="center"/>
          </w:tcPr>
          <w:p w14:paraId="678CEBA4">
            <w:pPr>
              <w:pStyle w:val="7"/>
              <w:spacing w:line="360" w:lineRule="auto"/>
              <w:ind w:firstLine="616"/>
              <w:rPr>
                <w:rFonts w:hint="eastAsia" w:hAnsi="宋体" w:cs="宋体"/>
                <w:spacing w:val="-6"/>
                <w:sz w:val="24"/>
                <w:szCs w:val="24"/>
              </w:rPr>
            </w:pPr>
            <w:r>
              <w:rPr>
                <w:rFonts w:hint="eastAsia" w:hAnsi="宋体" w:cs="宋体"/>
                <w:spacing w:val="-6"/>
                <w:sz w:val="24"/>
                <w:szCs w:val="24"/>
              </w:rPr>
              <w:t>合同总价（人民币大写）：</w:t>
            </w:r>
            <w:r>
              <w:rPr>
                <w:rFonts w:hint="eastAsia" w:hAnsi="宋体" w:cs="宋体"/>
                <w:sz w:val="24"/>
                <w:szCs w:val="24"/>
              </w:rPr>
              <w:t xml:space="preserve">         元整 </w:t>
            </w:r>
            <w:r>
              <w:rPr>
                <w:rFonts w:hint="eastAsia" w:hAnsi="宋体" w:cs="宋体"/>
                <w:spacing w:val="-6"/>
                <w:sz w:val="24"/>
                <w:szCs w:val="24"/>
              </w:rPr>
              <w:t>（￥     万元）</w:t>
            </w:r>
          </w:p>
        </w:tc>
      </w:tr>
    </w:tbl>
    <w:p w14:paraId="3656C4E2">
      <w:pPr>
        <w:spacing w:line="360" w:lineRule="auto"/>
        <w:rPr>
          <w:rFonts w:hint="eastAsia" w:ascii="宋体" w:hAnsi="宋体" w:cs="宋体"/>
          <w:sz w:val="24"/>
        </w:rPr>
      </w:pPr>
      <w:bookmarkStart w:id="1" w:name="_Toc217446108"/>
      <w:r>
        <w:rPr>
          <w:rFonts w:hint="eastAsia" w:ascii="宋体" w:hAnsi="宋体" w:cs="宋体"/>
          <w:sz w:val="24"/>
        </w:rPr>
        <w:t>二、合同总价</w:t>
      </w:r>
      <w:bookmarkEnd w:id="1"/>
    </w:p>
    <w:p w14:paraId="39CBE1E7">
      <w:pPr>
        <w:pStyle w:val="5"/>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合同总价为人民币大写：</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元整</w:t>
      </w:r>
      <w:r>
        <w:rPr>
          <w:rFonts w:hint="eastAsia" w:ascii="宋体" w:hAnsi="宋体" w:eastAsia="宋体" w:cs="宋体"/>
          <w:sz w:val="24"/>
          <w:szCs w:val="24"/>
        </w:rPr>
        <w:t>，即RMB</w:t>
      </w:r>
      <w:r>
        <w:rPr>
          <w:rFonts w:ascii="Arial" w:hAnsi="Arial" w:eastAsia="宋体" w:cs="Arial"/>
          <w:sz w:val="24"/>
          <w:szCs w:val="24"/>
        </w:rPr>
        <w:t>¥</w:t>
      </w:r>
      <w:r>
        <w:rPr>
          <w:rFonts w:hint="eastAsia" w:ascii="宋体" w:hAnsi="宋体" w:eastAsia="宋体" w:cs="宋体"/>
          <w:sz w:val="24"/>
          <w:szCs w:val="24"/>
          <w:u w:val="single"/>
        </w:rPr>
        <w:t xml:space="preserve"> </w:t>
      </w:r>
      <w:r>
        <w:rPr>
          <w:rFonts w:hint="eastAsia" w:ascii="宋体" w:hAnsi="宋体" w:eastAsia="宋体" w:cs="宋体"/>
          <w:b/>
          <w:bCs/>
          <w:sz w:val="24"/>
          <w:szCs w:val="24"/>
          <w:u w:val="single"/>
        </w:rPr>
        <w:t xml:space="preserve">    </w:t>
      </w:r>
      <w:r>
        <w:rPr>
          <w:rFonts w:hint="eastAsia" w:ascii="宋体" w:hAnsi="宋体" w:eastAsia="宋体" w:cs="宋体"/>
          <w:sz w:val="24"/>
          <w:szCs w:val="24"/>
        </w:rPr>
        <w:t>万元；该合同总价</w:t>
      </w:r>
      <w:r>
        <w:rPr>
          <w:rFonts w:hint="eastAsia" w:ascii="宋体" w:hAnsi="宋体" w:eastAsia="宋体" w:cs="宋体"/>
          <w:color w:val="262626" w:themeColor="text1" w:themeTint="D9"/>
          <w:sz w:val="24"/>
          <w:szCs w:val="24"/>
          <w14:textFill>
            <w14:solidFill>
              <w14:schemeClr w14:val="tx1">
                <w14:lumMod w14:val="85000"/>
                <w14:lumOff w14:val="15000"/>
              </w14:schemeClr>
            </w14:solidFill>
          </w14:textFill>
        </w:rPr>
        <w:t>已包括投标人为完成本项目要求的全部费用。</w:t>
      </w:r>
    </w:p>
    <w:p w14:paraId="5DA61F8D">
      <w:pPr>
        <w:spacing w:line="360" w:lineRule="auto"/>
        <w:rPr>
          <w:rFonts w:hint="eastAsia" w:ascii="宋体" w:hAnsi="宋体" w:cs="宋体"/>
          <w:sz w:val="24"/>
        </w:rPr>
      </w:pPr>
      <w:bookmarkStart w:id="2" w:name="_Toc217446109"/>
      <w:r>
        <w:rPr>
          <w:rFonts w:hint="eastAsia" w:ascii="宋体" w:hAnsi="宋体" w:cs="宋体"/>
          <w:sz w:val="24"/>
        </w:rPr>
        <w:t>三、商务条款：</w:t>
      </w:r>
    </w:p>
    <w:p w14:paraId="49154CBF">
      <w:pPr>
        <w:spacing w:line="360" w:lineRule="auto"/>
        <w:ind w:firstLine="480"/>
        <w:rPr>
          <w:rFonts w:hint="eastAsia" w:ascii="宋体" w:hAnsi="宋体" w:cs="宋体"/>
          <w:sz w:val="24"/>
        </w:rPr>
      </w:pPr>
      <w:r>
        <w:rPr>
          <w:rFonts w:hint="eastAsia" w:ascii="宋体" w:hAnsi="宋体" w:cs="宋体"/>
          <w:sz w:val="24"/>
        </w:rPr>
        <w:t>1、</w:t>
      </w:r>
      <w:r>
        <w:rPr>
          <w:rFonts w:hint="eastAsia" w:ascii="宋体" w:hAnsi="宋体" w:cs="宋体"/>
          <w:b/>
          <w:bCs/>
          <w:sz w:val="24"/>
        </w:rPr>
        <w:t xml:space="preserve">交货期： </w:t>
      </w:r>
    </w:p>
    <w:p w14:paraId="512E2423">
      <w:pPr>
        <w:spacing w:line="360" w:lineRule="auto"/>
        <w:ind w:firstLine="480" w:firstLineChars="200"/>
        <w:rPr>
          <w:rFonts w:hint="eastAsia" w:ascii="宋体" w:hAnsi="宋体" w:cs="宋体"/>
          <w:b/>
          <w:bCs/>
          <w:sz w:val="24"/>
        </w:rPr>
      </w:pPr>
      <w:r>
        <w:rPr>
          <w:rFonts w:hint="eastAsia" w:ascii="宋体" w:hAnsi="宋体" w:cs="宋体"/>
          <w:sz w:val="24"/>
        </w:rPr>
        <w:t>2、</w:t>
      </w:r>
      <w:r>
        <w:rPr>
          <w:rFonts w:hint="eastAsia" w:ascii="宋体" w:hAnsi="宋体" w:cs="宋体"/>
          <w:b/>
          <w:bCs/>
          <w:sz w:val="24"/>
        </w:rPr>
        <w:t xml:space="preserve">交货地点: </w:t>
      </w:r>
    </w:p>
    <w:p w14:paraId="722D2A01">
      <w:pPr>
        <w:spacing w:line="360" w:lineRule="auto"/>
        <w:ind w:firstLine="480"/>
        <w:rPr>
          <w:rFonts w:hint="eastAsia" w:ascii="宋体" w:hAnsi="宋体" w:cs="宋体"/>
          <w:sz w:val="24"/>
        </w:rPr>
      </w:pPr>
      <w:r>
        <w:rPr>
          <w:rFonts w:hint="eastAsia" w:ascii="宋体" w:hAnsi="宋体" w:cs="宋体"/>
          <w:sz w:val="24"/>
        </w:rPr>
        <w:t>3、</w:t>
      </w:r>
      <w:r>
        <w:rPr>
          <w:rFonts w:hint="eastAsia" w:ascii="宋体" w:hAnsi="宋体" w:cs="宋体"/>
          <w:b/>
          <w:bCs/>
          <w:sz w:val="24"/>
        </w:rPr>
        <w:t>付款方式：</w:t>
      </w:r>
    </w:p>
    <w:p w14:paraId="49B159A8">
      <w:pPr>
        <w:spacing w:line="360" w:lineRule="auto"/>
        <w:rPr>
          <w:rFonts w:hint="eastAsia" w:ascii="宋体" w:hAnsi="宋体" w:cs="宋体"/>
          <w:sz w:val="24"/>
        </w:rPr>
      </w:pPr>
      <w:r>
        <w:rPr>
          <w:rFonts w:hint="eastAsia" w:ascii="宋体" w:hAnsi="宋体" w:cs="宋体"/>
          <w:sz w:val="24"/>
        </w:rPr>
        <w:t>四、质量</w:t>
      </w:r>
      <w:bookmarkEnd w:id="2"/>
      <w:r>
        <w:rPr>
          <w:rFonts w:hint="eastAsia" w:ascii="宋体" w:hAnsi="宋体" w:cs="宋体"/>
          <w:sz w:val="24"/>
        </w:rPr>
        <w:t>保证</w:t>
      </w:r>
    </w:p>
    <w:p w14:paraId="33C94E16">
      <w:pPr>
        <w:spacing w:line="360" w:lineRule="auto"/>
        <w:ind w:firstLine="480" w:firstLineChars="200"/>
        <w:rPr>
          <w:rFonts w:hint="eastAsia" w:ascii="宋体" w:hAnsi="宋体" w:eastAsia="宋体" w:cs="宋体"/>
          <w:sz w:val="24"/>
          <w:lang w:eastAsia="zh-CN"/>
        </w:rPr>
      </w:pPr>
      <w:bookmarkStart w:id="3" w:name="_Toc217446110"/>
      <w:r>
        <w:rPr>
          <w:rFonts w:hint="eastAsia" w:ascii="宋体" w:hAnsi="宋体" w:cs="宋体"/>
          <w:sz w:val="24"/>
        </w:rPr>
        <w:t>1、质量保修期为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none"/>
          <w:lang w:eastAsia="zh-CN"/>
        </w:rPr>
        <w:t>。</w:t>
      </w:r>
    </w:p>
    <w:p w14:paraId="4CC5637B">
      <w:pPr>
        <w:spacing w:line="360" w:lineRule="auto"/>
        <w:ind w:firstLine="480"/>
        <w:rPr>
          <w:rFonts w:hint="eastAsia" w:ascii="宋体" w:hAnsi="宋体" w:cs="宋体"/>
          <w:sz w:val="24"/>
        </w:rPr>
      </w:pPr>
      <w:r>
        <w:rPr>
          <w:rFonts w:hint="eastAsia" w:ascii="宋体" w:hAnsi="宋体" w:cs="宋体"/>
          <w:sz w:val="24"/>
        </w:rPr>
        <w:t>2、质量保证期内，乙方负责免费维修，承担包括设备的零配件及不能解决的故障需要返回制造厂维修时所发生的一切费用。质量保修期满，乙方负责设备的终身维修。甲方如需更换设备的零配件，乙方只应收取零配件的成本费，并负责更换。</w:t>
      </w:r>
    </w:p>
    <w:p w14:paraId="4B863615">
      <w:pPr>
        <w:spacing w:line="360" w:lineRule="auto"/>
        <w:ind w:firstLine="480"/>
        <w:rPr>
          <w:rFonts w:hint="eastAsia" w:ascii="宋体" w:hAnsi="宋体" w:cs="宋体"/>
          <w:sz w:val="24"/>
        </w:rPr>
      </w:pPr>
      <w:r>
        <w:rPr>
          <w:rFonts w:hint="eastAsia" w:ascii="宋体" w:hAnsi="宋体" w:cs="宋体"/>
          <w:sz w:val="24"/>
        </w:rPr>
        <w:t>3、包装：包装必须适应货物特性和交通运输要求，以及国家有关标准或企业标准或合同要求。乙方应承担于包装、防护措施不妥引起的所有损失的责任和费用。</w:t>
      </w:r>
    </w:p>
    <w:p w14:paraId="76D599A5">
      <w:pPr>
        <w:spacing w:line="360" w:lineRule="auto"/>
        <w:ind w:firstLine="480"/>
        <w:rPr>
          <w:rFonts w:hint="eastAsia" w:ascii="宋体" w:hAnsi="宋体" w:cs="宋体"/>
          <w:sz w:val="24"/>
        </w:rPr>
      </w:pPr>
      <w:r>
        <w:rPr>
          <w:rFonts w:hint="eastAsia" w:ascii="宋体" w:hAnsi="宋体" w:cs="宋体"/>
          <w:sz w:val="24"/>
        </w:rPr>
        <w:t>4、运输：乙方可根据完工期、运输条件自行选择运输方式（另有规定的除外），承担一切运输费用。</w:t>
      </w:r>
    </w:p>
    <w:p w14:paraId="7B743CDC">
      <w:pPr>
        <w:spacing w:line="360" w:lineRule="auto"/>
        <w:ind w:firstLine="480"/>
        <w:rPr>
          <w:rFonts w:hint="eastAsia" w:ascii="宋体" w:hAnsi="宋体" w:cs="宋体"/>
          <w:sz w:val="24"/>
        </w:rPr>
      </w:pPr>
      <w:r>
        <w:rPr>
          <w:rFonts w:hint="eastAsia" w:ascii="宋体" w:hAnsi="宋体" w:cs="宋体"/>
          <w:sz w:val="24"/>
        </w:rPr>
        <w:t>5、技术保障：乙方应随同货物提供相应的中文技术文件（包括产品合格证、装箱清单、操作手册、使用说明、检测报告、维护手册、服务指南等资料）,现场安装、调试、试运行技术保障服务。</w:t>
      </w:r>
    </w:p>
    <w:p w14:paraId="354FAFBF">
      <w:pPr>
        <w:spacing w:line="360" w:lineRule="auto"/>
        <w:ind w:firstLine="480"/>
        <w:rPr>
          <w:rFonts w:hint="eastAsia" w:ascii="宋体" w:hAnsi="宋体" w:cs="宋体"/>
          <w:sz w:val="24"/>
        </w:rPr>
      </w:pPr>
      <w:r>
        <w:rPr>
          <w:rFonts w:hint="eastAsia" w:ascii="宋体" w:hAnsi="宋体" w:cs="宋体"/>
          <w:sz w:val="24"/>
        </w:rPr>
        <w:t>6、人员培训：提供免费培训，人数、地点按采购人的要求约定。</w:t>
      </w:r>
    </w:p>
    <w:p w14:paraId="4D15F48C">
      <w:pPr>
        <w:spacing w:line="360" w:lineRule="auto"/>
        <w:ind w:firstLine="480"/>
        <w:rPr>
          <w:rFonts w:hint="eastAsia" w:ascii="宋体" w:hAnsi="宋体" w:cs="宋体"/>
          <w:sz w:val="24"/>
        </w:rPr>
      </w:pPr>
      <w:r>
        <w:rPr>
          <w:rFonts w:hint="eastAsia" w:ascii="宋体" w:hAnsi="宋体" w:cs="宋体"/>
          <w:sz w:val="24"/>
        </w:rPr>
        <w:t>7、采购项目执行内容需要调整时，经采购人同意后，可以对相应的原材料进行调整，并协商确定价格差额计算方法和负担办法。</w:t>
      </w:r>
    </w:p>
    <w:p w14:paraId="5E53879C">
      <w:pPr>
        <w:spacing w:line="360" w:lineRule="auto"/>
        <w:rPr>
          <w:rFonts w:hint="eastAsia" w:ascii="宋体" w:hAnsi="宋体" w:cs="宋体"/>
          <w:sz w:val="24"/>
        </w:rPr>
      </w:pPr>
      <w:r>
        <w:rPr>
          <w:rFonts w:hint="eastAsia" w:ascii="宋体" w:hAnsi="宋体" w:cs="宋体"/>
          <w:sz w:val="24"/>
        </w:rPr>
        <w:t>五、</w:t>
      </w:r>
      <w:bookmarkEnd w:id="3"/>
      <w:r>
        <w:rPr>
          <w:rFonts w:hint="eastAsia" w:ascii="宋体" w:hAnsi="宋体" w:cs="宋体"/>
          <w:sz w:val="24"/>
        </w:rPr>
        <w:t>售后服务要求</w:t>
      </w:r>
    </w:p>
    <w:p w14:paraId="458642F7">
      <w:pPr>
        <w:spacing w:line="360" w:lineRule="auto"/>
        <w:ind w:firstLine="480" w:firstLineChars="200"/>
        <w:rPr>
          <w:rFonts w:hint="eastAsia" w:ascii="宋体" w:hAnsi="宋体" w:cs="宋体"/>
          <w:sz w:val="24"/>
        </w:rPr>
      </w:pPr>
      <w:r>
        <w:rPr>
          <w:rFonts w:hint="eastAsia" w:ascii="宋体" w:hAnsi="宋体" w:cs="宋体"/>
          <w:sz w:val="24"/>
        </w:rPr>
        <w:t>1、乙方保证提供的</w:t>
      </w:r>
      <w:bookmarkStart w:id="4" w:name="_Hlk27046681"/>
      <w:r>
        <w:rPr>
          <w:rFonts w:hint="eastAsia" w:ascii="宋体" w:hAnsi="宋体" w:cs="宋体"/>
          <w:sz w:val="24"/>
        </w:rPr>
        <w:t>产品</w:t>
      </w:r>
      <w:bookmarkEnd w:id="4"/>
      <w:r>
        <w:rPr>
          <w:rFonts w:hint="eastAsia" w:ascii="宋体" w:hAnsi="宋体" w:cs="宋体"/>
          <w:sz w:val="24"/>
        </w:rPr>
        <w:t>是通过正常渠道获得的、全新的、未使用过的合格产品；其有关技术、专利、检验、商务等均要符合中华人民共和国的有关法律、法规；乙方必须承担因所供产品而引起的全部法律责任。</w:t>
      </w:r>
    </w:p>
    <w:p w14:paraId="4AC3C8A9">
      <w:pPr>
        <w:spacing w:line="360" w:lineRule="auto"/>
        <w:ind w:firstLine="480"/>
        <w:rPr>
          <w:rFonts w:hint="eastAsia" w:ascii="宋体" w:hAnsi="宋体" w:cs="宋体"/>
          <w:sz w:val="24"/>
        </w:rPr>
      </w:pPr>
      <w:r>
        <w:rPr>
          <w:rFonts w:hint="eastAsia" w:ascii="宋体" w:hAnsi="宋体" w:cs="宋体"/>
          <w:sz w:val="24"/>
        </w:rPr>
        <w:t>2、乙方的责任包括从产品交付到整个项目（安装调试完毕）的交付使用，质量保证期内的免费维护和修理，质量保证期内的维护指导和维修等。</w:t>
      </w:r>
    </w:p>
    <w:p w14:paraId="53F5C772">
      <w:pPr>
        <w:spacing w:line="360" w:lineRule="auto"/>
        <w:ind w:firstLine="480" w:firstLineChars="200"/>
        <w:rPr>
          <w:rFonts w:hint="eastAsia" w:ascii="宋体" w:hAnsi="宋体" w:cs="宋体"/>
          <w:sz w:val="24"/>
        </w:rPr>
      </w:pPr>
      <w:r>
        <w:rPr>
          <w:rFonts w:hint="eastAsia" w:ascii="宋体" w:hAnsi="宋体" w:cs="宋体"/>
          <w:sz w:val="24"/>
        </w:rPr>
        <w:t>3、乙方应保证设备在进行安装、调试和使用等过程中损坏的或有缺陷的部件可方便地得到免费修理和免费更换。</w:t>
      </w:r>
    </w:p>
    <w:p w14:paraId="16F14844">
      <w:pPr>
        <w:spacing w:line="360" w:lineRule="auto"/>
        <w:ind w:firstLine="480"/>
        <w:rPr>
          <w:rFonts w:hint="eastAsia" w:ascii="宋体" w:hAnsi="宋体" w:cs="宋体"/>
          <w:sz w:val="24"/>
        </w:rPr>
      </w:pPr>
      <w:r>
        <w:rPr>
          <w:rFonts w:hint="eastAsia" w:ascii="宋体" w:hAnsi="宋体" w:cs="宋体"/>
          <w:sz w:val="24"/>
        </w:rPr>
        <w:t>4、乙方使用的原材料应提供清单，并在到货24小时内通知甲方代表检验核实（校方自行验收）。</w:t>
      </w:r>
    </w:p>
    <w:p w14:paraId="416E291A">
      <w:pPr>
        <w:spacing w:line="360" w:lineRule="auto"/>
        <w:ind w:firstLine="48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、在质保期内，如果发现货物的质量、规格、技术指标等存在与合同中任何一项不符，甲方应在最短时间内，以书面形式向乙方提出索赔。同时通告采购代理机构。</w:t>
      </w:r>
    </w:p>
    <w:p w14:paraId="3A2BA077">
      <w:pPr>
        <w:spacing w:line="360" w:lineRule="auto"/>
        <w:ind w:firstLine="48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、保修期内，损坏部件的修理费、往返运保费等均由乙方承担。保修期外，按照第四条质量保证第2小项执行。</w:t>
      </w:r>
    </w:p>
    <w:p w14:paraId="36B7BCCA">
      <w:pPr>
        <w:spacing w:line="360" w:lineRule="auto"/>
        <w:rPr>
          <w:rFonts w:hint="eastAsia" w:ascii="宋体" w:hAnsi="宋体" w:cs="宋体"/>
          <w:sz w:val="24"/>
        </w:rPr>
      </w:pPr>
      <w:r>
        <w:rPr>
          <w:rFonts w:hint="eastAsia" w:ascii="宋体" w:hAnsi="宋体" w:cs="宋体"/>
          <w:sz w:val="24"/>
        </w:rPr>
        <w:t>六、验收</w:t>
      </w:r>
    </w:p>
    <w:p w14:paraId="41D256C4">
      <w:pPr>
        <w:spacing w:line="360" w:lineRule="auto"/>
        <w:ind w:firstLine="480" w:firstLineChars="200"/>
        <w:rPr>
          <w:rFonts w:hint="eastAsia" w:ascii="宋体" w:hAnsi="宋体" w:cs="宋体"/>
          <w:sz w:val="24"/>
        </w:rPr>
      </w:pPr>
      <w:r>
        <w:rPr>
          <w:rFonts w:hint="eastAsia" w:ascii="宋体" w:hAnsi="宋体" w:cs="宋体"/>
          <w:sz w:val="24"/>
        </w:rPr>
        <w:t>通过检验的货物方可进行安装、调试、达到使用条件时由甲方负责组织验收；验收合格须交接项目实施的全部资料，并填写政府采购项目验收报告单。验收须以合同、招投标文件、澄清、及国家相应的标准、规范等为依据。</w:t>
      </w:r>
    </w:p>
    <w:p w14:paraId="3D577EAF">
      <w:pPr>
        <w:spacing w:line="360" w:lineRule="auto"/>
        <w:rPr>
          <w:rFonts w:hint="eastAsia" w:ascii="宋体" w:hAnsi="宋体" w:cs="宋体"/>
          <w:sz w:val="24"/>
        </w:rPr>
      </w:pPr>
      <w:bookmarkStart w:id="5" w:name="_Toc217446114"/>
      <w:r>
        <w:rPr>
          <w:rFonts w:hint="eastAsia" w:ascii="宋体" w:hAnsi="宋体" w:cs="宋体"/>
          <w:sz w:val="24"/>
        </w:rPr>
        <w:t>七、争议解决办法</w:t>
      </w:r>
      <w:bookmarkEnd w:id="5"/>
    </w:p>
    <w:p w14:paraId="3F8B8525">
      <w:pPr>
        <w:pStyle w:val="10"/>
        <w:spacing w:line="360" w:lineRule="auto"/>
        <w:ind w:firstLine="480"/>
        <w:rPr>
          <w:rFonts w:hint="eastAsia" w:ascii="宋体" w:hAnsi="宋体"/>
        </w:rPr>
      </w:pPr>
      <w:r>
        <w:rPr>
          <w:rFonts w:hint="eastAsia" w:ascii="宋体" w:hAnsi="宋体"/>
        </w:rPr>
        <w:t>1.协商与调解</w:t>
      </w:r>
    </w:p>
    <w:p w14:paraId="1168B47E">
      <w:pPr>
        <w:pStyle w:val="10"/>
        <w:spacing w:line="360" w:lineRule="auto"/>
        <w:ind w:firstLine="480"/>
        <w:rPr>
          <w:rFonts w:hint="eastAsia" w:ascii="宋体" w:hAnsi="宋体"/>
        </w:rPr>
      </w:pPr>
      <w:r>
        <w:rPr>
          <w:rFonts w:hint="eastAsia" w:ascii="宋体" w:hAnsi="宋体"/>
        </w:rPr>
        <w:t>本合同履行过程中发生争议，双方应本着公平合理的原则，首先通过友好协商解决。协商不成的，任何一方均可提请项目所在地教育主管部门或市场监督管理部门进行行政调解。</w:t>
      </w:r>
    </w:p>
    <w:p w14:paraId="387D2029">
      <w:pPr>
        <w:pStyle w:val="10"/>
        <w:numPr>
          <w:ilvl w:val="0"/>
          <w:numId w:val="0"/>
        </w:numPr>
        <w:spacing w:line="360" w:lineRule="auto"/>
        <w:ind w:firstLine="480" w:firstLineChars="200"/>
        <w:rPr>
          <w:rFonts w:hint="eastAsia" w:ascii="宋体" w:hAnsi="宋体"/>
        </w:rPr>
      </w:pPr>
      <w:r>
        <w:rPr>
          <w:rFonts w:hint="eastAsia" w:ascii="宋体" w:hAnsi="宋体" w:eastAsia="宋体" w:cs="宋体"/>
          <w:kern w:val="2"/>
          <w:sz w:val="24"/>
          <w:szCs w:val="24"/>
          <w:lang w:val="en-US" w:eastAsia="zh-CN" w:bidi="ar-SA"/>
        </w:rPr>
        <w:t>2.</w:t>
      </w:r>
      <w:r>
        <w:rPr>
          <w:rFonts w:hint="eastAsia" w:ascii="宋体" w:hAnsi="宋体"/>
        </w:rPr>
        <w:t>仲裁或诉讼（二选一，推荐诉讼）</w:t>
      </w:r>
    </w:p>
    <w:p w14:paraId="5767C047">
      <w:pPr>
        <w:pStyle w:val="10"/>
        <w:numPr>
          <w:ilvl w:val="0"/>
          <w:numId w:val="0"/>
        </w:numPr>
        <w:spacing w:line="360" w:lineRule="auto"/>
        <w:ind w:firstLine="480" w:firstLineChars="200"/>
        <w:rPr>
          <w:rFonts w:hint="eastAsia" w:ascii="宋体" w:hAnsi="宋体"/>
        </w:rPr>
      </w:pPr>
      <w:r>
        <w:rPr>
          <w:rFonts w:hint="eastAsia" w:ascii="宋体" w:hAnsi="宋体"/>
        </w:rPr>
        <w:t>□方案一（推荐）：向甲方所在地人民法院起诉协商和调解不成的，任何一方均有权向项目所在地淳化县人民法院提起诉讼。</w:t>
      </w:r>
    </w:p>
    <w:p w14:paraId="1B3F9B56">
      <w:pPr>
        <w:pStyle w:val="10"/>
        <w:numPr>
          <w:ilvl w:val="0"/>
          <w:numId w:val="0"/>
        </w:numPr>
        <w:spacing w:line="360" w:lineRule="auto"/>
        <w:ind w:firstLine="480" w:firstLineChars="200"/>
        <w:rPr>
          <w:rFonts w:hint="eastAsia" w:ascii="宋体" w:hAnsi="宋体"/>
        </w:rPr>
      </w:pPr>
      <w:r>
        <w:rPr>
          <w:rFonts w:hint="eastAsia" w:ascii="宋体" w:hAnsi="宋体"/>
        </w:rPr>
        <w:t>□方案二：提交仲裁委员会仲裁协商和调解不成的，任何一方均有权将争议提交咸阳仲裁委员会，按照该会现行仲裁规则进行仲裁。仲裁裁决是终局的，对双方均有约束力。</w:t>
      </w:r>
    </w:p>
    <w:p w14:paraId="3B575998">
      <w:pPr>
        <w:pStyle w:val="10"/>
        <w:spacing w:line="360" w:lineRule="auto"/>
        <w:ind w:firstLine="480"/>
        <w:rPr>
          <w:rFonts w:hint="eastAsia" w:ascii="宋体" w:hAnsi="宋体"/>
        </w:rPr>
      </w:pPr>
      <w:bookmarkStart w:id="6" w:name="_Toc217446115"/>
      <w:r>
        <w:rPr>
          <w:rFonts w:hint="eastAsia" w:ascii="宋体" w:hAnsi="宋体"/>
        </w:rPr>
        <w:t>八、其他</w:t>
      </w:r>
      <w:bookmarkEnd w:id="6"/>
    </w:p>
    <w:p w14:paraId="2114DF6F">
      <w:pPr>
        <w:pStyle w:val="10"/>
        <w:spacing w:line="360" w:lineRule="auto"/>
        <w:ind w:firstLine="480"/>
        <w:rPr>
          <w:rFonts w:hint="eastAsia" w:ascii="宋体" w:hAnsi="宋体"/>
        </w:rPr>
      </w:pPr>
      <w:r>
        <w:rPr>
          <w:rFonts w:hint="eastAsia" w:ascii="宋体" w:hAnsi="宋体"/>
        </w:rPr>
        <w:t>1、如有未尽事宜，由双方依法订立补充合同。</w:t>
      </w:r>
    </w:p>
    <w:p w14:paraId="38CC562E">
      <w:pPr>
        <w:pStyle w:val="10"/>
        <w:spacing w:line="360" w:lineRule="auto"/>
        <w:ind w:firstLine="480"/>
        <w:rPr>
          <w:rFonts w:hint="eastAsia" w:ascii="宋体" w:hAnsi="宋体"/>
        </w:rPr>
      </w:pPr>
      <w:r>
        <w:rPr>
          <w:rFonts w:hint="eastAsia" w:ascii="宋体" w:hAnsi="宋体"/>
        </w:rPr>
        <w:t>2、本合同一式陆份，甲方、乙方、各执贰份，采购代理机构、政府采购管理部门各壹份。签字盖章后生效，合同执行完毕自动失效。（合同的服务承诺则长期有效）。</w:t>
      </w:r>
    </w:p>
    <w:p w14:paraId="7B45BF6C">
      <w:pPr>
        <w:spacing w:line="360" w:lineRule="auto"/>
        <w:rPr>
          <w:rFonts w:hint="eastAsia" w:ascii="宋体" w:hAnsi="宋体" w:cs="宋体"/>
          <w:sz w:val="24"/>
        </w:rPr>
      </w:pPr>
    </w:p>
    <w:p w14:paraId="7E1B8ABF">
      <w:pPr>
        <w:spacing w:line="360" w:lineRule="auto"/>
        <w:rPr>
          <w:rFonts w:hint="eastAsia" w:ascii="宋体" w:hAnsi="宋体" w:cs="宋体"/>
          <w:sz w:val="24"/>
        </w:rPr>
      </w:pPr>
    </w:p>
    <w:p w14:paraId="757912C5">
      <w:pPr>
        <w:spacing w:line="360" w:lineRule="auto"/>
        <w:rPr>
          <w:rFonts w:hint="eastAsia" w:ascii="宋体" w:hAnsi="宋体" w:cs="宋体"/>
          <w:sz w:val="24"/>
        </w:rPr>
      </w:pPr>
    </w:p>
    <w:p w14:paraId="1212E6AD">
      <w:pPr>
        <w:spacing w:line="360" w:lineRule="auto"/>
        <w:ind w:firstLine="240" w:firstLineChars="100"/>
        <w:rPr>
          <w:rFonts w:hint="eastAsia" w:ascii="宋体" w:hAnsi="宋体" w:cs="宋体"/>
          <w:sz w:val="24"/>
        </w:rPr>
      </w:pPr>
      <w:r>
        <w:rPr>
          <w:rFonts w:hint="eastAsia" w:ascii="宋体" w:hAnsi="宋体" w:cs="宋体"/>
          <w:sz w:val="24"/>
        </w:rPr>
        <w:t xml:space="preserve">甲方：           </w:t>
      </w:r>
      <w:r>
        <w:rPr>
          <w:rFonts w:hint="eastAsia" w:ascii="宋体" w:hAnsi="宋体" w:cs="宋体"/>
          <w:sz w:val="24"/>
          <w:lang w:val="en-US" w:eastAsia="zh-CN"/>
        </w:rPr>
        <w:t xml:space="preserve">     </w:t>
      </w:r>
      <w:r>
        <w:rPr>
          <w:rFonts w:hint="eastAsia" w:ascii="宋体" w:hAnsi="宋体" w:cs="宋体"/>
          <w:sz w:val="24"/>
        </w:rPr>
        <w:t xml:space="preserve">（盖章）     </w:t>
      </w:r>
      <w:r>
        <w:rPr>
          <w:rFonts w:hint="eastAsia" w:ascii="宋体" w:hAnsi="宋体" w:cs="宋体"/>
          <w:sz w:val="24"/>
          <w:lang w:val="en-US" w:eastAsia="zh-CN"/>
        </w:rPr>
        <w:t xml:space="preserve">   </w:t>
      </w:r>
      <w:r>
        <w:rPr>
          <w:rFonts w:hint="eastAsia" w:ascii="宋体" w:hAnsi="宋体" w:cs="宋体"/>
          <w:sz w:val="24"/>
        </w:rPr>
        <w:t xml:space="preserve">  乙方：            （盖章） </w:t>
      </w:r>
    </w:p>
    <w:p w14:paraId="7A2824A8">
      <w:pPr>
        <w:spacing w:line="360" w:lineRule="auto"/>
        <w:ind w:firstLine="240" w:firstLineChars="100"/>
        <w:rPr>
          <w:rFonts w:hint="eastAsia" w:ascii="宋体" w:hAnsi="宋体" w:cs="宋体"/>
          <w:sz w:val="24"/>
        </w:rPr>
      </w:pPr>
      <w:r>
        <w:rPr>
          <w:rFonts w:hint="eastAsia" w:ascii="宋体" w:hAnsi="宋体" w:cs="宋体"/>
          <w:sz w:val="24"/>
        </w:rPr>
        <w:t>法定代表人：                            法定代表人：</w:t>
      </w:r>
    </w:p>
    <w:p w14:paraId="71132881">
      <w:pPr>
        <w:spacing w:line="360" w:lineRule="auto"/>
        <w:ind w:firstLine="240" w:firstLineChars="100"/>
        <w:rPr>
          <w:rFonts w:hint="eastAsia" w:ascii="宋体" w:hAnsi="宋体" w:cs="宋体"/>
          <w:sz w:val="24"/>
        </w:rPr>
      </w:pPr>
      <w:r>
        <w:rPr>
          <w:rFonts w:hint="eastAsia" w:ascii="宋体" w:hAnsi="宋体" w:cs="宋体"/>
          <w:sz w:val="24"/>
        </w:rPr>
        <w:t>代理人：（签字）                         代理人：（签字）</w:t>
      </w:r>
    </w:p>
    <w:p w14:paraId="0705D73A">
      <w:pPr>
        <w:spacing w:line="360" w:lineRule="auto"/>
        <w:ind w:firstLine="240" w:firstLineChars="100"/>
        <w:rPr>
          <w:rFonts w:hint="eastAsia" w:ascii="宋体" w:hAnsi="宋体" w:cs="宋体"/>
          <w:sz w:val="24"/>
        </w:rPr>
      </w:pPr>
      <w:r>
        <w:rPr>
          <w:rFonts w:hint="eastAsia" w:ascii="宋体" w:hAnsi="宋体" w:cs="宋体"/>
          <w:sz w:val="24"/>
        </w:rPr>
        <w:t>电话：                                  电话：</w:t>
      </w:r>
    </w:p>
    <w:p w14:paraId="061E7104">
      <w:pPr>
        <w:spacing w:line="360" w:lineRule="auto"/>
        <w:ind w:firstLine="240" w:firstLineChars="100"/>
        <w:rPr>
          <w:rFonts w:hint="eastAsia" w:ascii="宋体" w:hAnsi="宋体" w:cs="宋体"/>
          <w:sz w:val="24"/>
        </w:rPr>
      </w:pPr>
      <w:r>
        <w:rPr>
          <w:rFonts w:hint="eastAsia" w:ascii="宋体" w:hAnsi="宋体" w:cs="宋体"/>
          <w:sz w:val="24"/>
        </w:rPr>
        <w:t xml:space="preserve">开户行：                                开户行：         </w:t>
      </w:r>
    </w:p>
    <w:p w14:paraId="58E2489F">
      <w:pPr>
        <w:spacing w:line="360" w:lineRule="auto"/>
        <w:ind w:firstLine="240" w:firstLineChars="100"/>
        <w:rPr>
          <w:rFonts w:hint="eastAsia" w:ascii="宋体" w:hAnsi="宋体" w:cs="宋体"/>
          <w:sz w:val="24"/>
        </w:rPr>
      </w:pPr>
      <w:r>
        <w:rPr>
          <w:rFonts w:hint="eastAsia" w:ascii="宋体" w:hAnsi="宋体" w:cs="宋体"/>
          <w:sz w:val="24"/>
        </w:rPr>
        <w:t>账号：                                  账号：</w:t>
      </w:r>
    </w:p>
    <w:p w14:paraId="7C08CF01">
      <w:pPr>
        <w:spacing w:line="360" w:lineRule="auto"/>
        <w:ind w:firstLine="240" w:firstLineChars="100"/>
        <w:rPr>
          <w:rFonts w:hint="eastAsia" w:ascii="宋体" w:hAnsi="宋体" w:cs="宋体"/>
          <w:sz w:val="24"/>
        </w:rPr>
      </w:pPr>
      <w:r>
        <w:rPr>
          <w:rFonts w:hint="eastAsia" w:ascii="宋体" w:hAnsi="宋体" w:cs="宋体"/>
          <w:sz w:val="24"/>
        </w:rPr>
        <w:t>日期：    年   月    日                 日期：  年   月    日</w:t>
      </w:r>
    </w:p>
    <w:p w14:paraId="05713E38"/>
    <w:sectPr>
      <w:pgSz w:w="11906" w:h="16838"/>
      <w:pgMar w:top="1440" w:right="1576" w:bottom="1440"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D236D"/>
    <w:rsid w:val="26555577"/>
    <w:rsid w:val="6C4D2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6">
    <w:name w:val="Body Text"/>
    <w:basedOn w:val="1"/>
    <w:next w:val="1"/>
    <w:qFormat/>
    <w:uiPriority w:val="0"/>
    <w:rPr>
      <w:color w:val="993300"/>
      <w:sz w:val="24"/>
    </w:rPr>
  </w:style>
  <w:style w:type="paragraph" w:styleId="7">
    <w:name w:val="Plain Text"/>
    <w:basedOn w:val="1"/>
    <w:qFormat/>
    <w:uiPriority w:val="99"/>
    <w:rPr>
      <w:rFonts w:ascii="宋体" w:hAnsi="Courier New" w:cs="Courier New"/>
      <w:szCs w:val="21"/>
    </w:rPr>
  </w:style>
  <w:style w:type="paragraph" w:customStyle="1" w:styleId="10">
    <w:name w:val="样式 首行缩进:  2 字符"/>
    <w:basedOn w:val="1"/>
    <w:autoRedefine/>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1670</Words>
  <Characters>1676</Characters>
  <Lines>0</Lines>
  <Paragraphs>0</Paragraphs>
  <TotalTime>21</TotalTime>
  <ScaleCrop>false</ScaleCrop>
  <LinksUpToDate>false</LinksUpToDate>
  <CharactersWithSpaces>2001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2026-08-25T06:17:00Z</dcterms:created>
  <dc:creator>Becky</dc:creator>
  <cp:lastModifiedBy>Becky</cp:lastModifiedBy>
  <dcterms:modified xsi:type="dcterms:W3CDTF">2026-08-25T09:04:18Z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D9144CCC05ED499CADCF03C5D8FA1C79_11</vt:lpwstr>
  </property>
  <property fmtid="{D5CDD505-2E9C-101B-9397-08002B2CF9AE}" pid="4" name="KSOTemplateDocerSaveRecord">
    <vt:lpwstr>eyJoZGlkIjoiMjE1NjRhMjJiYzVmYzNhN2MzMDlhN2RjODIxZTM5NTciLCJ1c2VySWQiOiI3MzgwNDgxMTMifQ==</vt:lpwstr>
  </property>
</Properties>
</file>