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版本号：SDZC2026-07920260708001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油烟系统设备采购项目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SDZC2026-079</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油烟系统设备采购项目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油烟系统设备采购项目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油烟系统设备更换</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pPr>
        <w:pStyle w:val="null3"/>
      </w:pPr>
      <w:r>
        <w:rPr>
          <w:rFonts w:ascii="仿宋_GB2312" w:hAnsi="仿宋_GB2312" w:cs="仿宋_GB2312" w:eastAsia="仿宋_GB2312"/>
        </w:rPr>
        <w:t>3、税收缴纳证明：税收缴纳证明：提供截止至2025年7⽉⾄今任意一个月的缴纳凭据（增值税、企业所得税至少提供一种，依法免税的投标人应提供相关文件证明，依法免税的投标人应提供相关文件证明）；</w:t>
      </w:r>
    </w:p>
    <w:p>
      <w:pPr>
        <w:pStyle w:val="null3"/>
      </w:pPr>
      <w:r>
        <w:rPr>
          <w:rFonts w:ascii="仿宋_GB2312" w:hAnsi="仿宋_GB2312" w:cs="仿宋_GB2312" w:eastAsia="仿宋_GB2312"/>
        </w:rPr>
        <w:t>4、社会保障资⾦缴纳证明：社会保障资⾦缴纳证明：提供2025年12⽉⾄今任意⼀个⽉的社保缴纳凭据或社保机构开具的社会保险参保缴纳情况证明；（依法不需要缴纳社会保障资⾦的投标⼈应提供相关证明）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管理关系查询：单位负责人为同一人或者存在直接控股、管理关系的不同投标人，不得参加同一合同项下的政府采购活动（此项在投标截止日当天由代理机构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说明：签订合同前，中标人缴纳合同总金额的5%作为履约保证金，验收合格后，一次性无息退还。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下浮35%，≤30万项目定额收取叁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09:00:00</w:t>
            </w:r>
          </w:p>
          <w:p>
            <w:pPr>
              <w:pStyle w:val="null3"/>
              <w:ind w:firstLine="975"/>
            </w:pPr>
            <w:r>
              <w:rPr>
                <w:rFonts w:ascii="仿宋_GB2312" w:hAnsi="仿宋_GB2312" w:cs="仿宋_GB2312" w:eastAsia="仿宋_GB2312"/>
              </w:rPr>
              <w:t>踏勘地点：西安市未央大学城陕西科技大学沁园二餐厅南侧、沁园四餐厅南侧、西侧。踏勘时间：2026年7月17日9：00-12:00,15:00-17:00，过时不候，因自身原因未能踏勘的，后果自负。</w:t>
            </w:r>
          </w:p>
          <w:p>
            <w:pPr>
              <w:pStyle w:val="null3"/>
              <w:ind w:firstLine="975"/>
            </w:pPr>
            <w:r>
              <w:rPr>
                <w:rFonts w:ascii="仿宋_GB2312" w:hAnsi="仿宋_GB2312" w:cs="仿宋_GB2312" w:eastAsia="仿宋_GB2312"/>
              </w:rPr>
              <w:t>联系人：马老师</w:t>
            </w:r>
          </w:p>
          <w:p>
            <w:pPr>
              <w:pStyle w:val="null3"/>
              <w:ind w:firstLine="975"/>
            </w:pPr>
            <w:r>
              <w:rPr>
                <w:rFonts w:ascii="仿宋_GB2312" w:hAnsi="仿宋_GB2312" w:cs="仿宋_GB2312" w:eastAsia="仿宋_GB2312"/>
              </w:rPr>
              <w:t>联系电话号码：13488267050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符合招标文件、投标文件及合同约定。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符合国家的标准和有关规定。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联系人：宋芳芳（04号工位）</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油烟系统设备更换</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9"/>
              <w:gridCol w:w="334"/>
              <w:gridCol w:w="849"/>
              <w:gridCol w:w="250"/>
              <w:gridCol w:w="924"/>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货物名称</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安装要求</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沁园二餐厅南侧</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室内镀锌管道</w:t>
                  </w:r>
                </w:p>
                <w:p>
                  <w:pPr>
                    <w:pStyle w:val="null3"/>
                    <w:jc w:val="center"/>
                  </w:pPr>
                  <w:r>
                    <w:rPr>
                      <w:rFonts w:ascii="仿宋_GB2312" w:hAnsi="仿宋_GB2312" w:cs="仿宋_GB2312" w:eastAsia="仿宋_GB2312"/>
                      <w:sz w:val="20"/>
                      <w:color w:val="000000"/>
                    </w:rPr>
                    <w:t>（立管）</w:t>
                  </w:r>
                  <w:r>
                    <w:br/>
                  </w:r>
                  <w:r>
                    <w:rPr>
                      <w:rFonts w:ascii="仿宋_GB2312" w:hAnsi="仿宋_GB2312" w:cs="仿宋_GB2312" w:eastAsia="仿宋_GB2312"/>
                      <w:sz w:val="20"/>
                      <w:color w:val="000000"/>
                    </w:rPr>
                    <w:t>（角铁法兰连接）</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材质为镀锌钢板；厚度：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1.2mm；</w:t>
                  </w:r>
                </w:p>
                <w:p>
                  <w:pPr>
                    <w:pStyle w:val="null3"/>
                    <w:jc w:val="both"/>
                  </w:pP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360m²</w:t>
                  </w:r>
                </w:p>
                <w:p>
                  <w:pPr>
                    <w:pStyle w:val="null3"/>
                    <w:jc w:val="center"/>
                  </w:pPr>
                  <w:r>
                    <w:rPr>
                      <w:rFonts w:ascii="仿宋_GB2312" w:hAnsi="仿宋_GB2312" w:cs="仿宋_GB2312" w:eastAsia="仿宋_GB2312"/>
                      <w:sz w:val="20"/>
                      <w:color w:val="000000"/>
                    </w:rPr>
                    <w:t>（具体数量</w:t>
                  </w:r>
                  <w:r>
                    <w:rPr>
                      <w:rFonts w:ascii="仿宋_GB2312" w:hAnsi="仿宋_GB2312" w:cs="仿宋_GB2312" w:eastAsia="仿宋_GB2312"/>
                      <w:sz w:val="20"/>
                      <w:color w:val="000000"/>
                    </w:rPr>
                    <w:t>根据现场踏勘情况，投标人自行估算</w:t>
                  </w:r>
                  <w:r>
                    <w:rPr>
                      <w:rFonts w:ascii="仿宋_GB2312" w:hAnsi="仿宋_GB2312" w:cs="仿宋_GB2312" w:eastAsia="仿宋_GB2312"/>
                      <w:sz w:val="20"/>
                      <w:color w:val="000000"/>
                    </w:rPr>
                    <w:t>）</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1、拆除旧管道：包含拆除原有管道、法兰、变径、风喉、管道支架及一切除烟罩外相关配件；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3、安装新油烟管道所需要的角铁法兰（禁止使用共板法兰）、变径、支架、异形管道等其它所有辅料；</w:t>
                  </w:r>
                </w:p>
                <w:p>
                  <w:pPr>
                    <w:pStyle w:val="null3"/>
                    <w:jc w:val="both"/>
                  </w:pPr>
                  <w:r>
                    <w:rPr>
                      <w:rFonts w:ascii="仿宋_GB2312" w:hAnsi="仿宋_GB2312" w:cs="仿宋_GB2312" w:eastAsia="仿宋_GB2312"/>
                      <w:sz w:val="20"/>
                      <w:color w:val="000000"/>
                    </w:rPr>
                    <w:t>4、管道更换完成后必须保证餐厅正常排烟畅通，无跑、帽油烟、渗油、滴油点。</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沁园四餐厅南侧、西侧</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室内镀锌管道</w:t>
                  </w:r>
                  <w:r>
                    <w:rPr>
                      <w:rFonts w:ascii="仿宋_GB2312" w:hAnsi="仿宋_GB2312" w:cs="仿宋_GB2312" w:eastAsia="仿宋_GB2312"/>
                      <w:sz w:val="20"/>
                      <w:color w:val="000000"/>
                    </w:rPr>
                    <w:t>-立管</w:t>
                  </w:r>
                </w:p>
                <w:p>
                  <w:pPr>
                    <w:pStyle w:val="null3"/>
                    <w:jc w:val="center"/>
                  </w:pPr>
                  <w:r>
                    <w:rPr>
                      <w:rFonts w:ascii="仿宋_GB2312" w:hAnsi="仿宋_GB2312" w:cs="仿宋_GB2312" w:eastAsia="仿宋_GB2312"/>
                      <w:sz w:val="20"/>
                      <w:color w:val="000000"/>
                    </w:rPr>
                    <w:t>（南侧）角铁法兰连接</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材质为镀锌钢板；厚度：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1.2mm；</w:t>
                  </w:r>
                </w:p>
                <w:p>
                  <w:pPr>
                    <w:pStyle w:val="null3"/>
                    <w:jc w:val="both"/>
                  </w:pP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180m²</w:t>
                  </w:r>
                </w:p>
                <w:p>
                  <w:pPr>
                    <w:pStyle w:val="null3"/>
                    <w:jc w:val="center"/>
                  </w:pPr>
                  <w:r>
                    <w:rPr>
                      <w:rFonts w:ascii="仿宋_GB2312" w:hAnsi="仿宋_GB2312" w:cs="仿宋_GB2312" w:eastAsia="仿宋_GB2312"/>
                      <w:sz w:val="20"/>
                      <w:color w:val="000000"/>
                    </w:rPr>
                    <w:t>（具体数量</w:t>
                  </w:r>
                  <w:r>
                    <w:rPr>
                      <w:rFonts w:ascii="仿宋_GB2312" w:hAnsi="仿宋_GB2312" w:cs="仿宋_GB2312" w:eastAsia="仿宋_GB2312"/>
                      <w:sz w:val="20"/>
                      <w:color w:val="000000"/>
                    </w:rPr>
                    <w:t>根据现场踏勘情况，投标人自行估算</w:t>
                  </w:r>
                  <w:r>
                    <w:rPr>
                      <w:rFonts w:ascii="仿宋_GB2312" w:hAnsi="仿宋_GB2312" w:cs="仿宋_GB2312" w:eastAsia="仿宋_GB2312"/>
                      <w:sz w:val="20"/>
                      <w:color w:val="000000"/>
                    </w:rPr>
                    <w:t>）</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1、拆除旧管道：包含拆除原有管道、法兰、变径、风喉、管道支架及一切除烟罩外相关配件；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3、安装新油烟管道所需要的角铁法兰（禁止使用共板法兰）、变径、支架、异形管道等其它所有辅料；</w:t>
                  </w:r>
                </w:p>
                <w:p>
                  <w:pPr>
                    <w:pStyle w:val="null3"/>
                    <w:jc w:val="both"/>
                  </w:pPr>
                  <w:r>
                    <w:rPr>
                      <w:rFonts w:ascii="仿宋_GB2312" w:hAnsi="仿宋_GB2312" w:cs="仿宋_GB2312" w:eastAsia="仿宋_GB2312"/>
                      <w:sz w:val="20"/>
                      <w:color w:val="000000"/>
                    </w:rPr>
                    <w:t>4、管道更换完成后必须保证餐厅正常排烟畅通，无跑、帽油烟、渗油、滴油点。</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室内镀锌管道</w:t>
                  </w:r>
                </w:p>
                <w:p>
                  <w:pPr>
                    <w:pStyle w:val="null3"/>
                    <w:jc w:val="center"/>
                  </w:pPr>
                  <w:r>
                    <w:rPr>
                      <w:rFonts w:ascii="仿宋_GB2312" w:hAnsi="仿宋_GB2312" w:cs="仿宋_GB2312" w:eastAsia="仿宋_GB2312"/>
                      <w:sz w:val="20"/>
                      <w:color w:val="000000"/>
                    </w:rPr>
                    <w:t>（横管）</w:t>
                  </w:r>
                  <w:r>
                    <w:br/>
                  </w:r>
                  <w:r>
                    <w:rPr>
                      <w:rFonts w:ascii="仿宋_GB2312" w:hAnsi="仿宋_GB2312" w:cs="仿宋_GB2312" w:eastAsia="仿宋_GB2312"/>
                      <w:sz w:val="20"/>
                      <w:color w:val="000000"/>
                    </w:rPr>
                    <w:t>（南侧、西侧）角铁法兰连接</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材质为</w:t>
                  </w:r>
                  <w:r>
                    <w:rPr>
                      <w:rFonts w:ascii="仿宋_GB2312" w:hAnsi="仿宋_GB2312" w:cs="仿宋_GB2312" w:eastAsia="仿宋_GB2312"/>
                      <w:sz w:val="20"/>
                      <w:color w:val="000000"/>
                    </w:rPr>
                    <w:t>热镀锌国标，厚度</w:t>
                  </w:r>
                  <w:r>
                    <w:rPr>
                      <w:rFonts w:ascii="仿宋_GB2312" w:hAnsi="仿宋_GB2312" w:cs="仿宋_GB2312" w:eastAsia="仿宋_GB2312"/>
                      <w:sz w:val="20"/>
                      <w:color w:val="000000"/>
                    </w:rPr>
                    <w:t>1.2mm</w:t>
                  </w:r>
                </w:p>
                <w:p>
                  <w:pPr>
                    <w:pStyle w:val="null3"/>
                    <w:jc w:val="both"/>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788m²</w:t>
                  </w:r>
                </w:p>
                <w:p>
                  <w:pPr>
                    <w:pStyle w:val="null3"/>
                    <w:jc w:val="center"/>
                  </w:pPr>
                  <w:r>
                    <w:rPr>
                      <w:rFonts w:ascii="仿宋_GB2312" w:hAnsi="仿宋_GB2312" w:cs="仿宋_GB2312" w:eastAsia="仿宋_GB2312"/>
                      <w:sz w:val="20"/>
                      <w:color w:val="000000"/>
                    </w:rPr>
                    <w:t>（具体数量</w:t>
                  </w:r>
                  <w:r>
                    <w:rPr>
                      <w:rFonts w:ascii="仿宋_GB2312" w:hAnsi="仿宋_GB2312" w:cs="仿宋_GB2312" w:eastAsia="仿宋_GB2312"/>
                      <w:sz w:val="20"/>
                      <w:color w:val="000000"/>
                    </w:rPr>
                    <w:t>根据现场踏勘情况，投标人自行估算</w:t>
                  </w:r>
                  <w:r>
                    <w:rPr>
                      <w:rFonts w:ascii="仿宋_GB2312" w:hAnsi="仿宋_GB2312" w:cs="仿宋_GB2312" w:eastAsia="仿宋_GB2312"/>
                      <w:sz w:val="20"/>
                      <w:color w:val="000000"/>
                    </w:rPr>
                    <w:t>）</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1、拆除旧管道：包含拆除原有管道、法兰、变径、风喉、管道支架及一切除烟罩外相关配件；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3、安装新油烟管道所需要的角铁法兰（禁止使用共板法兰）、变径、支架、异形管道等其它所有辅料；</w:t>
                  </w:r>
                </w:p>
                <w:p>
                  <w:pPr>
                    <w:pStyle w:val="null3"/>
                    <w:jc w:val="both"/>
                  </w:pPr>
                  <w:r>
                    <w:rPr>
                      <w:rFonts w:ascii="仿宋_GB2312" w:hAnsi="仿宋_GB2312" w:cs="仿宋_GB2312" w:eastAsia="仿宋_GB2312"/>
                      <w:sz w:val="20"/>
                      <w:color w:val="000000"/>
                    </w:rPr>
                    <w:t>4、管道更换完成后必须保证餐厅正常排烟畅通，无跑、帽油烟、渗油、滴油点。</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风喉（南侧、西侧）角铁法兰连接</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材质为</w:t>
                  </w:r>
                  <w:r>
                    <w:rPr>
                      <w:rFonts w:ascii="仿宋_GB2312" w:hAnsi="仿宋_GB2312" w:cs="仿宋_GB2312" w:eastAsia="仿宋_GB2312"/>
                      <w:sz w:val="20"/>
                      <w:color w:val="000000"/>
                    </w:rPr>
                    <w:t>热镀锌国标，厚度</w:t>
                  </w:r>
                  <w:r>
                    <w:rPr>
                      <w:rFonts w:ascii="仿宋_GB2312" w:hAnsi="仿宋_GB2312" w:cs="仿宋_GB2312" w:eastAsia="仿宋_GB2312"/>
                      <w:sz w:val="20"/>
                      <w:color w:val="000000"/>
                    </w:rPr>
                    <w:t>1.2mm</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217m²</w:t>
                  </w:r>
                  <w:r>
                    <w:rPr>
                      <w:rFonts w:ascii="仿宋_GB2312" w:hAnsi="仿宋_GB2312" w:cs="仿宋_GB2312" w:eastAsia="仿宋_GB2312"/>
                      <w:sz w:val="20"/>
                      <w:color w:val="000000"/>
                    </w:rPr>
                    <w:t>（具体数量</w:t>
                  </w:r>
                  <w:r>
                    <w:rPr>
                      <w:rFonts w:ascii="仿宋_GB2312" w:hAnsi="仿宋_GB2312" w:cs="仿宋_GB2312" w:eastAsia="仿宋_GB2312"/>
                      <w:sz w:val="20"/>
                      <w:color w:val="000000"/>
                    </w:rPr>
                    <w:t>根据现场踏勘情况，投标人自行估算</w:t>
                  </w:r>
                  <w:r>
                    <w:rPr>
                      <w:rFonts w:ascii="仿宋_GB2312" w:hAnsi="仿宋_GB2312" w:cs="仿宋_GB2312" w:eastAsia="仿宋_GB2312"/>
                      <w:sz w:val="20"/>
                      <w:color w:val="000000"/>
                    </w:rPr>
                    <w:t>）</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1、拆除旧管道：包含拆除原有管道、法兰、变径、风喉、管道支架及一切除烟罩外相关配件；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3、安装新油烟管道所需要的角铁法兰（禁止使用共板法兰）、变径、支架、异形管道等其它所有辅料；</w:t>
                  </w:r>
                </w:p>
                <w:p>
                  <w:pPr>
                    <w:pStyle w:val="null3"/>
                    <w:jc w:val="both"/>
                  </w:pPr>
                  <w:r>
                    <w:rPr>
                      <w:rFonts w:ascii="仿宋_GB2312" w:hAnsi="仿宋_GB2312" w:cs="仿宋_GB2312" w:eastAsia="仿宋_GB2312"/>
                      <w:sz w:val="20"/>
                      <w:color w:val="000000"/>
                    </w:rPr>
                    <w:t>4、管道更换完成后必须保证餐厅正常排烟畅通，无跑、帽油烟、渗油、滴油点。</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风量调节阀</w:t>
                  </w:r>
                </w:p>
                <w:p>
                  <w:pPr>
                    <w:pStyle w:val="null3"/>
                    <w:jc w:val="center"/>
                  </w:pPr>
                  <w:r>
                    <w:rPr>
                      <w:rFonts w:ascii="仿宋_GB2312" w:hAnsi="仿宋_GB2312" w:cs="仿宋_GB2312" w:eastAsia="仿宋_GB2312"/>
                      <w:sz w:val="20"/>
                      <w:color w:val="000000"/>
                    </w:rPr>
                    <w:t>（南侧、西侧）</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●材质为镀锌钢板；厚度：≥1.5mm；</w:t>
                  </w:r>
                </w:p>
                <w:p>
                  <w:pPr>
                    <w:pStyle w:val="null3"/>
                    <w:jc w:val="both"/>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58个</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1、拆除旧调节阀及相关配件；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3、安装新调节阀及相关配件；</w:t>
                  </w:r>
                </w:p>
                <w:p>
                  <w:pPr>
                    <w:pStyle w:val="null3"/>
                    <w:jc w:val="both"/>
                  </w:pPr>
                  <w:r>
                    <w:rPr>
                      <w:rFonts w:ascii="仿宋_GB2312" w:hAnsi="仿宋_GB2312" w:cs="仿宋_GB2312" w:eastAsia="仿宋_GB2312"/>
                      <w:sz w:val="20"/>
                      <w:color w:val="000000"/>
                    </w:rPr>
                    <w:t>4、新调节阀安装完成后正常使用；</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具体数量</w:t>
                  </w:r>
                  <w:r>
                    <w:rPr>
                      <w:rFonts w:ascii="仿宋_GB2312" w:hAnsi="仿宋_GB2312" w:cs="仿宋_GB2312" w:eastAsia="仿宋_GB2312"/>
                      <w:sz w:val="20"/>
                      <w:color w:val="000000"/>
                    </w:rPr>
                    <w:t>根据现场踏勘情况，投标人自行估算</w:t>
                  </w:r>
                  <w:r>
                    <w:rPr>
                      <w:rFonts w:ascii="仿宋_GB2312" w:hAnsi="仿宋_GB2312" w:cs="仿宋_GB2312" w:eastAsia="仿宋_GB2312"/>
                      <w:sz w:val="20"/>
                      <w:color w:val="000000"/>
                    </w:rPr>
                    <w:t>。</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电缆线</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●YJV3*10+2*6，聚氯乙烯外护套，无氧纯铜芯5芯电缆，内置阻燃抗拉伸填充物</w:t>
                  </w:r>
                </w:p>
                <w:p>
                  <w:pPr>
                    <w:pStyle w:val="null3"/>
                    <w:jc w:val="both"/>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共计</w:t>
                  </w:r>
                  <w:r>
                    <w:rPr>
                      <w:rFonts w:ascii="仿宋_GB2312" w:hAnsi="仿宋_GB2312" w:cs="仿宋_GB2312" w:eastAsia="仿宋_GB2312"/>
                      <w:sz w:val="20"/>
                      <w:color w:val="000000"/>
                    </w:rPr>
                    <w:t>约</w:t>
                  </w:r>
                  <w:r>
                    <w:rPr>
                      <w:rFonts w:ascii="仿宋_GB2312" w:hAnsi="仿宋_GB2312" w:cs="仿宋_GB2312" w:eastAsia="仿宋_GB2312"/>
                      <w:sz w:val="20"/>
                      <w:color w:val="000000"/>
                    </w:rPr>
                    <w:t>280m</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1.拆除原有电路系统包含：与之相关一切电缆、电线、箱体、支架、卡子、线管、三通及弯头等相关配件；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3.电缆更换位置需从餐厅风柜开关处按原路线连接至顶层风柜；</w:t>
                  </w:r>
                </w:p>
                <w:p>
                  <w:pPr>
                    <w:pStyle w:val="null3"/>
                    <w:jc w:val="both"/>
                  </w:pPr>
                  <w:r>
                    <w:rPr>
                      <w:rFonts w:ascii="仿宋_GB2312" w:hAnsi="仿宋_GB2312" w:cs="仿宋_GB2312" w:eastAsia="仿宋_GB2312"/>
                      <w:sz w:val="20"/>
                      <w:color w:val="000000"/>
                    </w:rPr>
                    <w:t>4.电缆更换完成后需确保风柜正常使用；</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顶层烟道房拆除恢复</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顶层烟道房</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60m²</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安装油烟管道立管施工过程中需将顶层烟道防部分拆除，施工结束后需恢复原状、正常使用（含垃圾清运）；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低噪声柜式离心通风机</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rPr>
                    <w:t>1、风柜：规格30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电机功率</w:t>
                  </w:r>
                  <w:r>
                    <w:rPr>
                      <w:rFonts w:ascii="仿宋_GB2312" w:hAnsi="仿宋_GB2312" w:cs="仿宋_GB2312" w:eastAsia="仿宋_GB2312"/>
                      <w:sz w:val="20"/>
                    </w:rPr>
                    <w:t>18.5kw，不锈钢外壳≥1.2mm厚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rPr>
                    <w:t>2、</w:t>
                  </w:r>
                  <w:r>
                    <w:rPr>
                      <w:rFonts w:ascii="仿宋_GB2312" w:hAnsi="仿宋_GB2312" w:cs="仿宋_GB2312" w:eastAsia="仿宋_GB2312"/>
                      <w:sz w:val="20"/>
                    </w:rPr>
                    <w:t>四面</w:t>
                  </w:r>
                  <w:r>
                    <w:rPr>
                      <w:rFonts w:ascii="仿宋_GB2312" w:hAnsi="仿宋_GB2312" w:cs="仿宋_GB2312" w:eastAsia="仿宋_GB2312"/>
                      <w:sz w:val="20"/>
                    </w:rPr>
                    <w:t>加隔音棉</w:t>
                  </w:r>
                  <w:r>
                    <w:rPr>
                      <w:rFonts w:ascii="仿宋_GB2312" w:hAnsi="仿宋_GB2312" w:cs="仿宋_GB2312" w:eastAsia="仿宋_GB2312"/>
                      <w:sz w:val="20"/>
                    </w:rPr>
                    <w:t>；槽钢底架</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≥2.0mm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叶轮材质：不锈钢</w:t>
                  </w:r>
                  <w:r>
                    <w:rPr>
                      <w:rFonts w:ascii="仿宋_GB2312" w:hAnsi="仿宋_GB2312" w:cs="仿宋_GB2312" w:eastAsia="仿宋_GB2312"/>
                      <w:sz w:val="20"/>
                    </w:rPr>
                    <w:t>（</w:t>
                  </w:r>
                  <w:r>
                    <w:rPr>
                      <w:rFonts w:ascii="仿宋_GB2312" w:hAnsi="仿宋_GB2312" w:cs="仿宋_GB2312" w:eastAsia="仿宋_GB2312"/>
                      <w:sz w:val="20"/>
                    </w:rPr>
                    <w:t>包含：</w:t>
                  </w:r>
                  <w:r>
                    <w:rPr>
                      <w:rFonts w:ascii="仿宋_GB2312" w:hAnsi="仿宋_GB2312" w:cs="仿宋_GB2312" w:eastAsia="仿宋_GB2312"/>
                      <w:sz w:val="20"/>
                    </w:rPr>
                    <w:t>轴承，皮带，皮带轮</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rPr>
                    <w:t>3、风机</w:t>
                  </w:r>
                  <w:r>
                    <w:rPr>
                      <w:rFonts w:ascii="仿宋_GB2312" w:hAnsi="仿宋_GB2312" w:cs="仿宋_GB2312" w:eastAsia="仿宋_GB2312"/>
                      <w:sz w:val="20"/>
                    </w:rPr>
                    <w:t>关键元器件及性能要求：叶轮直径（</w:t>
                  </w:r>
                  <w:r>
                    <w:rPr>
                      <w:rFonts w:ascii="仿宋_GB2312" w:hAnsi="仿宋_GB2312" w:cs="仿宋_GB2312" w:eastAsia="仿宋_GB2312"/>
                      <w:sz w:val="20"/>
                    </w:rPr>
                    <w:t>mm）：</w:t>
                  </w:r>
                  <w:r>
                    <w:rPr>
                      <w:rFonts w:ascii="仿宋_GB2312" w:hAnsi="仿宋_GB2312" w:cs="仿宋_GB2312" w:eastAsia="仿宋_GB2312"/>
                      <w:sz w:val="20"/>
                    </w:rPr>
                    <w:t>810</w:t>
                  </w:r>
                  <w:r>
                    <w:rPr>
                      <w:rFonts w:ascii="仿宋_GB2312" w:hAnsi="仿宋_GB2312" w:cs="仿宋_GB2312" w:eastAsia="仿宋_GB2312"/>
                      <w:sz w:val="20"/>
                    </w:rPr>
                    <w:t>(±5%)</w:t>
                  </w:r>
                  <w:r>
                    <w:rPr>
                      <w:rFonts w:ascii="仿宋_GB2312" w:hAnsi="仿宋_GB2312" w:cs="仿宋_GB2312" w:eastAsia="仿宋_GB2312"/>
                      <w:sz w:val="20"/>
                    </w:rPr>
                    <w:t>；转速：</w:t>
                  </w:r>
                  <w:r>
                    <w:rPr>
                      <w:rFonts w:ascii="仿宋_GB2312" w:hAnsi="仿宋_GB2312" w:cs="仿宋_GB2312" w:eastAsia="仿宋_GB2312"/>
                      <w:sz w:val="20"/>
                    </w:rPr>
                    <w:t>625</w:t>
                  </w:r>
                  <w:r>
                    <w:rPr>
                      <w:rFonts w:ascii="仿宋_GB2312" w:hAnsi="仿宋_GB2312" w:cs="仿宋_GB2312" w:eastAsia="仿宋_GB2312"/>
                      <w:sz w:val="20"/>
                    </w:rPr>
                    <w:t>r/min</w:t>
                  </w:r>
                  <w:r>
                    <w:rPr>
                      <w:rFonts w:ascii="仿宋_GB2312" w:hAnsi="仿宋_GB2312" w:cs="仿宋_GB2312" w:eastAsia="仿宋_GB2312"/>
                      <w:sz w:val="20"/>
                    </w:rPr>
                    <w:t>(±5%)</w:t>
                  </w:r>
                  <w:r>
                    <w:rPr>
                      <w:rFonts w:ascii="仿宋_GB2312" w:hAnsi="仿宋_GB2312" w:cs="仿宋_GB2312" w:eastAsia="仿宋_GB2312"/>
                      <w:sz w:val="20"/>
                    </w:rPr>
                    <w:t>；风量：</w:t>
                  </w:r>
                  <w:r>
                    <w:rPr>
                      <w:rFonts w:ascii="仿宋_GB2312" w:hAnsi="仿宋_GB2312" w:cs="仿宋_GB2312" w:eastAsia="仿宋_GB2312"/>
                      <w:sz w:val="20"/>
                    </w:rPr>
                    <w:t>≥43000</w:t>
                  </w:r>
                  <w:r>
                    <w:rPr>
                      <w:rFonts w:ascii="仿宋_GB2312" w:hAnsi="仿宋_GB2312" w:cs="仿宋_GB2312" w:eastAsia="仿宋_GB2312"/>
                      <w:sz w:val="20"/>
                    </w:rPr>
                    <w:t>m³/H；全压：</w:t>
                  </w:r>
                  <w:r>
                    <w:rPr>
                      <w:rFonts w:ascii="仿宋_GB2312" w:hAnsi="仿宋_GB2312" w:cs="仿宋_GB2312" w:eastAsia="仿宋_GB2312"/>
                      <w:sz w:val="20"/>
                    </w:rPr>
                    <w:t>≥660</w:t>
                  </w:r>
                  <w:r>
                    <w:rPr>
                      <w:rFonts w:ascii="仿宋_GB2312" w:hAnsi="仿宋_GB2312" w:cs="仿宋_GB2312" w:eastAsia="仿宋_GB2312"/>
                      <w:sz w:val="20"/>
                    </w:rPr>
                    <w:t>pa</w:t>
                  </w:r>
                  <w:r>
                    <w:rPr>
                      <w:rFonts w:ascii="仿宋_GB2312" w:hAnsi="仿宋_GB2312" w:cs="仿宋_GB2312" w:eastAsia="仿宋_GB2312"/>
                      <w:sz w:val="20"/>
                    </w:rPr>
                    <w:t>(±5%)</w:t>
                  </w:r>
                  <w:r>
                    <w:rPr>
                      <w:rFonts w:ascii="仿宋_GB2312" w:hAnsi="仿宋_GB2312" w:cs="仿宋_GB2312" w:eastAsia="仿宋_GB2312"/>
                      <w:sz w:val="20"/>
                    </w:rPr>
                    <w:t>，明示效率（</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color w:val="000000"/>
                    </w:rPr>
                    <w:t>依据</w:t>
                  </w:r>
                  <w:r>
                    <w:rPr>
                      <w:rFonts w:ascii="仿宋_GB2312" w:hAnsi="仿宋_GB2312" w:cs="仿宋_GB2312" w:eastAsia="仿宋_GB2312"/>
                      <w:sz w:val="20"/>
                      <w:color w:val="000000"/>
                    </w:rPr>
                    <w:t>GB/T2651-2023《金属材料焊缝破坏破坏性试验  横向拉伸试验》、GB/T228.2-2015《金属材料  拉伸试验 第2部分：高温试验方法》、GB/T8196-2018《机械安全  防护装置  固定式和活动式防护装置的设计与制造一般要求》、GB/T4208-2017《外壳防护等级（IP代码）》，立柱与横梁的垂直度应≤5mm，台面、搁板应能承受300kg载荷，其变形量应≤0.1mm，去除作用力后，框架变形量检测结果≤1.7mm，产品各部位应位置均匀，连接牢固，破坏荷载≥50KN，焊接接头横向拉伸试验上的试验力直至试样锻炼，行拉强度达到≥580，模拟雾环境，对风机外壳接缝、入口部位进行喷淋测试，外壳应具有油雾渗透防护，应能承受在正常使用中可能出现的潮湿条件，数值≥IP80</w:t>
                  </w:r>
                  <w:r>
                    <w:rPr>
                      <w:rFonts w:ascii="仿宋_GB2312" w:hAnsi="仿宋_GB2312" w:cs="仿宋_GB2312" w:eastAsia="仿宋_GB2312"/>
                      <w:sz w:val="20"/>
                    </w:rPr>
                    <w:t>。</w:t>
                  </w:r>
                  <w:r>
                    <w:rPr>
                      <w:rFonts w:ascii="仿宋_GB2312" w:hAnsi="仿宋_GB2312" w:cs="仿宋_GB2312" w:eastAsia="仿宋_GB2312"/>
                      <w:sz w:val="20"/>
                      <w:b/>
                    </w:rPr>
                    <w:t>提供</w:t>
                  </w:r>
                  <w:r>
                    <w:rPr>
                      <w:rFonts w:ascii="仿宋_GB2312" w:hAnsi="仿宋_GB2312" w:cs="仿宋_GB2312" w:eastAsia="仿宋_GB2312"/>
                      <w:sz w:val="20"/>
                      <w:b/>
                    </w:rPr>
                    <w:t>证明材料</w:t>
                  </w:r>
                  <w:r>
                    <w:rPr>
                      <w:rFonts w:ascii="仿宋_GB2312" w:hAnsi="仿宋_GB2312" w:cs="仿宋_GB2312" w:eastAsia="仿宋_GB2312"/>
                      <w:sz w:val="20"/>
                      <w:b/>
                    </w:rPr>
                    <w:t>，包括但不限于</w:t>
                  </w:r>
                  <w:r>
                    <w:rPr>
                      <w:rFonts w:ascii="仿宋_GB2312" w:hAnsi="仿宋_GB2312" w:cs="仿宋_GB2312" w:eastAsia="仿宋_GB2312"/>
                      <w:sz w:val="20"/>
                      <w:b/>
                    </w:rPr>
                    <w:t>第三方检测机构出具</w:t>
                  </w:r>
                  <w:r>
                    <w:rPr>
                      <w:rFonts w:ascii="仿宋_GB2312" w:hAnsi="仿宋_GB2312" w:cs="仿宋_GB2312" w:eastAsia="仿宋_GB2312"/>
                      <w:sz w:val="20"/>
                      <w:b/>
                    </w:rPr>
                    <w:t>的</w:t>
                  </w:r>
                  <w:r>
                    <w:rPr>
                      <w:rFonts w:ascii="仿宋_GB2312" w:hAnsi="仿宋_GB2312" w:cs="仿宋_GB2312" w:eastAsia="仿宋_GB2312"/>
                      <w:sz w:val="20"/>
                      <w:b/>
                    </w:rPr>
                    <w:t>带有</w:t>
                  </w:r>
                  <w:r>
                    <w:rPr>
                      <w:rFonts w:ascii="仿宋_GB2312" w:hAnsi="仿宋_GB2312" w:cs="仿宋_GB2312" w:eastAsia="仿宋_GB2312"/>
                      <w:sz w:val="20"/>
                      <w:b/>
                    </w:rPr>
                    <w:t>CMA</w:t>
                  </w:r>
                  <w:r>
                    <w:rPr>
                      <w:rFonts w:ascii="仿宋_GB2312" w:hAnsi="仿宋_GB2312" w:cs="仿宋_GB2312" w:eastAsia="仿宋_GB2312"/>
                      <w:sz w:val="20"/>
                      <w:b/>
                    </w:rPr>
                    <w:t>的检测报告等。</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依据</w:t>
                  </w:r>
                  <w:r>
                    <w:rPr>
                      <w:rFonts w:ascii="仿宋_GB2312" w:hAnsi="仿宋_GB2312" w:cs="仿宋_GB2312" w:eastAsia="仿宋_GB2312"/>
                      <w:sz w:val="20"/>
                    </w:rPr>
                    <w:t>GB/T16916.1-2014《家用和类似用途的不带过电流保护的剩余电流动作断路器 第1部分: 一般规则》进行7层电气元件绝缘测试，电动机定子绕组冷态绝缘电阻（MΩ）最终</w:t>
                  </w:r>
                  <w:r>
                    <w:rPr>
                      <w:rFonts w:ascii="仿宋_GB2312" w:hAnsi="仿宋_GB2312" w:cs="仿宋_GB2312" w:eastAsia="仿宋_GB2312"/>
                      <w:sz w:val="20"/>
                      <w:b/>
                    </w:rPr>
                    <w:t>≥460</w:t>
                  </w:r>
                  <w:r>
                    <w:rPr>
                      <w:rFonts w:ascii="仿宋_GB2312" w:hAnsi="仿宋_GB2312" w:cs="仿宋_GB2312" w:eastAsia="仿宋_GB2312"/>
                      <w:sz w:val="20"/>
                    </w:rPr>
                    <w:t>判定为合格</w:t>
                  </w:r>
                  <w:r>
                    <w:rPr>
                      <w:rFonts w:ascii="仿宋_GB2312" w:hAnsi="仿宋_GB2312" w:cs="仿宋_GB2312" w:eastAsia="仿宋_GB2312"/>
                      <w:sz w:val="20"/>
                    </w:rPr>
                    <w:t>；</w:t>
                  </w:r>
                  <w:r>
                    <w:rPr>
                      <w:rFonts w:ascii="仿宋_GB2312" w:hAnsi="仿宋_GB2312" w:cs="仿宋_GB2312" w:eastAsia="仿宋_GB2312"/>
                      <w:sz w:val="20"/>
                    </w:rPr>
                    <w:t>依据</w:t>
                  </w:r>
                  <w:r>
                    <w:rPr>
                      <w:rFonts w:ascii="仿宋_GB2312" w:hAnsi="仿宋_GB2312" w:cs="仿宋_GB2312" w:eastAsia="仿宋_GB2312"/>
                      <w:sz w:val="20"/>
                    </w:rPr>
                    <w:t>GB/T2888-2008《风机和罗茨鼓风机噪声测量方法》</w:t>
                  </w:r>
                  <w:r>
                    <w:rPr>
                      <w:rFonts w:ascii="仿宋_GB2312" w:hAnsi="仿宋_GB2312" w:cs="仿宋_GB2312" w:eastAsia="仿宋_GB2312"/>
                      <w:sz w:val="20"/>
                    </w:rPr>
                    <w:t>每分钟启停</w:t>
                  </w:r>
                  <w:r>
                    <w:rPr>
                      <w:rFonts w:ascii="仿宋_GB2312" w:hAnsi="仿宋_GB2312" w:cs="仿宋_GB2312" w:eastAsia="仿宋_GB2312"/>
                      <w:sz w:val="20"/>
                    </w:rPr>
                    <w:t>30次(常规要求≤10次)，持续1万次循环后效率衰减≤2%</w:t>
                  </w:r>
                  <w:r>
                    <w:rPr>
                      <w:rFonts w:ascii="仿宋_GB2312" w:hAnsi="仿宋_GB2312" w:cs="仿宋_GB2312" w:eastAsia="仿宋_GB2312"/>
                      <w:sz w:val="20"/>
                    </w:rPr>
                    <w:t>。</w:t>
                  </w:r>
                  <w:r>
                    <w:rPr>
                      <w:rFonts w:ascii="仿宋_GB2312" w:hAnsi="仿宋_GB2312" w:cs="仿宋_GB2312" w:eastAsia="仿宋_GB2312"/>
                      <w:sz w:val="20"/>
                    </w:rPr>
                    <w:t>风机效率测试值风速（</w:t>
                  </w:r>
                  <w:r>
                    <w:rPr>
                      <w:rFonts w:ascii="仿宋_GB2312" w:hAnsi="仿宋_GB2312" w:cs="仿宋_GB2312" w:eastAsia="仿宋_GB2312"/>
                      <w:sz w:val="20"/>
                    </w:rPr>
                    <w:t>≥25.7</w:t>
                  </w:r>
                  <w:r>
                    <w:rPr>
                      <w:rFonts w:ascii="仿宋_GB2312" w:hAnsi="仿宋_GB2312" w:cs="仿宋_GB2312" w:eastAsia="仿宋_GB2312"/>
                      <w:sz w:val="20"/>
                    </w:rPr>
                    <w:t>m/s）噪声≤5</w:t>
                  </w:r>
                  <w:r>
                    <w:rPr>
                      <w:rFonts w:ascii="仿宋_GB2312" w:hAnsi="仿宋_GB2312" w:cs="仿宋_GB2312" w:eastAsia="仿宋_GB2312"/>
                      <w:sz w:val="20"/>
                    </w:rPr>
                    <w:t>8</w:t>
                  </w:r>
                  <w:r>
                    <w:rPr>
                      <w:rFonts w:ascii="仿宋_GB2312" w:hAnsi="仿宋_GB2312" w:cs="仿宋_GB2312" w:eastAsia="仿宋_GB2312"/>
                      <w:sz w:val="20"/>
                    </w:rPr>
                    <w:t>，振动速度有效值</w:t>
                  </w:r>
                  <w:r>
                    <w:rPr>
                      <w:rFonts w:ascii="仿宋_GB2312" w:hAnsi="仿宋_GB2312" w:cs="仿宋_GB2312" w:eastAsia="仿宋_GB2312"/>
                      <w:sz w:val="20"/>
                    </w:rPr>
                    <w:t>≤4.6</w:t>
                  </w:r>
                  <w:r>
                    <w:rPr>
                      <w:rFonts w:ascii="仿宋_GB2312" w:hAnsi="仿宋_GB2312" w:cs="仿宋_GB2312" w:eastAsia="仿宋_GB2312"/>
                      <w:sz w:val="20"/>
                    </w:rPr>
                    <w:t>，</w:t>
                  </w:r>
                  <w:r>
                    <w:rPr>
                      <w:rFonts w:ascii="仿宋_GB2312" w:hAnsi="仿宋_GB2312" w:cs="仿宋_GB2312" w:eastAsia="仿宋_GB2312"/>
                      <w:sz w:val="20"/>
                    </w:rPr>
                    <w:t>最终判定为合格，根据通过比较输入功率和风机的实际输出风量和风压，评定风机的能效比，其结果为</w:t>
                  </w:r>
                  <w:r>
                    <w:rPr>
                      <w:rFonts w:ascii="仿宋_GB2312" w:hAnsi="仿宋_GB2312" w:cs="仿宋_GB2312" w:eastAsia="仿宋_GB2312"/>
                      <w:sz w:val="20"/>
                    </w:rPr>
                    <w:t>≥95；依据CB/T1236-2017《工业通风机用标准化风道性能试验》</w:t>
                  </w:r>
                  <w:r>
                    <w:rPr>
                      <w:rFonts w:ascii="仿宋_GB2312" w:hAnsi="仿宋_GB2312" w:cs="仿宋_GB2312" w:eastAsia="仿宋_GB2312"/>
                      <w:sz w:val="20"/>
                    </w:rPr>
                    <w:t>风机</w:t>
                  </w:r>
                  <w:r>
                    <w:rPr>
                      <w:rFonts w:ascii="仿宋_GB2312" w:hAnsi="仿宋_GB2312" w:cs="仿宋_GB2312" w:eastAsia="仿宋_GB2312"/>
                      <w:sz w:val="20"/>
                    </w:rPr>
                    <w:t>在各种</w:t>
                  </w:r>
                  <w:r>
                    <w:rPr>
                      <w:rFonts w:ascii="仿宋_GB2312" w:hAnsi="仿宋_GB2312" w:cs="仿宋_GB2312" w:eastAsia="仿宋_GB2312"/>
                      <w:sz w:val="20"/>
                    </w:rPr>
                    <w:t>负载</w:t>
                  </w:r>
                  <w:r>
                    <w:rPr>
                      <w:rFonts w:ascii="仿宋_GB2312" w:hAnsi="仿宋_GB2312" w:cs="仿宋_GB2312" w:eastAsia="仿宋_GB2312"/>
                      <w:sz w:val="20"/>
                    </w:rPr>
                    <w:t>条件下，均可运作正常；</w:t>
                  </w:r>
                  <w:r>
                    <w:rPr>
                      <w:rFonts w:ascii="仿宋_GB2312" w:hAnsi="仿宋_GB2312" w:cs="仿宋_GB2312" w:eastAsia="仿宋_GB2312"/>
                      <w:sz w:val="20"/>
                    </w:rPr>
                    <w:t>80.5kPa内，压力的变化对其性能无影响</w:t>
                  </w:r>
                  <w:r>
                    <w:rPr>
                      <w:rFonts w:ascii="仿宋_GB2312" w:hAnsi="仿宋_GB2312" w:cs="仿宋_GB2312" w:eastAsia="仿宋_GB2312"/>
                      <w:sz w:val="20"/>
                    </w:rPr>
                    <w:t>。</w:t>
                  </w:r>
                  <w:r>
                    <w:rPr>
                      <w:rFonts w:ascii="仿宋_GB2312" w:hAnsi="仿宋_GB2312" w:cs="仿宋_GB2312" w:eastAsia="仿宋_GB2312"/>
                      <w:sz w:val="20"/>
                      <w:b/>
                    </w:rPr>
                    <w:t>提供</w:t>
                  </w:r>
                  <w:r>
                    <w:rPr>
                      <w:rFonts w:ascii="仿宋_GB2312" w:hAnsi="仿宋_GB2312" w:cs="仿宋_GB2312" w:eastAsia="仿宋_GB2312"/>
                      <w:sz w:val="20"/>
                      <w:b/>
                    </w:rPr>
                    <w:t>证明材料</w:t>
                  </w:r>
                  <w:r>
                    <w:rPr>
                      <w:rFonts w:ascii="仿宋_GB2312" w:hAnsi="仿宋_GB2312" w:cs="仿宋_GB2312" w:eastAsia="仿宋_GB2312"/>
                      <w:sz w:val="20"/>
                      <w:b/>
                    </w:rPr>
                    <w:t>，包括但不限于</w:t>
                  </w:r>
                  <w:r>
                    <w:rPr>
                      <w:rFonts w:ascii="仿宋_GB2312" w:hAnsi="仿宋_GB2312" w:cs="仿宋_GB2312" w:eastAsia="仿宋_GB2312"/>
                      <w:sz w:val="20"/>
                      <w:b/>
                    </w:rPr>
                    <w:t>第三方检测机构出具</w:t>
                  </w:r>
                  <w:r>
                    <w:rPr>
                      <w:rFonts w:ascii="仿宋_GB2312" w:hAnsi="仿宋_GB2312" w:cs="仿宋_GB2312" w:eastAsia="仿宋_GB2312"/>
                      <w:sz w:val="20"/>
                      <w:b/>
                    </w:rPr>
                    <w:t>的</w:t>
                  </w:r>
                  <w:r>
                    <w:rPr>
                      <w:rFonts w:ascii="仿宋_GB2312" w:hAnsi="仿宋_GB2312" w:cs="仿宋_GB2312" w:eastAsia="仿宋_GB2312"/>
                      <w:sz w:val="20"/>
                      <w:b/>
                    </w:rPr>
                    <w:t>带有</w:t>
                  </w:r>
                  <w:r>
                    <w:rPr>
                      <w:rFonts w:ascii="仿宋_GB2312" w:hAnsi="仿宋_GB2312" w:cs="仿宋_GB2312" w:eastAsia="仿宋_GB2312"/>
                      <w:sz w:val="20"/>
                      <w:b/>
                    </w:rPr>
                    <w:t>CMA</w:t>
                  </w:r>
                  <w:r>
                    <w:rPr>
                      <w:rFonts w:ascii="仿宋_GB2312" w:hAnsi="仿宋_GB2312" w:cs="仿宋_GB2312" w:eastAsia="仿宋_GB2312"/>
                      <w:sz w:val="20"/>
                      <w:b/>
                    </w:rPr>
                    <w:t>的检测报告等。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6、所投产品需购买</w:t>
                  </w:r>
                  <w:r>
                    <w:rPr>
                      <w:rFonts w:ascii="仿宋_GB2312" w:hAnsi="仿宋_GB2312" w:cs="仿宋_GB2312" w:eastAsia="仿宋_GB2312"/>
                      <w:sz w:val="20"/>
                    </w:rPr>
                    <w:t>产品责任险，保险金额：</w:t>
                  </w:r>
                  <w:r>
                    <w:rPr>
                      <w:rFonts w:ascii="仿宋_GB2312" w:hAnsi="仿宋_GB2312" w:cs="仿宋_GB2312" w:eastAsia="仿宋_GB2312"/>
                      <w:sz w:val="20"/>
                    </w:rPr>
                    <w:t>1000万，累计责任限额1000万，每次事故免赔额1万，每次事故人身伤亡责任限额50万，每次事故责任限额250万，每次事故财产损失责任限额200万。</w:t>
                  </w:r>
                  <w:r>
                    <w:rPr>
                      <w:rFonts w:ascii="仿宋_GB2312" w:hAnsi="仿宋_GB2312" w:cs="仿宋_GB2312" w:eastAsia="仿宋_GB2312"/>
                      <w:sz w:val="20"/>
                      <w:b/>
                    </w:rPr>
                    <w:t>证明材料：</w:t>
                  </w:r>
                  <w:r>
                    <w:rPr>
                      <w:rFonts w:ascii="仿宋_GB2312" w:hAnsi="仿宋_GB2312" w:cs="仿宋_GB2312" w:eastAsia="仿宋_GB2312"/>
                      <w:sz w:val="20"/>
                      <w:b/>
                    </w:rPr>
                    <w:t>产品责任险保险单</w:t>
                  </w:r>
                  <w:r>
                    <w:rPr>
                      <w:rFonts w:ascii="仿宋_GB2312" w:hAnsi="仿宋_GB2312" w:cs="仿宋_GB2312" w:eastAsia="仿宋_GB2312"/>
                      <w:sz w:val="20"/>
                      <w:b/>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1、拆除原有风柜包含：拆除原有风柜、烟帽、消音器、软连接、变径及减震器等与之相关一切配件；</w:t>
                  </w:r>
                </w:p>
                <w:p>
                  <w:pPr>
                    <w:pStyle w:val="null3"/>
                    <w:jc w:val="both"/>
                  </w:pPr>
                  <w:r>
                    <w:rPr>
                      <w:rFonts w:ascii="仿宋_GB2312" w:hAnsi="仿宋_GB2312" w:cs="仿宋_GB2312" w:eastAsia="仿宋_GB2312"/>
                      <w:sz w:val="20"/>
                      <w:color w:val="000000"/>
                    </w:rPr>
                    <w:t>2、所有拆除货物需按要求，搬运至校方指定地点；</w:t>
                  </w:r>
                </w:p>
                <w:p>
                  <w:pPr>
                    <w:pStyle w:val="null3"/>
                    <w:jc w:val="both"/>
                  </w:pPr>
                  <w:r>
                    <w:rPr>
                      <w:rFonts w:ascii="仿宋_GB2312" w:hAnsi="仿宋_GB2312" w:cs="仿宋_GB2312" w:eastAsia="仿宋_GB2312"/>
                      <w:sz w:val="20"/>
                      <w:color w:val="000000"/>
                    </w:rPr>
                    <w:t>3、安装新风柜包含：消音器、烟帽、变径、软连接、减震器、等一切辅料；</w:t>
                  </w:r>
                </w:p>
                <w:p>
                  <w:pPr>
                    <w:pStyle w:val="null3"/>
                    <w:jc w:val="both"/>
                  </w:pPr>
                  <w:r>
                    <w:rPr>
                      <w:rFonts w:ascii="仿宋_GB2312" w:hAnsi="仿宋_GB2312" w:cs="仿宋_GB2312" w:eastAsia="仿宋_GB2312"/>
                      <w:sz w:val="20"/>
                      <w:color w:val="000000"/>
                    </w:rPr>
                    <w:t>4、新风柜需按照原有风柜标号重新喷涂标号、新标号需醒目、颜色统一；</w:t>
                  </w:r>
                </w:p>
                <w:p>
                  <w:pPr>
                    <w:pStyle w:val="null3"/>
                    <w:jc w:val="both"/>
                  </w:pPr>
                  <w:r>
                    <w:rPr>
                      <w:rFonts w:ascii="仿宋_GB2312" w:hAnsi="仿宋_GB2312" w:cs="仿宋_GB2312" w:eastAsia="仿宋_GB2312"/>
                      <w:sz w:val="20"/>
                      <w:color w:val="000000"/>
                    </w:rPr>
                    <w:t>5、新风柜安装完成后需正常使用并保证餐厅正常排风；</w:t>
                  </w:r>
                </w:p>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油烟净化设备（</w:t>
                  </w:r>
                  <w:r>
                    <w:rPr>
                      <w:rFonts w:ascii="仿宋_GB2312" w:hAnsi="仿宋_GB2312" w:cs="仿宋_GB2312" w:eastAsia="仿宋_GB2312"/>
                      <w:sz w:val="20"/>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风量：48000m³/h、高压电源数量：4个、单个功率：300w、电场数量：8个、电场尺寸（mm）：≥900*240*440、外壳材质：不锈钢、外壳厚度：≥1.2mm、电场电极片厚度：≥1.0mm、电场材质：不锈钢、油烟净化率≥95%；</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22"/>
                    </w:rPr>
                    <w:t>2、设备本体阻力：≤600pa（复合式），设备本体漏风率：＜5%，控制箱接地电阻：＜2Ω，两极板间绝缘电阻：≥50MΩ，额定风量下的油烟净化效率：≥95%，额定风量下的油烟排放浓度：≤1.0mg/m³，臭氧排放浓度：≤60（无量纲）</w:t>
                  </w:r>
                  <w:r>
                    <w:rPr>
                      <w:rFonts w:ascii="仿宋_GB2312" w:hAnsi="仿宋_GB2312" w:cs="仿宋_GB2312" w:eastAsia="仿宋_GB2312"/>
                      <w:sz w:val="20"/>
                    </w:rPr>
                    <w:t>。</w:t>
                  </w:r>
                  <w:r>
                    <w:rPr>
                      <w:rFonts w:ascii="仿宋_GB2312" w:hAnsi="仿宋_GB2312" w:cs="仿宋_GB2312" w:eastAsia="仿宋_GB2312"/>
                      <w:sz w:val="20"/>
                      <w:b/>
                    </w:rPr>
                    <w:t>提供</w:t>
                  </w:r>
                  <w:r>
                    <w:rPr>
                      <w:rFonts w:ascii="仿宋_GB2312" w:hAnsi="仿宋_GB2312" w:cs="仿宋_GB2312" w:eastAsia="仿宋_GB2312"/>
                      <w:sz w:val="20"/>
                      <w:b/>
                    </w:rPr>
                    <w:t>证明材料</w:t>
                  </w:r>
                  <w:r>
                    <w:rPr>
                      <w:rFonts w:ascii="仿宋_GB2312" w:hAnsi="仿宋_GB2312" w:cs="仿宋_GB2312" w:eastAsia="仿宋_GB2312"/>
                      <w:sz w:val="20"/>
                      <w:b/>
                    </w:rPr>
                    <w:t>，包括但不限于</w:t>
                  </w:r>
                  <w:r>
                    <w:rPr>
                      <w:rFonts w:ascii="仿宋_GB2312" w:hAnsi="仿宋_GB2312" w:cs="仿宋_GB2312" w:eastAsia="仿宋_GB2312"/>
                      <w:sz w:val="20"/>
                      <w:b/>
                    </w:rPr>
                    <w:t>第三方检测机构出具</w:t>
                  </w:r>
                  <w:r>
                    <w:rPr>
                      <w:rFonts w:ascii="仿宋_GB2312" w:hAnsi="仿宋_GB2312" w:cs="仿宋_GB2312" w:eastAsia="仿宋_GB2312"/>
                      <w:sz w:val="20"/>
                      <w:b/>
                    </w:rPr>
                    <w:t>的</w:t>
                  </w:r>
                  <w:r>
                    <w:rPr>
                      <w:rFonts w:ascii="仿宋_GB2312" w:hAnsi="仿宋_GB2312" w:cs="仿宋_GB2312" w:eastAsia="仿宋_GB2312"/>
                      <w:sz w:val="20"/>
                      <w:b/>
                    </w:rPr>
                    <w:t>带有</w:t>
                  </w:r>
                  <w:r>
                    <w:rPr>
                      <w:rFonts w:ascii="仿宋_GB2312" w:hAnsi="仿宋_GB2312" w:cs="仿宋_GB2312" w:eastAsia="仿宋_GB2312"/>
                      <w:sz w:val="20"/>
                      <w:b/>
                    </w:rPr>
                    <w:t>CMA</w:t>
                  </w:r>
                  <w:r>
                    <w:rPr>
                      <w:rFonts w:ascii="仿宋_GB2312" w:hAnsi="仿宋_GB2312" w:cs="仿宋_GB2312" w:eastAsia="仿宋_GB2312"/>
                      <w:sz w:val="20"/>
                      <w:b/>
                    </w:rPr>
                    <w:t>的检测报告等。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3、</w:t>
                  </w:r>
                  <w:r>
                    <w:rPr>
                      <w:rFonts w:ascii="仿宋_GB2312" w:hAnsi="仿宋_GB2312" w:cs="仿宋_GB2312" w:eastAsia="仿宋_GB2312"/>
                      <w:sz w:val="20"/>
                      <w:color w:val="3B3B3B"/>
                      <w:shd w:fill="FFFFFF" w:val="clear"/>
                    </w:rPr>
                    <w:t>所投产品依据</w:t>
                  </w:r>
                  <w:r>
                    <w:rPr>
                      <w:rFonts w:ascii="仿宋_GB2312" w:hAnsi="仿宋_GB2312" w:cs="仿宋_GB2312" w:eastAsia="仿宋_GB2312"/>
                      <w:sz w:val="20"/>
                      <w:color w:val="3B3B3B"/>
                      <w:shd w:fill="FFFFFF" w:val="clear"/>
                    </w:rPr>
                    <w:t>GB/T2155.3-2024《家用和类似用途电器的抗菌、除菌、净化功能  第3部分：空气净化器的特殊要求》附录A，在密闭的30m³环境试验舱里，插上电源运行时间1h；白色葡萄球菌8032，平均除菌率K≥99.99。</w:t>
                  </w:r>
                  <w:r>
                    <w:rPr>
                      <w:rFonts w:ascii="仿宋_GB2312" w:hAnsi="仿宋_GB2312" w:cs="仿宋_GB2312" w:eastAsia="仿宋_GB2312"/>
                      <w:sz w:val="20"/>
                      <w:b/>
                    </w:rPr>
                    <w:t>提供</w:t>
                  </w:r>
                  <w:r>
                    <w:rPr>
                      <w:rFonts w:ascii="仿宋_GB2312" w:hAnsi="仿宋_GB2312" w:cs="仿宋_GB2312" w:eastAsia="仿宋_GB2312"/>
                      <w:sz w:val="20"/>
                      <w:b/>
                    </w:rPr>
                    <w:t>证明材料</w:t>
                  </w:r>
                  <w:r>
                    <w:rPr>
                      <w:rFonts w:ascii="仿宋_GB2312" w:hAnsi="仿宋_GB2312" w:cs="仿宋_GB2312" w:eastAsia="仿宋_GB2312"/>
                      <w:sz w:val="20"/>
                      <w:b/>
                    </w:rPr>
                    <w:t>，包括但不限于</w:t>
                  </w:r>
                  <w:r>
                    <w:rPr>
                      <w:rFonts w:ascii="仿宋_GB2312" w:hAnsi="仿宋_GB2312" w:cs="仿宋_GB2312" w:eastAsia="仿宋_GB2312"/>
                      <w:sz w:val="20"/>
                      <w:b/>
                    </w:rPr>
                    <w:t>第三方检测机构出具</w:t>
                  </w:r>
                  <w:r>
                    <w:rPr>
                      <w:rFonts w:ascii="仿宋_GB2312" w:hAnsi="仿宋_GB2312" w:cs="仿宋_GB2312" w:eastAsia="仿宋_GB2312"/>
                      <w:sz w:val="20"/>
                      <w:b/>
                    </w:rPr>
                    <w:t>的</w:t>
                  </w:r>
                  <w:r>
                    <w:rPr>
                      <w:rFonts w:ascii="仿宋_GB2312" w:hAnsi="仿宋_GB2312" w:cs="仿宋_GB2312" w:eastAsia="仿宋_GB2312"/>
                      <w:sz w:val="20"/>
                      <w:b/>
                    </w:rPr>
                    <w:t>带有</w:t>
                  </w:r>
                  <w:r>
                    <w:rPr>
                      <w:rFonts w:ascii="仿宋_GB2312" w:hAnsi="仿宋_GB2312" w:cs="仿宋_GB2312" w:eastAsia="仿宋_GB2312"/>
                      <w:sz w:val="20"/>
                      <w:b/>
                    </w:rPr>
                    <w:t>CMA</w:t>
                  </w:r>
                  <w:r>
                    <w:rPr>
                      <w:rFonts w:ascii="仿宋_GB2312" w:hAnsi="仿宋_GB2312" w:cs="仿宋_GB2312" w:eastAsia="仿宋_GB2312"/>
                      <w:sz w:val="20"/>
                      <w:b/>
                    </w:rPr>
                    <w:t>的检测报告等。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4、油烟净化设备（高压电源 ）按GB/T 2423.17-2024进行128h中性盐雾试验后，样品无腐蚀现象，保护评级(Rp)10级。</w:t>
                  </w:r>
                </w:p>
                <w:p>
                  <w:pPr>
                    <w:pStyle w:val="null3"/>
                    <w:jc w:val="both"/>
                  </w:pPr>
                  <w:r>
                    <w:rPr>
                      <w:rFonts w:ascii="仿宋_GB2312" w:hAnsi="仿宋_GB2312" w:cs="仿宋_GB2312" w:eastAsia="仿宋_GB2312"/>
                      <w:sz w:val="20"/>
                      <w:b/>
                    </w:rPr>
                    <w:t>提供</w:t>
                  </w:r>
                  <w:r>
                    <w:rPr>
                      <w:rFonts w:ascii="仿宋_GB2312" w:hAnsi="仿宋_GB2312" w:cs="仿宋_GB2312" w:eastAsia="仿宋_GB2312"/>
                      <w:sz w:val="20"/>
                      <w:b/>
                    </w:rPr>
                    <w:t>证明材料</w:t>
                  </w:r>
                  <w:r>
                    <w:rPr>
                      <w:rFonts w:ascii="仿宋_GB2312" w:hAnsi="仿宋_GB2312" w:cs="仿宋_GB2312" w:eastAsia="仿宋_GB2312"/>
                      <w:sz w:val="20"/>
                      <w:b/>
                    </w:rPr>
                    <w:t>，包括但不限于</w:t>
                  </w:r>
                  <w:r>
                    <w:rPr>
                      <w:rFonts w:ascii="仿宋_GB2312" w:hAnsi="仿宋_GB2312" w:cs="仿宋_GB2312" w:eastAsia="仿宋_GB2312"/>
                      <w:sz w:val="20"/>
                      <w:b/>
                    </w:rPr>
                    <w:t>第三方检测机构出具</w:t>
                  </w:r>
                  <w:r>
                    <w:rPr>
                      <w:rFonts w:ascii="仿宋_GB2312" w:hAnsi="仿宋_GB2312" w:cs="仿宋_GB2312" w:eastAsia="仿宋_GB2312"/>
                      <w:sz w:val="20"/>
                      <w:b/>
                    </w:rPr>
                    <w:t>的</w:t>
                  </w:r>
                  <w:r>
                    <w:rPr>
                      <w:rFonts w:ascii="仿宋_GB2312" w:hAnsi="仿宋_GB2312" w:cs="仿宋_GB2312" w:eastAsia="仿宋_GB2312"/>
                      <w:sz w:val="20"/>
                      <w:b/>
                    </w:rPr>
                    <w:t>带有</w:t>
                  </w:r>
                  <w:r>
                    <w:rPr>
                      <w:rFonts w:ascii="仿宋_GB2312" w:hAnsi="仿宋_GB2312" w:cs="仿宋_GB2312" w:eastAsia="仿宋_GB2312"/>
                      <w:sz w:val="20"/>
                      <w:b/>
                    </w:rPr>
                    <w:t>CMA</w:t>
                  </w:r>
                  <w:r>
                    <w:rPr>
                      <w:rFonts w:ascii="仿宋_GB2312" w:hAnsi="仿宋_GB2312" w:cs="仿宋_GB2312" w:eastAsia="仿宋_GB2312"/>
                      <w:sz w:val="20"/>
                      <w:b/>
                    </w:rPr>
                    <w:t>的检测报告等。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5、所投产品需购买</w:t>
                  </w:r>
                  <w:r>
                    <w:rPr>
                      <w:rFonts w:ascii="仿宋_GB2312" w:hAnsi="仿宋_GB2312" w:cs="仿宋_GB2312" w:eastAsia="仿宋_GB2312"/>
                      <w:sz w:val="20"/>
                    </w:rPr>
                    <w:t>产品责任险，保险金额：</w:t>
                  </w:r>
                  <w:r>
                    <w:rPr>
                      <w:rFonts w:ascii="仿宋_GB2312" w:hAnsi="仿宋_GB2312" w:cs="仿宋_GB2312" w:eastAsia="仿宋_GB2312"/>
                      <w:sz w:val="20"/>
                    </w:rPr>
                    <w:t>1000万，累计责任限额1000万，每次事故免赔额1万，每次事故人身伤亡责任限额50万，每次事故责任限额250万，每次事故财产损失责任限额200万。</w:t>
                  </w:r>
                </w:p>
                <w:p>
                  <w:pPr>
                    <w:pStyle w:val="null3"/>
                    <w:jc w:val="both"/>
                  </w:pPr>
                  <w:r>
                    <w:rPr>
                      <w:rFonts w:ascii="仿宋_GB2312" w:hAnsi="仿宋_GB2312" w:cs="仿宋_GB2312" w:eastAsia="仿宋_GB2312"/>
                      <w:sz w:val="20"/>
                      <w:b/>
                    </w:rPr>
                    <w:t>证明材料：</w:t>
                  </w:r>
                  <w:r>
                    <w:rPr>
                      <w:rFonts w:ascii="仿宋_GB2312" w:hAnsi="仿宋_GB2312" w:cs="仿宋_GB2312" w:eastAsia="仿宋_GB2312"/>
                      <w:sz w:val="20"/>
                      <w:b/>
                    </w:rPr>
                    <w:t>产品责任险保险单</w:t>
                  </w:r>
                  <w:r>
                    <w:rPr>
                      <w:rFonts w:ascii="仿宋_GB2312" w:hAnsi="仿宋_GB2312" w:cs="仿宋_GB2312" w:eastAsia="仿宋_GB2312"/>
                      <w:sz w:val="20"/>
                      <w:b/>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B3B3B"/>
                      <w:shd w:fill="FFFFFF" w:val="clear"/>
                    </w:rPr>
                    <w:t>5台</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1、拆除原有净化器包含：拆除原有净化器、变径及支架等与之相关一切配件；</w:t>
                  </w:r>
                </w:p>
                <w:p>
                  <w:pPr>
                    <w:pStyle w:val="null3"/>
                    <w:jc w:val="left"/>
                  </w:pPr>
                  <w:r>
                    <w:rPr>
                      <w:rFonts w:ascii="仿宋_GB2312" w:hAnsi="仿宋_GB2312" w:cs="仿宋_GB2312" w:eastAsia="仿宋_GB2312"/>
                      <w:sz w:val="20"/>
                      <w:color w:val="000000"/>
                    </w:rPr>
                    <w:t>2、所有拆除货物需按要求，搬运至校方指定地点；</w:t>
                  </w:r>
                </w:p>
                <w:p>
                  <w:pPr>
                    <w:pStyle w:val="null3"/>
                    <w:jc w:val="left"/>
                  </w:pPr>
                  <w:r>
                    <w:rPr>
                      <w:rFonts w:ascii="仿宋_GB2312" w:hAnsi="仿宋_GB2312" w:cs="仿宋_GB2312" w:eastAsia="仿宋_GB2312"/>
                      <w:sz w:val="20"/>
                      <w:color w:val="000000"/>
                    </w:rPr>
                    <w:t>3、安装新净化器包含：净化器、支架、变径、软连接、净化器连接线等一切辅料；</w:t>
                  </w:r>
                </w:p>
                <w:p>
                  <w:pPr>
                    <w:pStyle w:val="null3"/>
                    <w:jc w:val="left"/>
                  </w:pPr>
                  <w:r>
                    <w:rPr>
                      <w:rFonts w:ascii="仿宋_GB2312" w:hAnsi="仿宋_GB2312" w:cs="仿宋_GB2312" w:eastAsia="仿宋_GB2312"/>
                      <w:sz w:val="20"/>
                      <w:color w:val="000000"/>
                    </w:rPr>
                    <w:t>4、根据《饮食业油烟排放标准》（GB18483-2001）及相关规范要求、油烟净化器进、出口两侧管道应设置标准化检测口，并确保标识清晰、密封可靠；</w:t>
                  </w:r>
                </w:p>
                <w:p>
                  <w:pPr>
                    <w:pStyle w:val="null3"/>
                    <w:jc w:val="left"/>
                  </w:pPr>
                  <w:r>
                    <w:rPr>
                      <w:rFonts w:ascii="仿宋_GB2312" w:hAnsi="仿宋_GB2312" w:cs="仿宋_GB2312" w:eastAsia="仿宋_GB2312"/>
                      <w:sz w:val="20"/>
                      <w:color w:val="000000"/>
                    </w:rPr>
                    <w:t>5、新净化器安装完成后，按照国家油烟排放要求标准，提供包含油烟去除效率≥95%及油烟排放值≤1.0mg/m³的监测报告（小数点保存至后两位）；监测报告需附加采样仪出具的采样现场纸质凭证。</w:t>
                  </w:r>
                </w:p>
                <w:p>
                  <w:pPr>
                    <w:pStyle w:val="null3"/>
                    <w:jc w:val="left"/>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变频器</w:t>
                  </w:r>
                </w:p>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21号）</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≥18.5kw（与低噪声柜式离心通风机配套使用）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1、拆除旧变频器及一切相关配件；</w:t>
                  </w:r>
                </w:p>
                <w:p>
                  <w:pPr>
                    <w:pStyle w:val="null3"/>
                    <w:jc w:val="left"/>
                  </w:pPr>
                  <w:r>
                    <w:rPr>
                      <w:rFonts w:ascii="仿宋_GB2312" w:hAnsi="仿宋_GB2312" w:cs="仿宋_GB2312" w:eastAsia="仿宋_GB2312"/>
                      <w:sz w:val="20"/>
                      <w:color w:val="000000"/>
                    </w:rPr>
                    <w:t>2、所有拆除货物需按要求，搬运至校方指定地点；</w:t>
                  </w:r>
                </w:p>
                <w:p>
                  <w:pPr>
                    <w:pStyle w:val="null3"/>
                    <w:jc w:val="left"/>
                  </w:pPr>
                  <w:r>
                    <w:rPr>
                      <w:rFonts w:ascii="仿宋_GB2312" w:hAnsi="仿宋_GB2312" w:cs="仿宋_GB2312" w:eastAsia="仿宋_GB2312"/>
                      <w:sz w:val="20"/>
                      <w:color w:val="000000"/>
                    </w:rPr>
                    <w:t>3、安装新变频器、交流接触器、空开、风机开关按钮、风机工作指示灯、变频器箱体、风柜控制线等一切辅料；</w:t>
                  </w:r>
                </w:p>
                <w:p>
                  <w:pPr>
                    <w:pStyle w:val="null3"/>
                    <w:jc w:val="left"/>
                  </w:pPr>
                  <w:r>
                    <w:rPr>
                      <w:rFonts w:ascii="仿宋_GB2312" w:hAnsi="仿宋_GB2312" w:cs="仿宋_GB2312" w:eastAsia="仿宋_GB2312"/>
                      <w:sz w:val="20"/>
                      <w:color w:val="000000"/>
                    </w:rPr>
                    <w:t>4、新变频器安装完成后，确保和风机相匹配并保证风机正常启动；</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油烟净化设备（</w:t>
                  </w:r>
                  <w:r>
                    <w:rPr>
                      <w:rFonts w:ascii="仿宋_GB2312" w:hAnsi="仿宋_GB2312" w:cs="仿宋_GB2312" w:eastAsia="仿宋_GB2312"/>
                      <w:sz w:val="20"/>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长度：≥2m，电机电压：220v，单组功率：≥2kw，单组风量≥4000m³/h，油烟净化率：≥95%，外壳材质为：不锈钢，厚度：≥1.0mm，电场数量：2个，电场尺寸（mm）：≥535*260*460，电场电极片厚度：1.0mm；电场材质：不锈钢。</w:t>
                  </w:r>
                </w:p>
                <w:p>
                  <w:pPr>
                    <w:pStyle w:val="null3"/>
                    <w:jc w:val="left"/>
                  </w:pPr>
                  <w:r>
                    <w:rPr>
                      <w:rFonts w:ascii="仿宋_GB2312" w:hAnsi="仿宋_GB2312" w:cs="仿宋_GB2312" w:eastAsia="仿宋_GB2312"/>
                      <w:sz w:val="20"/>
                      <w:color w:val="000000"/>
                    </w:rPr>
                    <w:t>▲2、所投产品依据GB/T 21551.3-2024《家用和类似用途电器的抗菌、除菌、净化功能第3部分：空气净化器的特殊要求》，用紫外辐射照度计测量距离样品周围30cm处的紫外线强度为&lt;0.1μW/cm²,符合GB/T21551.3-2024 《家用和类似用途电器的抗菌、除菌、净化功能第3部分：空气净化器的特殊要求》的要求(紫外泄漏量≤5μW/cm²)。在30m²环境试验舱，接通电源，仪器采样气管距离样机出风口5cm,测试20min的臭氧浓度均值均未检出，符合GB/T21551.3-2024《家用和类似用途电器的抗菌、除菌、净化功能第3部分：空气净化器的特殊要求》的要求(臭氧泄漏量≤0.10mg/m²)。TVOC质量浓度mg/m³，出风口20cm处≤0.15，PM10质量浓度mg/m³，出风口20cm处≤0.07。</w:t>
                  </w:r>
                  <w:r>
                    <w:rPr>
                      <w:rFonts w:ascii="仿宋_GB2312" w:hAnsi="仿宋_GB2312" w:cs="仿宋_GB2312" w:eastAsia="仿宋_GB2312"/>
                      <w:sz w:val="20"/>
                      <w:b/>
                      <w:color w:val="000000"/>
                    </w:rPr>
                    <w:t>提供证明材料，包括但不限于第三方检测机构出具的带有</w:t>
                  </w:r>
                  <w:r>
                    <w:rPr>
                      <w:rFonts w:ascii="仿宋_GB2312" w:hAnsi="仿宋_GB2312" w:cs="仿宋_GB2312" w:eastAsia="仿宋_GB2312"/>
                      <w:sz w:val="20"/>
                      <w:b/>
                      <w:color w:val="000000"/>
                    </w:rPr>
                    <w:t>CMA的检测报告等。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3、所投产品需购买产品责任险，保险金额：1000万，累计责任限额1000万，每次事故免赔额1万，每次事故人身伤亡责任限额50万，每次事故责任限额250万，每次事故财产损失责任限额200万。</w:t>
                  </w:r>
                </w:p>
                <w:p>
                  <w:pPr>
                    <w:pStyle w:val="null3"/>
                    <w:jc w:val="left"/>
                  </w:pPr>
                  <w:r>
                    <w:rPr>
                      <w:rFonts w:ascii="仿宋_GB2312" w:hAnsi="仿宋_GB2312" w:cs="仿宋_GB2312" w:eastAsia="仿宋_GB2312"/>
                      <w:sz w:val="20"/>
                      <w:b/>
                      <w:color w:val="000000"/>
                    </w:rPr>
                    <w:t>证明材料：产品责任险保险单。</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安装新油烟净化设备包含：油烟净化一体设备、净化设备连接管道、支架、变径、轴流风机、净化器连接线等一切辅料；</w:t>
                  </w:r>
                </w:p>
                <w:p>
                  <w:pPr>
                    <w:pStyle w:val="null3"/>
                    <w:jc w:val="left"/>
                  </w:pPr>
                  <w:r>
                    <w:rPr>
                      <w:rFonts w:ascii="仿宋_GB2312" w:hAnsi="仿宋_GB2312" w:cs="仿宋_GB2312" w:eastAsia="仿宋_GB2312"/>
                      <w:sz w:val="20"/>
                      <w:color w:val="000000"/>
                    </w:rPr>
                    <w:t>2、新一体设备安装完成后，保障后厨正常排烟，净化等功效。</w:t>
                  </w:r>
                </w:p>
                <w:p>
                  <w:pPr>
                    <w:pStyle w:val="null3"/>
                    <w:jc w:val="left"/>
                  </w:pPr>
                </w:p>
              </w:tc>
            </w:tr>
          </w:tbl>
          <w:p>
            <w:pPr>
              <w:pStyle w:val="null3"/>
              <w:jc w:val="both"/>
            </w:pPr>
            <w:r>
              <w:rPr>
                <w:rFonts w:ascii="仿宋_GB2312" w:hAnsi="仿宋_GB2312" w:cs="仿宋_GB2312" w:eastAsia="仿宋_GB2312"/>
                <w:sz w:val="20"/>
              </w:rPr>
              <w:t>注：</w:t>
            </w:r>
            <w:r>
              <w:rPr>
                <w:rFonts w:ascii="仿宋_GB2312" w:hAnsi="仿宋_GB2312" w:cs="仿宋_GB2312" w:eastAsia="仿宋_GB2312"/>
                <w:sz w:val="20"/>
              </w:rPr>
              <w:t>1、报价需包含安装要求里所需的所有配件及人工费、机械费等一切所需费用包干价。</w:t>
            </w:r>
          </w:p>
          <w:p>
            <w:pPr>
              <w:pStyle w:val="null3"/>
              <w:spacing w:before="105" w:after="105"/>
              <w:ind w:left="360"/>
              <w:jc w:val="both"/>
            </w:pPr>
            <w:r>
              <w:rPr>
                <w:rFonts w:ascii="仿宋_GB2312" w:hAnsi="仿宋_GB2312" w:cs="仿宋_GB2312" w:eastAsia="仿宋_GB2312"/>
                <w:sz w:val="20"/>
              </w:rPr>
              <w:t>2、</w:t>
            </w:r>
            <w:r>
              <w:rPr>
                <w:rFonts w:ascii="仿宋_GB2312" w:hAnsi="仿宋_GB2312" w:cs="仿宋_GB2312" w:eastAsia="仿宋_GB2312"/>
                <w:sz w:val="20"/>
              </w:rPr>
              <w:t>本项目进行现场踏勘，各投标人根据踏勘情况报管道及电缆总价，该价格为包死价，采购人不以单价进行结算。</w:t>
            </w:r>
          </w:p>
          <w:p>
            <w:pPr>
              <w:pStyle w:val="null3"/>
              <w:spacing w:before="105" w:after="105"/>
              <w:ind w:left="360"/>
              <w:jc w:val="both"/>
            </w:pPr>
            <w:r>
              <w:rPr>
                <w:rFonts w:ascii="仿宋_GB2312" w:hAnsi="仿宋_GB2312" w:cs="仿宋_GB2312" w:eastAsia="仿宋_GB2312"/>
                <w:sz w:val="20"/>
              </w:rPr>
              <w:t>3、</w:t>
            </w:r>
            <w:r>
              <w:rPr>
                <w:rFonts w:ascii="仿宋_GB2312" w:hAnsi="仿宋_GB2312" w:cs="仿宋_GB2312" w:eastAsia="仿宋_GB2312"/>
                <w:sz w:val="20"/>
              </w:rPr>
              <w:t>上述数量为预估量，与最终用量可能会略有差别。</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陕西科技大学（未央校区）（沁园二餐厅、沁园四餐厅）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进度款，最终验收合格后，达到付款条件起15个工作日内，支付合同总金额的100.0%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3.2采购文件； 3.3投标文件； 3.4合同货物清单； 3.5生产厂家的企业资质等。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1.质保期为验收合格之日起不少于1年。 2.中标单位承诺的质保期起始时间为终验合格之日。 3.所有产品质量必须符合国家有关规范和相关政策。所有产品必须是未使用过的新产品，质量优良、渠道正当。 4.质保期出现的质量问题由中标单位负责解决并承担所有费用。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1.退还保证金： 1.1在投标截止时间前撤回已提交投标文件的投标人的投标保证金，将在招标代理机构收到投标人书面撤回通知之日起5个工作日内退还。1.2所有未中标人的投标保证金，将在中标通知书发出后5个工作日内退还。1.3中标人的投标保证金在签订合同后，执合同予以5个工作日内退还。2.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页码），在封口处加盖供应商公章；纸质投标文件递交截止时间与线上开评标时间一致；纸质投标文件可邮寄递交，应于递交投标文件截止时间前邮寄到代理机构。3.本项目核心产品：油烟净化设备（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税收缴纳证明：提供截止至2025年7⽉⾄今任意一个月的缴纳凭据（增值税、企业所得税至少提供一种，依法免税的投标人应提供相关文件证明，依法免税的投标人应提供相关文件证明）；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社会保障资⾦缴纳证明：提供2025年12⽉⾄今任意⼀个⽉的社保缴纳凭据或社保机构开具的社会保险参保缴纳情况证明；（依法不需要缴纳社会保障资⾦的投标⼈应提供相关证明）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在投标截止日当天由代理机构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关于符合本国产品标准的声明函.docx 投标函 中小企业声明函 拒绝政府采购领域商业贿赂承诺书.docx 标的清单 承诺书.docx 投标文件封面 分项报价.docx 响应偏离表.docx 法定代表人授权委托书.docx 节能环保环境标志产品表.docx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关于符合本国产品标准的声明函.docx 选配件报价表.docx 投标函 拒绝政府采购领域商业贿赂承诺书.docx 承诺书.docx 标的清单 分项报价.docx 响应偏离表.docx 法定代表人授权委托书.docx 节能环保环境标志产品表.docx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完全符合、满足招标文件技术要求的计36分；技术参数中标注“●”的负偏离一项扣1分；标注“◉”的负偏离一项扣2分；标注“▲”的负偏离一项扣3分。基本分扣完为止。技术参数中要求提供证明材料的，按要求提供，证明材料中需体现该项的技术指标，未提供的视为技术参数负偏离。证明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技术指标响应情况.docx</w:t>
            </w:r>
          </w:p>
        </w:tc>
      </w:tr>
      <w:tr>
        <w:tc>
          <w:tcPr>
            <w:tcW w:type="dxa" w:w="831"/>
            <w:vMerge/>
          </w:tcPr>
          <w:p/>
        </w:tc>
        <w:tc>
          <w:tcPr>
            <w:tcW w:type="dxa" w:w="1661"/>
          </w:tcPr>
          <w:p>
            <w:pPr>
              <w:pStyle w:val="null3"/>
            </w:pPr>
            <w:r>
              <w:rPr>
                <w:rFonts w:ascii="仿宋_GB2312" w:hAnsi="仿宋_GB2312" w:cs="仿宋_GB2312" w:eastAsia="仿宋_GB2312"/>
              </w:rPr>
              <w:t>节能、环保产品1</w:t>
            </w:r>
          </w:p>
        </w:tc>
        <w:tc>
          <w:tcPr>
            <w:tcW w:type="dxa" w:w="2492"/>
          </w:tcPr>
          <w:p>
            <w:pPr>
              <w:pStyle w:val="null3"/>
            </w:pPr>
            <w:r>
              <w:rPr>
                <w:rFonts w:ascii="仿宋_GB2312" w:hAnsi="仿宋_GB2312" w:cs="仿宋_GB2312" w:eastAsia="仿宋_GB2312"/>
              </w:rPr>
              <w:t>所投低噪声柜式离心通风机具有CQC中国节能产品认证证书且能效等级为二级（含二级）以上计2分，提供节能产品认证证书；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节能、环保产品2</w:t>
            </w:r>
          </w:p>
        </w:tc>
        <w:tc>
          <w:tcPr>
            <w:tcW w:type="dxa" w:w="2492"/>
          </w:tcPr>
          <w:p>
            <w:pPr>
              <w:pStyle w:val="null3"/>
            </w:pPr>
            <w:r>
              <w:rPr>
                <w:rFonts w:ascii="仿宋_GB2312" w:hAnsi="仿宋_GB2312" w:cs="仿宋_GB2312" w:eastAsia="仿宋_GB2312"/>
              </w:rPr>
              <w:t>其余产品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2分。 （提供认证机构出具的、处于有效期之内的节能产品证书）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以完整的合同形式提供供应商2023年1月至今类似项目业绩，每份计2分，计满6分为止。以合同签订时间为准，不提供或缺项不得分。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能提供所投产品（低噪声柜式离心通风机、油烟净化设备）的合法来源渠道证明文件（包括但不限于产品制造商授权、销售协议、代理协议、原厂授权等），每提供一个产品的计2分，共计4分，不提供的不计分。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针对本项目有具体实施方案，包含但不限于：项目整体实施方案，备货、供货进度及保证措施；项目验收方案。 评审标准：各项内容全面详细、内容清晰明确、阐述条理清晰、具有针对性、合理可行得,4分。每有一项缺项扣2分，每有一处内容存在缺陷，扣1分，扣完为止，未提供相关内容本项不计分。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包含但不限于：产品质量管理制度，产品设计、生产、检验等质量管控能力，产品使用寿命及效果；质量保证期限及质量保证范围；质量保证承诺及措施。 评审标准：各项内容全面详细、内容清晰明确、阐述条理清晰、具有针对性、合理可行得3分。每有一项缺项扣1分，每有一处内容存在缺陷，扣0.5分，扣完为止，未提供相关内容本项不计分。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包含但不限于：资金筹措，仓储设施；运输工具，人员素质；管理水平等。 评审标准：各项内容全面详细、内容清晰明确、阐述条理清晰、具有针对性、合理可行得3分。每有一项缺项扣1分，每有一处内容存在缺陷，扣0.5分，扣完为止，未提供相关内容本项不计分。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安装调试及安全保障</w:t>
            </w:r>
          </w:p>
        </w:tc>
        <w:tc>
          <w:tcPr>
            <w:tcW w:type="dxa" w:w="2492"/>
          </w:tcPr>
          <w:p>
            <w:pPr>
              <w:pStyle w:val="null3"/>
            </w:pPr>
            <w:r>
              <w:rPr>
                <w:rFonts w:ascii="仿宋_GB2312" w:hAnsi="仿宋_GB2312" w:cs="仿宋_GB2312" w:eastAsia="仿宋_GB2312"/>
              </w:rPr>
              <w:t>包含但不限于：安装、调试、检测方案；安全保障措施。评审标准：各项内容全面详细、内容清晰明确、阐述条理清晰、具有针对性、合理可行得2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安装调试及安全保障.docx</w:t>
            </w:r>
          </w:p>
        </w:tc>
      </w:tr>
      <w:tr>
        <w:tc>
          <w:tcPr>
            <w:tcW w:type="dxa" w:w="831"/>
            <w:vMerge/>
          </w:tcPr>
          <w:p/>
        </w:tc>
        <w:tc>
          <w:tcPr>
            <w:tcW w:type="dxa" w:w="1661"/>
          </w:tcPr>
          <w:p>
            <w:pPr>
              <w:pStyle w:val="null3"/>
            </w:pPr>
            <w:r>
              <w:rPr>
                <w:rFonts w:ascii="仿宋_GB2312" w:hAnsi="仿宋_GB2312" w:cs="仿宋_GB2312" w:eastAsia="仿宋_GB2312"/>
              </w:rPr>
              <w:t>项目团队人员安排</w:t>
            </w:r>
          </w:p>
        </w:tc>
        <w:tc>
          <w:tcPr>
            <w:tcW w:type="dxa" w:w="2492"/>
          </w:tcPr>
          <w:p>
            <w:pPr>
              <w:pStyle w:val="null3"/>
            </w:pPr>
            <w:r>
              <w:rPr>
                <w:rFonts w:ascii="仿宋_GB2312" w:hAnsi="仿宋_GB2312" w:cs="仿宋_GB2312" w:eastAsia="仿宋_GB2312"/>
              </w:rPr>
              <w:t>包含但不限于：团队组织架构；具体的项目团队人员及安排；岗位责任制度等。 评审标准：各项内容全面详细、内容清晰明确、阐述条理清晰、具有针对性、合理可行得3分。每有一项缺项扣1分，每有一处内容存在缺陷，扣0.5分，扣完为止，未提供相关内容本项不计分。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项目团队人员安排.docx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包含但不限于：售后服务承诺及措施；售后服务网点的设定；售后人员配置及安排计划；设备日常维护方案及措施；项目交付用户后出现故障响应时间及措施等。 评审标准：各项内容全面详细、内容清晰明确、阐述条理清晰、具有针对性、合理可行得5分。每有一项缺项扣1分，每有一处内容存在缺陷，扣0.5分，扣完为止，未提供相关内容本项不计分。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详见附件：安装调试及安全保障.docx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详见附件：技术指标响应情况.docx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详见附件：项目团队人员安排.docx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