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版本号：CT-ZB00-169-202620260623002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数智工程核心专业AI导学智评一体机项目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CT-ZB00-169-2026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数智工程核心专业AI导学智评一体机项目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CT-ZB00-169-2026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数智工程核心专业AI导学智评一体机项目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智工程核心专业AI导学智评一体机项目，该项目主要完成AI教学环境搭建，建设数字教材平台、AI导学智评平台。该项目实施将提供一站式数字教材编辑工具与运行环境，全面降低教师创建和编辑数字教材的技术门槛，满足日常教学全场景需求，显著提升学生学习效率与教师教学管理效能。同时项目将聚焦人工智能技术应用及大数据技术专业，实现个性化导学与智慧评价，通过知识图谱与AI技术，为学生提供自适应学习路径与智能问答，对学习表现进行动态诊断与预警；并有效支撑人工智能技术应用及大数据技术专业的综合实训、实践课程等实践教学环节，最终全面提升人才培养质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王涛、杨亚妮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15029679896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采购包1：2,360,000.00元</w:t>
            </w:r>
          </w:p>
          <w:p>
            <w:pPr>
              <w:pStyle w:val="null3"/>
            </w:pPr>
            <w:r>
              <w:rPr>
                <w:rFonts w:ascii="仿宋_GB2312" w:hAnsi="仿宋_GB2312" w:cs="仿宋_GB2312" w:eastAsia="仿宋_GB2312"/>
              </w:rPr>
              <w:t>采购包2：1,840,000.00元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联系人：王涛、杨亚妮</w:t>
      </w:r>
    </w:p>
    <w:p>
      <w:pPr>
        <w:pStyle w:val="null3"/>
      </w:pPr>
      <w:r>
        <w:rPr>
          <w:rFonts w:ascii="仿宋_GB2312" w:hAnsi="仿宋_GB2312" w:cs="仿宋_GB2312" w:eastAsia="仿宋_GB2312"/>
        </w:rPr>
        <w:t>联系电话：15029679896</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智工程核心专业AI导学智评一体机项目，该项目主要完成AI教学环境搭建，建设数字教材平台、AI导学智评平台。该项目实施将提供一站式数字教材编辑工具与运行环境，全面降低教师创建和编辑数字教材的技术门槛，满足日常教学全场景需求，显著提升学生学习效率与教师教学管理效能。同时项目将聚焦人工智能技术应用及大数据技术专业，实现个性化导学与智慧评价，通过知识图谱与AI技术，为学生提供自适应学习路径与智能问答，对学习表现进行动态诊断与预警；并有效支撑人工智能技术应用及大数据技术专业的综合实训、实践课程等实践教学环节，最终全面提升人才培养质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2,360,000.00</w:t>
      </w:r>
    </w:p>
    <w:p>
      <w:pPr>
        <w:pStyle w:val="null3"/>
      </w:pPr>
      <w:r>
        <w:rPr>
          <w:rFonts w:ascii="仿宋_GB2312" w:hAnsi="仿宋_GB2312" w:cs="仿宋_GB2312" w:eastAsia="仿宋_GB2312"/>
        </w:rPr>
        <w:t>采购包最高限价（元）: 2,360,000.00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第一包：数智工程核心专业AI导学管理平台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1,840,000.00</w:t>
      </w:r>
    </w:p>
    <w:p>
      <w:pPr>
        <w:pStyle w:val="null3"/>
      </w:pPr>
      <w:r>
        <w:rPr>
          <w:rFonts w:ascii="仿宋_GB2312" w:hAnsi="仿宋_GB2312" w:cs="仿宋_GB2312" w:eastAsia="仿宋_GB2312"/>
        </w:rPr>
        <w:t>采购包最高限价（元）: 1,840,000.00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第二包：数智工程核心专业AI导学智评平台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标的名称：第一包：数智工程核心专业AI导学管理平台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73"/>
              <w:gridCol w:w="1901"/>
              <w:gridCol w:w="207"/>
              <w:gridCol w:w="163"/>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高性能异构核心模块</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高性能异构核心模块，</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color w:val="000000"/>
                    </w:rPr>
                    <w:t>#</w:t>
                  </w:r>
                  <w:r>
                    <w:rPr>
                      <w:rFonts w:ascii="仿宋_GB2312" w:hAnsi="仿宋_GB2312" w:cs="仿宋_GB2312" w:eastAsia="仿宋_GB2312"/>
                      <w:sz w:val="21"/>
                      <w:color w:val="000000"/>
                    </w:rPr>
                    <w:t>机箱：机架式服务器；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处理器：配置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颗</w:t>
                  </w:r>
                  <w:r>
                    <w:rPr>
                      <w:rFonts w:ascii="仿宋_GB2312" w:hAnsi="仿宋_GB2312" w:cs="仿宋_GB2312" w:eastAsia="仿宋_GB2312"/>
                      <w:sz w:val="21"/>
                      <w:color w:val="000000"/>
                    </w:rPr>
                    <w:t>ARM</w:t>
                  </w:r>
                  <w:r>
                    <w:rPr>
                      <w:rFonts w:ascii="仿宋_GB2312" w:hAnsi="仿宋_GB2312" w:cs="仿宋_GB2312" w:eastAsia="仿宋_GB2312"/>
                      <w:sz w:val="21"/>
                      <w:color w:val="000000"/>
                    </w:rPr>
                    <w:t>架构国产自主品牌处理器，单颗</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核数</w:t>
                  </w:r>
                  <w:r>
                    <w:rPr>
                      <w:rFonts w:ascii="仿宋_GB2312" w:hAnsi="仿宋_GB2312" w:cs="仿宋_GB2312" w:eastAsia="仿宋_GB2312"/>
                      <w:sz w:val="21"/>
                      <w:color w:val="000000"/>
                    </w:rPr>
                    <w:t>≥48</w:t>
                  </w:r>
                  <w:r>
                    <w:rPr>
                      <w:rFonts w:ascii="仿宋_GB2312" w:hAnsi="仿宋_GB2312" w:cs="仿宋_GB2312" w:eastAsia="仿宋_GB2312"/>
                      <w:sz w:val="21"/>
                      <w:color w:val="000000"/>
                    </w:rPr>
                    <w:t>核、频率</w:t>
                  </w:r>
                  <w:r>
                    <w:rPr>
                      <w:rFonts w:ascii="仿宋_GB2312" w:hAnsi="仿宋_GB2312" w:cs="仿宋_GB2312" w:eastAsia="仿宋_GB2312"/>
                      <w:sz w:val="21"/>
                      <w:color w:val="000000"/>
                    </w:rPr>
                    <w:t>≥2.6GHz</w:t>
                  </w:r>
                  <w:r>
                    <w:rPr>
                      <w:rFonts w:ascii="仿宋_GB2312" w:hAnsi="仿宋_GB2312" w:cs="仿宋_GB2312" w:eastAsia="仿宋_GB2312"/>
                      <w:sz w:val="21"/>
                      <w:color w:val="000000"/>
                    </w:rPr>
                    <w:t>；所投服务器的</w:t>
                  </w:r>
                  <w:r>
                    <w:rPr>
                      <w:rFonts w:ascii="仿宋_GB2312" w:hAnsi="仿宋_GB2312" w:cs="仿宋_GB2312" w:eastAsia="仿宋_GB2312"/>
                      <w:sz w:val="21"/>
                      <w:color w:val="000000"/>
                    </w:rPr>
                    <w:t>CPU</w:t>
                  </w:r>
                  <w:r>
                    <w:rPr>
                      <w:rFonts w:ascii="仿宋_GB2312" w:hAnsi="仿宋_GB2312" w:cs="仿宋_GB2312" w:eastAsia="仿宋_GB2312"/>
                      <w:sz w:val="21"/>
                      <w:color w:val="000000"/>
                    </w:rPr>
                    <w:t>须符合安全可靠测评要求，提供</w:t>
                  </w:r>
                  <w:r>
                    <w:rPr>
                      <w:rFonts w:ascii="仿宋_GB2312" w:hAnsi="仿宋_GB2312" w:cs="仿宋_GB2312" w:eastAsia="仿宋_GB2312"/>
                      <w:sz w:val="21"/>
                      <w:color w:val="000000"/>
                    </w:rPr>
                    <w:t>CPU</w:t>
                  </w:r>
                  <w:r>
                    <w:rPr>
                      <w:rFonts w:ascii="仿宋_GB2312" w:hAnsi="仿宋_GB2312" w:cs="仿宋_GB2312" w:eastAsia="仿宋_GB2312"/>
                      <w:sz w:val="21"/>
                      <w:color w:val="000000"/>
                    </w:rPr>
                    <w:t>符合安全可靠测评要求的证明材料；</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内存：配置</w:t>
                  </w:r>
                  <w:r>
                    <w:rPr>
                      <w:rFonts w:ascii="仿宋_GB2312" w:hAnsi="仿宋_GB2312" w:cs="仿宋_GB2312" w:eastAsia="仿宋_GB2312"/>
                      <w:sz w:val="21"/>
                      <w:color w:val="000000"/>
                    </w:rPr>
                    <w:t>≥512GB DDR4</w:t>
                  </w:r>
                  <w:r>
                    <w:rPr>
                      <w:rFonts w:ascii="仿宋_GB2312" w:hAnsi="仿宋_GB2312" w:cs="仿宋_GB2312" w:eastAsia="仿宋_GB2312"/>
                      <w:sz w:val="21"/>
                      <w:color w:val="000000"/>
                    </w:rPr>
                    <w:t>内存，支持可扩展</w:t>
                  </w:r>
                  <w:r>
                    <w:rPr>
                      <w:rFonts w:ascii="仿宋_GB2312" w:hAnsi="仿宋_GB2312" w:cs="仿宋_GB2312" w:eastAsia="仿宋_GB2312"/>
                      <w:sz w:val="21"/>
                      <w:color w:val="000000"/>
                    </w:rPr>
                    <w:t>≥1024GB</w:t>
                  </w:r>
                  <w:r>
                    <w:rPr>
                      <w:rFonts w:ascii="仿宋_GB2312" w:hAnsi="仿宋_GB2312" w:cs="仿宋_GB2312" w:eastAsia="仿宋_GB2312"/>
                      <w:sz w:val="21"/>
                      <w:color w:val="000000"/>
                    </w:rPr>
                    <w:t>内存；</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w:t>
                  </w:r>
                  <w:r>
                    <w:rPr>
                      <w:rFonts w:ascii="仿宋_GB2312" w:hAnsi="仿宋_GB2312" w:cs="仿宋_GB2312" w:eastAsia="仿宋_GB2312"/>
                      <w:sz w:val="21"/>
                      <w:color w:val="000000"/>
                    </w:rPr>
                    <w:t>8</w:t>
                  </w:r>
                  <w:r>
                    <w:rPr>
                      <w:rFonts w:ascii="仿宋_GB2312" w:hAnsi="仿宋_GB2312" w:cs="仿宋_GB2312" w:eastAsia="仿宋_GB2312"/>
                      <w:sz w:val="21"/>
                      <w:color w:val="000000"/>
                    </w:rPr>
                    <w:t>颗国产</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处理单元；单个</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w:t>
                  </w:r>
                  <w:r>
                    <w:rPr>
                      <w:rFonts w:ascii="仿宋_GB2312" w:hAnsi="仿宋_GB2312" w:cs="仿宋_GB2312" w:eastAsia="仿宋_GB2312"/>
                      <w:sz w:val="21"/>
                      <w:color w:val="000000"/>
                    </w:rPr>
                    <w:t>≥280TFlops@FP16</w:t>
                  </w:r>
                  <w:r>
                    <w:rPr>
                      <w:rFonts w:ascii="仿宋_GB2312" w:hAnsi="仿宋_GB2312" w:cs="仿宋_GB2312" w:eastAsia="仿宋_GB2312"/>
                      <w:sz w:val="21"/>
                      <w:color w:val="000000"/>
                    </w:rPr>
                    <w:t>，单个</w:t>
                  </w:r>
                  <w:r>
                    <w:rPr>
                      <w:rFonts w:ascii="仿宋_GB2312" w:hAnsi="仿宋_GB2312" w:cs="仿宋_GB2312" w:eastAsia="仿宋_GB2312"/>
                      <w:sz w:val="21"/>
                      <w:color w:val="000000"/>
                    </w:rPr>
                    <w:t>AI</w:t>
                  </w:r>
                  <w:r>
                    <w:rPr>
                      <w:rFonts w:ascii="仿宋_GB2312" w:hAnsi="仿宋_GB2312" w:cs="仿宋_GB2312" w:eastAsia="仿宋_GB2312"/>
                      <w:sz w:val="21"/>
                      <w:color w:val="000000"/>
                    </w:rPr>
                    <w:t>处理单元支持</w:t>
                  </w:r>
                  <w:r>
                    <w:rPr>
                      <w:rFonts w:ascii="仿宋_GB2312" w:hAnsi="仿宋_GB2312" w:cs="仿宋_GB2312" w:eastAsia="仿宋_GB2312"/>
                      <w:sz w:val="21"/>
                      <w:color w:val="000000"/>
                    </w:rPr>
                    <w:t xml:space="preserve">≥64GB </w:t>
                  </w:r>
                  <w:r>
                    <w:rPr>
                      <w:rFonts w:ascii="仿宋_GB2312" w:hAnsi="仿宋_GB2312" w:cs="仿宋_GB2312" w:eastAsia="仿宋_GB2312"/>
                      <w:sz w:val="21"/>
                      <w:color w:val="000000"/>
                    </w:rPr>
                    <w:t>，非稀疏情况下整机可提供</w:t>
                  </w:r>
                  <w:r>
                    <w:rPr>
                      <w:rFonts w:ascii="仿宋_GB2312" w:hAnsi="仿宋_GB2312" w:cs="仿宋_GB2312" w:eastAsia="仿宋_GB2312"/>
                      <w:sz w:val="21"/>
                      <w:color w:val="000000"/>
                    </w:rPr>
                    <w:t>≥2.2PFlops@FP16</w:t>
                  </w:r>
                  <w:r>
                    <w:rPr>
                      <w:rFonts w:ascii="仿宋_GB2312" w:hAnsi="仿宋_GB2312" w:cs="仿宋_GB2312" w:eastAsia="仿宋_GB2312"/>
                      <w:sz w:val="21"/>
                      <w:color w:val="000000"/>
                    </w:rPr>
                    <w:t>算力；</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系统盘：配置</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rPr>
                      <w:rFonts w:ascii="仿宋_GB2312" w:hAnsi="仿宋_GB2312" w:cs="仿宋_GB2312" w:eastAsia="仿宋_GB2312"/>
                      <w:sz w:val="21"/>
                      <w:color w:val="000000"/>
                    </w:rPr>
                    <w:t>480G SATA</w:t>
                  </w:r>
                  <w:r>
                    <w:rPr>
                      <w:rFonts w:ascii="仿宋_GB2312" w:hAnsi="仿宋_GB2312" w:cs="仿宋_GB2312" w:eastAsia="仿宋_GB2312"/>
                      <w:sz w:val="21"/>
                      <w:color w:val="000000"/>
                    </w:rPr>
                    <w:t>固态硬盘；配置</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rPr>
                      <w:rFonts w:ascii="仿宋_GB2312" w:hAnsi="仿宋_GB2312" w:cs="仿宋_GB2312" w:eastAsia="仿宋_GB2312"/>
                      <w:sz w:val="21"/>
                      <w:color w:val="000000"/>
                    </w:rPr>
                    <w:t>3.84T NVME</w:t>
                  </w:r>
                  <w:r>
                    <w:rPr>
                      <w:rFonts w:ascii="仿宋_GB2312" w:hAnsi="仿宋_GB2312" w:cs="仿宋_GB2312" w:eastAsia="仿宋_GB2312"/>
                      <w:sz w:val="21"/>
                      <w:color w:val="000000"/>
                    </w:rPr>
                    <w:t>固态硬盘；</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RAID</w:t>
                  </w:r>
                  <w:r>
                    <w:rPr>
                      <w:rFonts w:ascii="仿宋_GB2312" w:hAnsi="仿宋_GB2312" w:cs="仿宋_GB2312" w:eastAsia="仿宋_GB2312"/>
                      <w:sz w:val="21"/>
                      <w:color w:val="000000"/>
                    </w:rPr>
                    <w:t>卡：配置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张</w:t>
                  </w:r>
                  <w:r>
                    <w:rPr>
                      <w:rFonts w:ascii="仿宋_GB2312" w:hAnsi="仿宋_GB2312" w:cs="仿宋_GB2312" w:eastAsia="仿宋_GB2312"/>
                      <w:sz w:val="21"/>
                      <w:color w:val="000000"/>
                    </w:rPr>
                    <w:t>≥4GB</w:t>
                  </w:r>
                  <w:r>
                    <w:rPr>
                      <w:rFonts w:ascii="仿宋_GB2312" w:hAnsi="仿宋_GB2312" w:cs="仿宋_GB2312" w:eastAsia="仿宋_GB2312"/>
                      <w:sz w:val="21"/>
                      <w:color w:val="000000"/>
                    </w:rPr>
                    <w:t>缓存阵列卡；支持</w:t>
                  </w:r>
                  <w:r>
                    <w:rPr>
                      <w:rFonts w:ascii="仿宋_GB2312" w:hAnsi="仿宋_GB2312" w:cs="仿宋_GB2312" w:eastAsia="仿宋_GB2312"/>
                      <w:sz w:val="21"/>
                      <w:color w:val="000000"/>
                    </w:rPr>
                    <w:t>RAID 0.1.5.6,10,50,60,</w:t>
                  </w:r>
                  <w:r>
                    <w:rPr>
                      <w:rFonts w:ascii="仿宋_GB2312" w:hAnsi="仿宋_GB2312" w:cs="仿宋_GB2312" w:eastAsia="仿宋_GB2312"/>
                      <w:sz w:val="21"/>
                      <w:color w:val="000000"/>
                    </w:rPr>
                    <w:t>支持超级电容和边带管理；</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网络：配置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25G</w:t>
                  </w:r>
                  <w:r>
                    <w:rPr>
                      <w:rFonts w:ascii="仿宋_GB2312" w:hAnsi="仿宋_GB2312" w:cs="仿宋_GB2312" w:eastAsia="仿宋_GB2312"/>
                      <w:sz w:val="21"/>
                      <w:color w:val="000000"/>
                    </w:rPr>
                    <w:t>光口（含模块）；配置</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200GE</w:t>
                  </w:r>
                  <w:r>
                    <w:rPr>
                      <w:rFonts w:ascii="仿宋_GB2312" w:hAnsi="仿宋_GB2312" w:cs="仿宋_GB2312" w:eastAsia="仿宋_GB2312"/>
                      <w:sz w:val="21"/>
                      <w:color w:val="000000"/>
                    </w:rPr>
                    <w:t>接口（含</w:t>
                  </w:r>
                  <w:r>
                    <w:rPr>
                      <w:rFonts w:ascii="仿宋_GB2312" w:hAnsi="仿宋_GB2312" w:cs="仿宋_GB2312" w:eastAsia="仿宋_GB2312"/>
                      <w:sz w:val="21"/>
                      <w:color w:val="000000"/>
                    </w:rPr>
                    <w:t>200GE</w:t>
                  </w:r>
                  <w:r>
                    <w:rPr>
                      <w:rFonts w:ascii="仿宋_GB2312" w:hAnsi="仿宋_GB2312" w:cs="仿宋_GB2312" w:eastAsia="仿宋_GB2312"/>
                      <w:sz w:val="21"/>
                      <w:color w:val="000000"/>
                    </w:rPr>
                    <w:t>光模块）；</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电源：配置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2600W</w:t>
                  </w:r>
                  <w:r>
                    <w:rPr>
                      <w:rFonts w:ascii="仿宋_GB2312" w:hAnsi="仿宋_GB2312" w:cs="仿宋_GB2312" w:eastAsia="仿宋_GB2312"/>
                      <w:sz w:val="21"/>
                      <w:color w:val="000000"/>
                    </w:rPr>
                    <w:t>电源；支持</w:t>
                  </w:r>
                  <w:r>
                    <w:rPr>
                      <w:rFonts w:ascii="仿宋_GB2312" w:hAnsi="仿宋_GB2312" w:cs="仿宋_GB2312" w:eastAsia="仿宋_GB2312"/>
                      <w:sz w:val="21"/>
                      <w:color w:val="000000"/>
                    </w:rPr>
                    <w:t>2+2</w:t>
                  </w:r>
                  <w:r>
                    <w:rPr>
                      <w:rFonts w:ascii="仿宋_GB2312" w:hAnsi="仿宋_GB2312" w:cs="仿宋_GB2312" w:eastAsia="仿宋_GB2312"/>
                      <w:sz w:val="21"/>
                      <w:color w:val="000000"/>
                    </w:rPr>
                    <w:t>冗余；</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其他要求：为满足学校应用和教学要求，</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芯片厂家提供底层算子开发、模型迁移适配技术支持，提供</w:t>
                  </w:r>
                  <w:r>
                    <w:rPr>
                      <w:rFonts w:ascii="仿宋_GB2312" w:hAnsi="仿宋_GB2312" w:cs="仿宋_GB2312" w:eastAsia="仿宋_GB2312"/>
                      <w:sz w:val="21"/>
                      <w:color w:val="000000"/>
                    </w:rPr>
                    <w:t>AI</w:t>
                  </w:r>
                  <w:r>
                    <w:rPr>
                      <w:rFonts w:ascii="仿宋_GB2312" w:hAnsi="仿宋_GB2312" w:cs="仿宋_GB2312" w:eastAsia="仿宋_GB2312"/>
                      <w:sz w:val="21"/>
                      <w:color w:val="000000"/>
                    </w:rPr>
                    <w:t>芯片厂家针对本项目盖章的技术支持文件；</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服务：配置</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年原厂质保；</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此设备为本项目核心</w:t>
                  </w:r>
                  <w:r>
                    <w:rPr>
                      <w:rFonts w:ascii="仿宋_GB2312" w:hAnsi="仿宋_GB2312" w:cs="仿宋_GB2312" w:eastAsia="仿宋_GB2312"/>
                      <w:sz w:val="21"/>
                      <w:b/>
                      <w:color w:val="000000"/>
                    </w:rPr>
                    <w:t>产品</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 导学智评一体机互动设备</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AI </w:t>
                  </w:r>
                  <w:r>
                    <w:rPr>
                      <w:rFonts w:ascii="仿宋_GB2312" w:hAnsi="仿宋_GB2312" w:cs="仿宋_GB2312" w:eastAsia="仿宋_GB2312"/>
                      <w:sz w:val="21"/>
                      <w:color w:val="000000"/>
                    </w:rPr>
                    <w:t>导学智评一体机互动设备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color w:val="000000"/>
                    </w:rPr>
                    <w:t>#</w:t>
                  </w:r>
                  <w:r>
                    <w:rPr>
                      <w:rFonts w:ascii="仿宋_GB2312" w:hAnsi="仿宋_GB2312" w:cs="仿宋_GB2312" w:eastAsia="仿宋_GB2312"/>
                      <w:sz w:val="21"/>
                      <w:color w:val="000000"/>
                    </w:rPr>
                    <w:t>取景传感设备</w:t>
                  </w:r>
                  <w:r>
                    <w:rPr>
                      <w:rFonts w:ascii="仿宋_GB2312" w:hAnsi="仿宋_GB2312" w:cs="仿宋_GB2312" w:eastAsia="仿宋_GB2312"/>
                      <w:sz w:val="21"/>
                      <w:color w:val="000000"/>
                    </w:rPr>
                    <w:t>≥8000000PIXEL，使用国产化操作系统，互动采样传感设备≥13000000PIXEL，视觉体验模块≥2800x1840，数据缓存资源容量：≥8GB；数据存储容量≥256GB，终端接口支持 Type-C接口；</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AI数字教材编辑应用一体化平台</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AI</w:t>
                  </w:r>
                  <w:r>
                    <w:rPr>
                      <w:rFonts w:ascii="仿宋_GB2312" w:hAnsi="仿宋_GB2312" w:cs="仿宋_GB2312" w:eastAsia="仿宋_GB2312"/>
                      <w:sz w:val="21"/>
                      <w:color w:val="000000"/>
                    </w:rPr>
                    <w:t>数字教材编辑应用一体化平台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（一）总体要求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数字教材平台可满足全校师生使用，不限制使用人数；平台所承载的数字教材不限制数量。</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w:t>
                  </w:r>
                  <w:r>
                    <w:rPr>
                      <w:rFonts w:ascii="仿宋_GB2312" w:hAnsi="仿宋_GB2312" w:cs="仿宋_GB2312" w:eastAsia="仿宋_GB2312"/>
                      <w:sz w:val="21"/>
                      <w:color w:val="000000"/>
                    </w:rPr>
                    <w:t>本项目交付验收后，自项目验收合格之日起提供</w:t>
                  </w:r>
                  <w:r>
                    <w:rPr>
                      <w:rFonts w:ascii="仿宋_GB2312" w:hAnsi="仿宋_GB2312" w:cs="仿宋_GB2312" w:eastAsia="仿宋_GB2312"/>
                      <w:sz w:val="21"/>
                      <w:color w:val="000000"/>
                    </w:rPr>
                    <w:t>3年免费质保期。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1）培训服务：提供操作文档，并进行系统化培训。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2）运维保障：质保期内，免费提供系统维护，解决技术故障；定期为学校提供系统维护报告。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3）功能升级：质保期内，免费提供平台系统功能模块的升级更新服务。</w:t>
                  </w:r>
                </w:p>
                <w:p>
                  <w:pPr>
                    <w:pStyle w:val="null3"/>
                    <w:jc w:val="both"/>
                  </w:pPr>
                  <w:r>
                    <w:rPr>
                      <w:rFonts w:ascii="仿宋_GB2312" w:hAnsi="仿宋_GB2312" w:cs="仿宋_GB2312" w:eastAsia="仿宋_GB2312"/>
                      <w:sz w:val="21"/>
                      <w:color w:val="000000"/>
                    </w:rPr>
                    <w:t>（二）数字教材编辑模块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提供一站式数字教材编辑工具和环境，方便教师高效地创建和编辑数字教材。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智能导入与格式转换：支持主流包括但不仅限于</w:t>
                  </w:r>
                  <w:r>
                    <w:rPr>
                      <w:rFonts w:ascii="仿宋_GB2312" w:hAnsi="仿宋_GB2312" w:cs="仿宋_GB2312" w:eastAsia="仿宋_GB2312"/>
                      <w:sz w:val="21"/>
                      <w:color w:val="000000"/>
                    </w:rPr>
                    <w:t>Word（doc、docx）、PDF、PPT、wps（doc、docx）等常见文档一键导入，自动识别章节结构和文档中的图片，快速复用已有文档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2.富媒体编辑组件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多媒体插入：支持视频、音频、互动H5、图片画廊、公式、注释、扩展阅读、注释、引用、动画、3D模型、代码快、编程实践、思维导图、投票问卷、互动练习、实验实训、讨论、练习等资源嵌入，教师可直接添加到教材任意位置。（</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视频：支持多种格式，包括</w:t>
                  </w:r>
                  <w:r>
                    <w:rPr>
                      <w:rFonts w:ascii="仿宋_GB2312" w:hAnsi="仿宋_GB2312" w:cs="仿宋_GB2312" w:eastAsia="仿宋_GB2312"/>
                      <w:sz w:val="21"/>
                      <w:color w:val="000000"/>
                    </w:rPr>
                    <w:t>mp4、flv、avi、mov、wmv、mkv等常见视频格式。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音频：支持多种格式，包括</w:t>
                  </w:r>
                  <w:r>
                    <w:rPr>
                      <w:rFonts w:ascii="仿宋_GB2312" w:hAnsi="仿宋_GB2312" w:cs="仿宋_GB2312" w:eastAsia="仿宋_GB2312"/>
                      <w:sz w:val="21"/>
                      <w:color w:val="000000"/>
                    </w:rPr>
                    <w:t>mp3、wma、wav、aac、m4a等常见音频格式，支持插入整行音频和行内音频。</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4）▲图片：支持对图片在线裁剪和缩放。支持批量插入画册、画廊的图片，实现快捷操作。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3D模型：支持3D模型嵌入和沉浸式学习体验，支持对3D模型进行爆炸、高亮操作，可设置爆炸距离。支持在线编辑3D模型，可对3D模型进行光源、背景、大小、位置等参数进行设置，支持导入/导出的格式包括GLB、GLTF、OBJ、PLY、STL、USDZ。（</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互动练习：支持添加选择题、填空题、判断题、简答题、图片互动练习组件到教材任意位置。题目中支持插入音视频、图片、公式等。选择题型支持答案混淆，图片互动题支持有序和无序作答。支持批量导入导出题目。（</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7）▲编程实践：支持插入编程实训项目，可以设置代码语言、预设代码和完整示例代码，内置代码编译工具，支持Java、C++、Go、Python、C、C</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JavaScript、TypeScript、PHP、Swift、Kotlin、Scala、Rust、Ruby、Groovy、Pascal等多种语言代码在线运行，并可查看执行结果。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0"/>
                    </w:rPr>
                    <w:t>#</w:t>
                  </w:r>
                  <w:r>
                    <w:rPr>
                      <w:rFonts w:ascii="仿宋_GB2312" w:hAnsi="仿宋_GB2312" w:cs="仿宋_GB2312" w:eastAsia="仿宋_GB2312"/>
                      <w:sz w:val="21"/>
                      <w:color w:val="000000"/>
                    </w:rPr>
                    <w:t>实验实训：支持添加虚拟仿真实训资源文件和</w:t>
                  </w:r>
                  <w:r>
                    <w:rPr>
                      <w:rFonts w:ascii="仿宋_GB2312" w:hAnsi="仿宋_GB2312" w:cs="仿宋_GB2312" w:eastAsia="仿宋_GB2312"/>
                      <w:sz w:val="21"/>
                      <w:color w:val="000000"/>
                    </w:rPr>
                    <w:t>H5资源文件到平台，作为互动资源插入到教材。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0"/>
                    </w:rPr>
                    <w:t>#</w:t>
                  </w:r>
                  <w:r>
                    <w:rPr>
                      <w:rFonts w:ascii="仿宋_GB2312" w:hAnsi="仿宋_GB2312" w:cs="仿宋_GB2312" w:eastAsia="仿宋_GB2312"/>
                      <w:sz w:val="21"/>
                      <w:color w:val="000000"/>
                    </w:rPr>
                    <w:t>公式与图表：支持</w:t>
                  </w:r>
                  <w:r>
                    <w:rPr>
                      <w:rFonts w:ascii="仿宋_GB2312" w:hAnsi="仿宋_GB2312" w:cs="仿宋_GB2312" w:eastAsia="仿宋_GB2312"/>
                      <w:sz w:val="21"/>
                      <w:color w:val="000000"/>
                    </w:rPr>
                    <w:t>LaTeX等公式编辑器，支持插入整行公式、行内公式，满足理工科教材建设需求。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0"/>
                    </w:rPr>
                    <w:t>#</w:t>
                  </w:r>
                  <w:r>
                    <w:rPr>
                      <w:rFonts w:ascii="仿宋_GB2312" w:hAnsi="仿宋_GB2312" w:cs="仿宋_GB2312" w:eastAsia="仿宋_GB2312"/>
                      <w:sz w:val="21"/>
                      <w:color w:val="000000"/>
                    </w:rPr>
                    <w:t>思维导图：支持逻辑结构图、思维导图、组织结构图、时间轴等结构，内置多种样式主题。</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0"/>
                    </w:rPr>
                    <w:t>#</w:t>
                  </w:r>
                  <w:r>
                    <w:rPr>
                      <w:rFonts w:ascii="仿宋_GB2312" w:hAnsi="仿宋_GB2312" w:cs="仿宋_GB2312" w:eastAsia="仿宋_GB2312"/>
                      <w:sz w:val="21"/>
                      <w:color w:val="000000"/>
                    </w:rPr>
                    <w:t>引用：支持添加引用的文献资料，包括作者、著作名、出版地、出版社、出版年、引文页码等自动生成规范的参考文献格式；可批量生成引用文献目录。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12）图片、表格题注编号：对插入的图片和表格自动编号和更新编号，支持设置不同的编号规则（章序号、章节双重序号），减少手动设置工作量。</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 丰富的样式库</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支持多项样式库、模版库及丰富的主题样式，样式库包含至少</w:t>
                  </w:r>
                  <w:r>
                    <w:rPr>
                      <w:rFonts w:ascii="仿宋_GB2312" w:hAnsi="仿宋_GB2312" w:cs="仿宋_GB2312" w:eastAsia="仿宋_GB2312"/>
                      <w:sz w:val="21"/>
                      <w:color w:val="000000"/>
                    </w:rPr>
                    <w:t>8种标题样式、4种正文样式、3种分栏布局、4套主题模板</w:t>
                  </w:r>
                </w:p>
                <w:p>
                  <w:pPr>
                    <w:pStyle w:val="null3"/>
                    <w:jc w:val="both"/>
                  </w:pPr>
                  <w:r>
                    <w:rPr>
                      <w:rFonts w:ascii="仿宋_GB2312" w:hAnsi="仿宋_GB2312" w:cs="仿宋_GB2312" w:eastAsia="仿宋_GB2312"/>
                      <w:sz w:val="21"/>
                      <w:color w:val="000000"/>
                    </w:rPr>
                    <w:t>4. AI智能化加工</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1）▲基于教材内容，AI可自动生成配套图片、拓展阅读、开放讨论、注释、思政案例及配套习题和答案解析，教师可一键采纳或插入教材后修改。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AI辅助润色：AI可提供改写、扩写、总结、文本多语言翻译等功能，帮助提升内容质量。</w:t>
                  </w:r>
                </w:p>
                <w:p>
                  <w:pPr>
                    <w:pStyle w:val="null3"/>
                    <w:jc w:val="both"/>
                  </w:pPr>
                  <w:r>
                    <w:rPr>
                      <w:rFonts w:ascii="仿宋_GB2312" w:hAnsi="仿宋_GB2312" w:cs="仿宋_GB2312" w:eastAsia="仿宋_GB2312"/>
                      <w:sz w:val="21"/>
                      <w:color w:val="000000"/>
                    </w:rPr>
                    <w:t>5.AI工具箱：提供多款AI工具，辅助教师编写教材。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图片翻译：提供</w:t>
                  </w:r>
                  <w:r>
                    <w:rPr>
                      <w:rFonts w:ascii="仿宋_GB2312" w:hAnsi="仿宋_GB2312" w:cs="仿宋_GB2312" w:eastAsia="仿宋_GB2312"/>
                      <w:sz w:val="21"/>
                      <w:color w:val="000000"/>
                    </w:rPr>
                    <w:t>“一键上传、原位译文、多语种覆盖”的图片翻译AI服务</w:t>
                  </w:r>
                </w:p>
                <w:p>
                  <w:pPr>
                    <w:pStyle w:val="null3"/>
                    <w:jc w:val="both"/>
                  </w:pPr>
                  <w:r>
                    <w:rPr>
                      <w:rFonts w:ascii="仿宋_GB2312" w:hAnsi="仿宋_GB2312" w:cs="仿宋_GB2312" w:eastAsia="仿宋_GB2312"/>
                      <w:sz w:val="21"/>
                      <w:color w:val="000000"/>
                    </w:rPr>
                    <w:t>①</w:t>
                  </w:r>
                  <w:r>
                    <w:rPr>
                      <w:rFonts w:ascii="仿宋_GB2312" w:hAnsi="仿宋_GB2312" w:cs="仿宋_GB2312" w:eastAsia="仿宋_GB2312"/>
                      <w:sz w:val="20"/>
                    </w:rPr>
                    <w:t>#</w:t>
                  </w:r>
                  <w:r>
                    <w:rPr>
                      <w:rFonts w:ascii="仿宋_GB2312" w:hAnsi="仿宋_GB2312" w:cs="仿宋_GB2312" w:eastAsia="仿宋_GB2312"/>
                      <w:sz w:val="21"/>
                      <w:color w:val="000000"/>
                    </w:rPr>
                    <w:t>原始图片上传：支持的图片格式有</w:t>
                  </w:r>
                  <w:r>
                    <w:rPr>
                      <w:rFonts w:ascii="仿宋_GB2312" w:hAnsi="仿宋_GB2312" w:cs="仿宋_GB2312" w:eastAsia="仿宋_GB2312"/>
                      <w:sz w:val="21"/>
                      <w:color w:val="000000"/>
                    </w:rPr>
                    <w:t>jpg、jpeg、png。</w:t>
                  </w:r>
                </w:p>
                <w:p>
                  <w:pPr>
                    <w:pStyle w:val="null3"/>
                    <w:jc w:val="both"/>
                  </w:pPr>
                  <w:r>
                    <w:rPr>
                      <w:rFonts w:ascii="仿宋_GB2312" w:hAnsi="仿宋_GB2312" w:cs="仿宋_GB2312" w:eastAsia="仿宋_GB2312"/>
                      <w:sz w:val="21"/>
                      <w:color w:val="000000"/>
                    </w:rPr>
                    <w:t>②▲选择语言：支持自动检测原语言、支持手动选择原语言；支持选择要翻译的目标语言；支持的语言有：中文简体、英语、韩语、日语、俄语、西班牙语、法语、葡萄牙语、意大利语、越南语、马来语、泰语、印度尼西亚语、阿拉伯语等14种语言。</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0"/>
                    </w:rPr>
                    <w:t>#</w:t>
                  </w:r>
                  <w:r>
                    <w:rPr>
                      <w:rFonts w:ascii="仿宋_GB2312" w:hAnsi="仿宋_GB2312" w:cs="仿宋_GB2312" w:eastAsia="仿宋_GB2312"/>
                      <w:sz w:val="21"/>
                      <w:color w:val="000000"/>
                    </w:rPr>
                    <w:t>获得翻译后的图片：支持图片上的文字在原位置显示翻译结果。</w:t>
                  </w:r>
                </w:p>
                <w:p>
                  <w:pPr>
                    <w:pStyle w:val="null3"/>
                    <w:jc w:val="both"/>
                  </w:pPr>
                  <w:r>
                    <w:rPr>
                      <w:rFonts w:ascii="仿宋_GB2312" w:hAnsi="仿宋_GB2312" w:cs="仿宋_GB2312" w:eastAsia="仿宋_GB2312"/>
                      <w:sz w:val="21"/>
                      <w:color w:val="000000"/>
                    </w:rPr>
                    <w:t>④</w:t>
                  </w:r>
                  <w:r>
                    <w:rPr>
                      <w:rFonts w:ascii="仿宋_GB2312" w:hAnsi="仿宋_GB2312" w:cs="仿宋_GB2312" w:eastAsia="仿宋_GB2312"/>
                      <w:sz w:val="20"/>
                    </w:rPr>
                    <w:t>#</w:t>
                  </w:r>
                  <w:r>
                    <w:rPr>
                      <w:rFonts w:ascii="仿宋_GB2312" w:hAnsi="仿宋_GB2312" w:cs="仿宋_GB2312" w:eastAsia="仿宋_GB2312"/>
                      <w:sz w:val="21"/>
                      <w:color w:val="000000"/>
                    </w:rPr>
                    <w:t>图片支持查看、下载和在线保存：支持在线查看图片，图片支持放大、缩小、全屏、旋转；支持下载图片。</w:t>
                  </w:r>
                </w:p>
                <w:p>
                  <w:pPr>
                    <w:pStyle w:val="null3"/>
                    <w:jc w:val="both"/>
                  </w:pPr>
                  <w:r>
                    <w:rPr>
                      <w:rFonts w:ascii="仿宋_GB2312" w:hAnsi="仿宋_GB2312" w:cs="仿宋_GB2312" w:eastAsia="仿宋_GB2312"/>
                      <w:sz w:val="21"/>
                      <w:color w:val="000000"/>
                    </w:rPr>
                    <w:t>⑤</w:t>
                  </w:r>
                  <w:r>
                    <w:rPr>
                      <w:rFonts w:ascii="仿宋_GB2312" w:hAnsi="仿宋_GB2312" w:cs="仿宋_GB2312" w:eastAsia="仿宋_GB2312"/>
                      <w:sz w:val="20"/>
                    </w:rPr>
                    <w:t>#</w:t>
                  </w:r>
                  <w:r>
                    <w:rPr>
                      <w:rFonts w:ascii="仿宋_GB2312" w:hAnsi="仿宋_GB2312" w:cs="仿宋_GB2312" w:eastAsia="仿宋_GB2312"/>
                      <w:sz w:val="21"/>
                      <w:color w:val="000000"/>
                    </w:rPr>
                    <w:t>支持查看历史翻译记录。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2）文档翻译：</w:t>
                  </w:r>
                </w:p>
                <w:p>
                  <w:pPr>
                    <w:pStyle w:val="null3"/>
                    <w:jc w:val="both"/>
                  </w:pPr>
                  <w:r>
                    <w:rPr>
                      <w:rFonts w:ascii="仿宋_GB2312" w:hAnsi="仿宋_GB2312" w:cs="仿宋_GB2312" w:eastAsia="仿宋_GB2312"/>
                      <w:sz w:val="21"/>
                      <w:color w:val="000000"/>
                    </w:rPr>
                    <w:t>①</w:t>
                  </w:r>
                  <w:r>
                    <w:rPr>
                      <w:rFonts w:ascii="仿宋_GB2312" w:hAnsi="仿宋_GB2312" w:cs="仿宋_GB2312" w:eastAsia="仿宋_GB2312"/>
                      <w:sz w:val="20"/>
                    </w:rPr>
                    <w:t>#</w:t>
                  </w:r>
                  <w:r>
                    <w:rPr>
                      <w:rFonts w:ascii="仿宋_GB2312" w:hAnsi="仿宋_GB2312" w:cs="仿宋_GB2312" w:eastAsia="仿宋_GB2312"/>
                      <w:sz w:val="21"/>
                      <w:color w:val="000000"/>
                    </w:rPr>
                    <w:t>原始文档上传：支持的文档格式有</w:t>
                  </w:r>
                  <w:r>
                    <w:rPr>
                      <w:rFonts w:ascii="仿宋_GB2312" w:hAnsi="仿宋_GB2312" w:cs="仿宋_GB2312" w:eastAsia="仿宋_GB2312"/>
                      <w:sz w:val="21"/>
                      <w:color w:val="000000"/>
                    </w:rPr>
                    <w:t>PDF、DOC、DOCX、PPT、PPTX、TXT、XLS、XLS、XLSX。</w:t>
                  </w:r>
                </w:p>
                <w:p>
                  <w:pPr>
                    <w:pStyle w:val="null3"/>
                    <w:jc w:val="both"/>
                  </w:pPr>
                  <w:r>
                    <w:rPr>
                      <w:rFonts w:ascii="仿宋_GB2312" w:hAnsi="仿宋_GB2312" w:cs="仿宋_GB2312" w:eastAsia="仿宋_GB2312"/>
                      <w:sz w:val="21"/>
                      <w:color w:val="000000"/>
                    </w:rPr>
                    <w:t>②▲选择语言：支持自动检测原语言、支持手动选择原语言；支持选择要翻译的目标语言；支持的语言有：中文简体、英语、法语、俄语、韩语、西班牙语等200种以上语言。</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0"/>
                    </w:rPr>
                    <w:t>#</w:t>
                  </w:r>
                  <w:r>
                    <w:rPr>
                      <w:rFonts w:ascii="仿宋_GB2312" w:hAnsi="仿宋_GB2312" w:cs="仿宋_GB2312" w:eastAsia="仿宋_GB2312"/>
                      <w:sz w:val="21"/>
                      <w:color w:val="000000"/>
                    </w:rPr>
                    <w:t>获得翻译后的文档：支持文档上的文字在原位置显示翻译结果。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视频翻译：支持的视频格式有mp4、mov，支持自动检测原语言、支持手动选择原语言；支持选择要翻译的目标语言；支持的语言有：中文简体、英语、韩语、日语、俄语、西班牙语、乌尔都语等至少28种语言；提供3种语音识别模型，可自由选择；支持选择配音音色，可试听音色；支持设置配音语速；支持设置是否要配音加速、视频减速;支持选择5种字幕嵌入方式，不添加字幕、硬字幕嵌入、软字幕嵌入、硬字幕嵌入（双）、软字幕嵌入（双）;设置任务模式，支持一键合成和手动确认；翻译后的视频，支持语音和字幕均为目标语言。</w:t>
                  </w:r>
                </w:p>
                <w:p>
                  <w:pPr>
                    <w:pStyle w:val="null3"/>
                    <w:jc w:val="both"/>
                  </w:pPr>
                  <w:r>
                    <w:rPr>
                      <w:rFonts w:ascii="仿宋_GB2312" w:hAnsi="仿宋_GB2312" w:cs="仿宋_GB2312" w:eastAsia="仿宋_GB2312"/>
                      <w:sz w:val="21"/>
                      <w:color w:val="000000"/>
                    </w:rPr>
                    <w:t>视频支持查看、下载和在线保存：支持在线查看视频，视频支持播放、暂停、全屏等；支持下载视频。</w:t>
                  </w:r>
                </w:p>
                <w:p>
                  <w:pPr>
                    <w:pStyle w:val="null3"/>
                    <w:numPr>
                      <w:ilvl w:val="0"/>
                      <w:numId w:val="1"/>
                    </w:numPr>
                    <w:jc w:val="both"/>
                  </w:pPr>
                  <w:r>
                    <w:rPr>
                      <w:rFonts w:ascii="仿宋_GB2312" w:hAnsi="仿宋_GB2312" w:cs="仿宋_GB2312" w:eastAsia="仿宋_GB2312"/>
                      <w:sz w:val="21"/>
                      <w:color w:val="000000"/>
                    </w:rPr>
                    <w:t>▲教学设计生成功能，支持从国家专业目录中选择专业，支持输入课程名称信息、课程授课的章节或知识点，可以选择理论教学、实践教学、理实一体化教学、项目教学等，支持输入教学时长；支持输入一句话，作为课程教学设计的生成要求；教学设计拥有完整的教学环节，包括教学准备、教学目标、教学重难点、教学过程等；支持下载文档、支持保存文档到我的资源、支持在线查看文档。</w:t>
                  </w:r>
                </w:p>
                <w:p>
                  <w:pPr>
                    <w:pStyle w:val="null3"/>
                    <w:numPr>
                      <w:ilvl w:val="0"/>
                      <w:numId w:val="1"/>
                    </w:numPr>
                    <w:jc w:val="both"/>
                  </w:pPr>
                  <w:r>
                    <w:rPr>
                      <w:rFonts w:ascii="仿宋_GB2312" w:hAnsi="仿宋_GB2312" w:cs="仿宋_GB2312" w:eastAsia="仿宋_GB2312"/>
                      <w:sz w:val="21"/>
                      <w:color w:val="000000"/>
                    </w:rPr>
                    <w:t>教学案例生成：</w:t>
                  </w:r>
                </w:p>
                <w:p>
                  <w:pPr>
                    <w:pStyle w:val="null3"/>
                    <w:jc w:val="both"/>
                  </w:pPr>
                  <w:r>
                    <w:rPr>
                      <w:rFonts w:ascii="仿宋_GB2312" w:hAnsi="仿宋_GB2312" w:cs="仿宋_GB2312" w:eastAsia="仿宋_GB2312"/>
                      <w:sz w:val="21"/>
                      <w:color w:val="000000"/>
                    </w:rPr>
                    <w:t>①</w:t>
                  </w:r>
                  <w:r>
                    <w:rPr>
                      <w:rFonts w:ascii="仿宋_GB2312" w:hAnsi="仿宋_GB2312" w:cs="仿宋_GB2312" w:eastAsia="仿宋_GB2312"/>
                      <w:sz w:val="20"/>
                    </w:rPr>
                    <w:t>#</w:t>
                  </w:r>
                  <w:r>
                    <w:rPr>
                      <w:rFonts w:ascii="仿宋_GB2312" w:hAnsi="仿宋_GB2312" w:cs="仿宋_GB2312" w:eastAsia="仿宋_GB2312"/>
                      <w:sz w:val="21"/>
                      <w:color w:val="000000"/>
                    </w:rPr>
                    <w:t>选择专业：国家专业目录中选择</w:t>
                  </w:r>
                </w:p>
                <w:p>
                  <w:pPr>
                    <w:pStyle w:val="null3"/>
                    <w:jc w:val="both"/>
                  </w:pPr>
                  <w:r>
                    <w:rPr>
                      <w:rFonts w:ascii="仿宋_GB2312" w:hAnsi="仿宋_GB2312" w:cs="仿宋_GB2312" w:eastAsia="仿宋_GB2312"/>
                      <w:sz w:val="21"/>
                      <w:color w:val="000000"/>
                    </w:rPr>
                    <w:t>②</w:t>
                  </w:r>
                  <w:r>
                    <w:rPr>
                      <w:rFonts w:ascii="仿宋_GB2312" w:hAnsi="仿宋_GB2312" w:cs="仿宋_GB2312" w:eastAsia="仿宋_GB2312"/>
                      <w:sz w:val="20"/>
                    </w:rPr>
                    <w:t>#</w:t>
                  </w:r>
                  <w:r>
                    <w:rPr>
                      <w:rFonts w:ascii="仿宋_GB2312" w:hAnsi="仿宋_GB2312" w:cs="仿宋_GB2312" w:eastAsia="仿宋_GB2312"/>
                      <w:sz w:val="21"/>
                      <w:color w:val="000000"/>
                    </w:rPr>
                    <w:t>课程名称：输入课程名称信息。</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0"/>
                    </w:rPr>
                    <w:t>#</w:t>
                  </w:r>
                  <w:r>
                    <w:rPr>
                      <w:rFonts w:ascii="仿宋_GB2312" w:hAnsi="仿宋_GB2312" w:cs="仿宋_GB2312" w:eastAsia="仿宋_GB2312"/>
                      <w:sz w:val="21"/>
                      <w:color w:val="000000"/>
                    </w:rPr>
                    <w:t>课程主题：输入课程授课的章节或知识点。</w:t>
                  </w:r>
                </w:p>
                <w:p>
                  <w:pPr>
                    <w:pStyle w:val="null3"/>
                    <w:jc w:val="both"/>
                  </w:pPr>
                  <w:r>
                    <w:rPr>
                      <w:rFonts w:ascii="仿宋_GB2312" w:hAnsi="仿宋_GB2312" w:cs="仿宋_GB2312" w:eastAsia="仿宋_GB2312"/>
                      <w:sz w:val="21"/>
                      <w:color w:val="000000"/>
                    </w:rPr>
                    <w:t>④</w:t>
                  </w:r>
                  <w:r>
                    <w:rPr>
                      <w:rFonts w:ascii="仿宋_GB2312" w:hAnsi="仿宋_GB2312" w:cs="仿宋_GB2312" w:eastAsia="仿宋_GB2312"/>
                      <w:sz w:val="20"/>
                    </w:rPr>
                    <w:t>#</w:t>
                  </w:r>
                  <w:r>
                    <w:rPr>
                      <w:rFonts w:ascii="仿宋_GB2312" w:hAnsi="仿宋_GB2312" w:cs="仿宋_GB2312" w:eastAsia="仿宋_GB2312"/>
                      <w:sz w:val="21"/>
                      <w:color w:val="000000"/>
                    </w:rPr>
                    <w:t>选择教学案例用途：课堂导入、课堂讨论、实操演练、小组任务、情境模拟、其他。</w:t>
                  </w:r>
                </w:p>
                <w:p>
                  <w:pPr>
                    <w:pStyle w:val="null3"/>
                    <w:jc w:val="both"/>
                  </w:pPr>
                  <w:r>
                    <w:rPr>
                      <w:rFonts w:ascii="仿宋_GB2312" w:hAnsi="仿宋_GB2312" w:cs="仿宋_GB2312" w:eastAsia="仿宋_GB2312"/>
                      <w:sz w:val="21"/>
                      <w:color w:val="000000"/>
                    </w:rPr>
                    <w:t>⑤</w:t>
                  </w:r>
                  <w:r>
                    <w:rPr>
                      <w:rFonts w:ascii="仿宋_GB2312" w:hAnsi="仿宋_GB2312" w:cs="仿宋_GB2312" w:eastAsia="仿宋_GB2312"/>
                      <w:sz w:val="20"/>
                    </w:rPr>
                    <w:t>#</w:t>
                  </w:r>
                  <w:r>
                    <w:rPr>
                      <w:rFonts w:ascii="仿宋_GB2312" w:hAnsi="仿宋_GB2312" w:cs="仿宋_GB2312" w:eastAsia="仿宋_GB2312"/>
                      <w:sz w:val="21"/>
                      <w:color w:val="000000"/>
                    </w:rPr>
                    <w:t>教学时长：输入教学时长。</w:t>
                  </w:r>
                </w:p>
                <w:p>
                  <w:pPr>
                    <w:pStyle w:val="null3"/>
                    <w:jc w:val="both"/>
                  </w:pPr>
                  <w:r>
                    <w:rPr>
                      <w:rFonts w:ascii="仿宋_GB2312" w:hAnsi="仿宋_GB2312" w:cs="仿宋_GB2312" w:eastAsia="仿宋_GB2312"/>
                      <w:sz w:val="21"/>
                      <w:color w:val="000000"/>
                    </w:rPr>
                    <w:t>⑥</w:t>
                  </w:r>
                  <w:r>
                    <w:rPr>
                      <w:rFonts w:ascii="仿宋_GB2312" w:hAnsi="仿宋_GB2312" w:cs="仿宋_GB2312" w:eastAsia="仿宋_GB2312"/>
                      <w:sz w:val="20"/>
                    </w:rPr>
                    <w:t>#</w:t>
                  </w:r>
                  <w:r>
                    <w:rPr>
                      <w:rFonts w:ascii="仿宋_GB2312" w:hAnsi="仿宋_GB2312" w:cs="仿宋_GB2312" w:eastAsia="仿宋_GB2312"/>
                      <w:sz w:val="21"/>
                      <w:color w:val="000000"/>
                    </w:rPr>
                    <w:t>选择案例难度：基础型、提升型、综合型。</w:t>
                  </w:r>
                </w:p>
                <w:p>
                  <w:pPr>
                    <w:pStyle w:val="null3"/>
                    <w:jc w:val="both"/>
                  </w:pPr>
                  <w:r>
                    <w:rPr>
                      <w:rFonts w:ascii="仿宋_GB2312" w:hAnsi="仿宋_GB2312" w:cs="仿宋_GB2312" w:eastAsia="仿宋_GB2312"/>
                      <w:sz w:val="21"/>
                      <w:color w:val="000000"/>
                    </w:rPr>
                    <w:t>⑦</w:t>
                  </w:r>
                  <w:r>
                    <w:rPr>
                      <w:rFonts w:ascii="仿宋_GB2312" w:hAnsi="仿宋_GB2312" w:cs="仿宋_GB2312" w:eastAsia="仿宋_GB2312"/>
                      <w:sz w:val="20"/>
                    </w:rPr>
                    <w:t>#</w:t>
                  </w:r>
                  <w:r>
                    <w:rPr>
                      <w:rFonts w:ascii="仿宋_GB2312" w:hAnsi="仿宋_GB2312" w:cs="仿宋_GB2312" w:eastAsia="仿宋_GB2312"/>
                      <w:sz w:val="21"/>
                      <w:color w:val="000000"/>
                    </w:rPr>
                    <w:t>创作要求：可选，支持输入一句话，作为课程教学案例的生成要求。</w:t>
                  </w:r>
                </w:p>
                <w:p>
                  <w:pPr>
                    <w:pStyle w:val="null3"/>
                    <w:jc w:val="both"/>
                  </w:pPr>
                  <w:r>
                    <w:rPr>
                      <w:rFonts w:ascii="仿宋_GB2312" w:hAnsi="仿宋_GB2312" w:cs="仿宋_GB2312" w:eastAsia="仿宋_GB2312"/>
                      <w:sz w:val="21"/>
                      <w:color w:val="000000"/>
                    </w:rPr>
                    <w:t>⑧</w:t>
                  </w:r>
                  <w:r>
                    <w:rPr>
                      <w:rFonts w:ascii="仿宋_GB2312" w:hAnsi="仿宋_GB2312" w:cs="仿宋_GB2312" w:eastAsia="仿宋_GB2312"/>
                      <w:sz w:val="20"/>
                    </w:rPr>
                    <w:t>#</w:t>
                  </w:r>
                  <w:r>
                    <w:rPr>
                      <w:rFonts w:ascii="仿宋_GB2312" w:hAnsi="仿宋_GB2312" w:cs="仿宋_GB2312" w:eastAsia="仿宋_GB2312"/>
                      <w:sz w:val="21"/>
                      <w:color w:val="000000"/>
                    </w:rPr>
                    <w:t>生成文档：教学案例包含完整模块，包括案例背景、知识点</w:t>
                  </w:r>
                  <w:r>
                    <w:rPr>
                      <w:rFonts w:ascii="仿宋_GB2312" w:hAnsi="仿宋_GB2312" w:cs="仿宋_GB2312" w:eastAsia="仿宋_GB2312"/>
                      <w:sz w:val="21"/>
                      <w:color w:val="000000"/>
                    </w:rPr>
                    <w:t>/技能点、总结扩展等。</w:t>
                  </w:r>
                </w:p>
                <w:p>
                  <w:pPr>
                    <w:pStyle w:val="null3"/>
                    <w:jc w:val="both"/>
                  </w:pPr>
                  <w:r>
                    <w:rPr>
                      <w:rFonts w:ascii="仿宋_GB2312" w:hAnsi="仿宋_GB2312" w:cs="仿宋_GB2312" w:eastAsia="仿宋_GB2312"/>
                      <w:sz w:val="21"/>
                      <w:color w:val="000000"/>
                    </w:rPr>
                    <w:t>⑨</w:t>
                  </w:r>
                  <w:r>
                    <w:rPr>
                      <w:rFonts w:ascii="仿宋_GB2312" w:hAnsi="仿宋_GB2312" w:cs="仿宋_GB2312" w:eastAsia="仿宋_GB2312"/>
                      <w:sz w:val="20"/>
                    </w:rPr>
                    <w:t>#</w:t>
                  </w:r>
                  <w:r>
                    <w:rPr>
                      <w:rFonts w:ascii="仿宋_GB2312" w:hAnsi="仿宋_GB2312" w:cs="仿宋_GB2312" w:eastAsia="仿宋_GB2312"/>
                      <w:sz w:val="21"/>
                      <w:color w:val="000000"/>
                    </w:rPr>
                    <w:t>支持下载文档、支持保存文档到我的资源、支持在线查看文档，支持查看历史生成记录。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一句话生课件：支持输出一句话，作为生成要求，支持不低于10000个课件的生成，支持选择新授课、讲一道题的课件模式，支持设置生成语言、课件页数、布局模式等。支持在线生成大纲。支持在线修改大纲：支持新增页、删除页、修改页内容；支持在线选择课件模板：至少提供50套教学使用模板；支持上传PPT，抽取模板，用抽取的模板继续生课件；标准教学式课件拥有完整的教学环节，包括导入、知识讲授、课堂互动、作业布置等；讲一道题课件拥有完整的题目分析、概念讲解、应用案例等环节；支持在线编辑课件，新增页、删除页、修改页内容；支持下载课件、支持在线查看课件，支持查看历史生成记录；查看生成课件时使用的提示词。（</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 教材图谱</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创建图谱：添加教材图谱支持大纲模式、思维导图模式、图谱模式。图谱模式可以预览图谱关系网。可以设置图谱节点的前后置、关联关系。支持批量导入和导出图谱。</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AI生图谱：利用大模型自动解析教材内容，生成初步的教材图谱。</w:t>
                  </w:r>
                </w:p>
                <w:p>
                  <w:pPr>
                    <w:pStyle w:val="null3"/>
                    <w:jc w:val="both"/>
                  </w:pPr>
                  <w:r>
                    <w:rPr>
                      <w:rFonts w:ascii="仿宋_GB2312" w:hAnsi="仿宋_GB2312" w:cs="仿宋_GB2312" w:eastAsia="仿宋_GB2312"/>
                      <w:sz w:val="21"/>
                      <w:color w:val="000000"/>
                    </w:rPr>
                    <w:t>7. 版本管理与协作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多角色协同：支持主编、作者、审校者角色权限分离，多人实时在线协作编辑，教材发布前编辑的历史版本可回溯。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版本更新：教材发布后支持创建新版本完成更新后再次发布，发布后学生直接能看到最新版本的内容。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3）▲AI校对：在教材编写过程中中，编辑器可进行全文扫描和错误识别，自动检测错别词语、语法、机构、地点名称、日期等错误。对于识别出的错误，自动提供修改建议和自动一键修正，减轻人工校对负担。</w:t>
                  </w:r>
                </w:p>
                <w:p>
                  <w:pPr>
                    <w:pStyle w:val="null3"/>
                    <w:jc w:val="both"/>
                  </w:pPr>
                  <w:r>
                    <w:rPr>
                      <w:rFonts w:ascii="仿宋_GB2312" w:hAnsi="仿宋_GB2312" w:cs="仿宋_GB2312" w:eastAsia="仿宋_GB2312"/>
                      <w:sz w:val="21"/>
                      <w:color w:val="000000"/>
                    </w:rPr>
                    <w:t>8.▲教材导出：支持图文编排内容以PDF和WORD格式导出，其中的图片、视频、gif动画、文档、3D资源、题目等以附件形式导出，满足基本的离线阅读功能。</w:t>
                  </w:r>
                </w:p>
                <w:p>
                  <w:pPr>
                    <w:pStyle w:val="null3"/>
                    <w:jc w:val="both"/>
                  </w:pPr>
                  <w:r>
                    <w:rPr>
                      <w:rFonts w:ascii="仿宋_GB2312" w:hAnsi="仿宋_GB2312" w:cs="仿宋_GB2312" w:eastAsia="仿宋_GB2312"/>
                      <w:sz w:val="21"/>
                      <w:color w:val="000000"/>
                    </w:rPr>
                    <w:t>（三）数字教材应用模块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该模块是面向师生、服务于教学全过程的核心应用终端。它承接数字教材开发与制作平台的产出成果，将制作完成的交互式数字教材、</w:t>
                  </w:r>
                  <w:r>
                    <w:rPr>
                      <w:rFonts w:ascii="仿宋_GB2312" w:hAnsi="仿宋_GB2312" w:cs="仿宋_GB2312" w:eastAsia="仿宋_GB2312"/>
                      <w:sz w:val="21"/>
                      <w:color w:val="000000"/>
                    </w:rPr>
                    <w:t>AI辅助课件、互动练习等内容，以最便捷、最智能的方式呈现给学习者，同时为教师提供教学管理、学情分析、课堂互动等核心功能。</w:t>
                  </w:r>
                  <w:r>
                    <w:rPr>
                      <w:rFonts w:ascii="仿宋_GB2312" w:hAnsi="仿宋_GB2312" w:cs="仿宋_GB2312" w:eastAsia="仿宋_GB2312"/>
                      <w:sz w:val="21"/>
                      <w:color w:val="000000"/>
                    </w:rPr>
                    <w:t>数字教材支持社交学习和学习行为跟踪，学习成效可精准评价，老师可以布置学习任务，查阅学生学习报告。满足常态化教学需求，提升学习效率。</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教师可在平台上创建课程班级，邀请学生加入。</w:t>
                  </w:r>
                </w:p>
                <w:p>
                  <w:pPr>
                    <w:pStyle w:val="null3"/>
                    <w:jc w:val="both"/>
                  </w:pPr>
                  <w:r>
                    <w:rPr>
                      <w:rFonts w:ascii="仿宋_GB2312" w:hAnsi="仿宋_GB2312" w:cs="仿宋_GB2312" w:eastAsia="仿宋_GB2312"/>
                      <w:sz w:val="21"/>
                      <w:color w:val="000000"/>
                    </w:rPr>
                    <w:t>2. ▲每个课程可关联多本数字教材，教师可根据教学进度灵活开放教材章节。支持教师根据教学设计调整学习内容和每个教材章节学习顺序，发挥“活页式教材”的价值。</w:t>
                  </w:r>
                </w:p>
                <w:p>
                  <w:pPr>
                    <w:pStyle w:val="null3"/>
                    <w:jc w:val="both"/>
                  </w:pPr>
                  <w:r>
                    <w:rPr>
                      <w:rFonts w:ascii="仿宋_GB2312" w:hAnsi="仿宋_GB2312" w:cs="仿宋_GB2312" w:eastAsia="仿宋_GB2312"/>
                      <w:sz w:val="21"/>
                      <w:color w:val="000000"/>
                    </w:rPr>
                    <w:t>3. 课程资源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添加资源：除添加教材章节作为课程资源外，支持教师灵活添加文档类、音视频、</w:t>
                  </w:r>
                  <w:r>
                    <w:rPr>
                      <w:rFonts w:ascii="仿宋_GB2312" w:hAnsi="仿宋_GB2312" w:cs="仿宋_GB2312" w:eastAsia="仿宋_GB2312"/>
                      <w:sz w:val="21"/>
                      <w:color w:val="000000"/>
                    </w:rPr>
                    <w:t>3D模型等多媒体资源。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支持添加网页链接，也支持添加投票问卷、练习题组、讨论活动到课程中，实现师生互动。可查看班级学生的投票统计。老师可发起讨论，学生可直接回复讨论，并相互点赞，回复支持添加文字和图片。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公开设置：可设置资源公开与不公开，公开的资源学生可看到。</w:t>
                  </w:r>
                </w:p>
                <w:p>
                  <w:pPr>
                    <w:pStyle w:val="null3"/>
                    <w:jc w:val="both"/>
                  </w:pPr>
                  <w:r>
                    <w:rPr>
                      <w:rFonts w:ascii="仿宋_GB2312" w:hAnsi="仿宋_GB2312" w:cs="仿宋_GB2312" w:eastAsia="仿宋_GB2312"/>
                      <w:sz w:val="21"/>
                      <w:color w:val="000000"/>
                    </w:rPr>
                    <w:t>4. 课堂互动</w:t>
                  </w:r>
                </w:p>
                <w:p>
                  <w:pPr>
                    <w:pStyle w:val="null3"/>
                    <w:jc w:val="both"/>
                  </w:pPr>
                  <w:r>
                    <w:rPr>
                      <w:rFonts w:ascii="仿宋_GB2312" w:hAnsi="仿宋_GB2312" w:cs="仿宋_GB2312" w:eastAsia="仿宋_GB2312"/>
                      <w:sz w:val="21"/>
                      <w:color w:val="000000"/>
                    </w:rPr>
                    <w:t>提供丰富的课堂互动工具，支持线上线下混合式教学：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签到：支持签到码签到，快速完成课堂考勤。</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选人：可通过平台随机选取课堂中的学生，活跃课堂气氛。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倒计时：可通过平台设计倒计时，规定学生的讨论时间或思考时间，组织课堂教学。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0"/>
                    </w:rPr>
                    <w:t>#</w:t>
                  </w:r>
                  <w:r>
                    <w:rPr>
                      <w:rFonts w:ascii="仿宋_GB2312" w:hAnsi="仿宋_GB2312" w:cs="仿宋_GB2312" w:eastAsia="仿宋_GB2312"/>
                      <w:sz w:val="21"/>
                      <w:color w:val="000000"/>
                    </w:rPr>
                    <w:t>画笔：支持调起画笔功能实现在屏幕上勾画重点。画笔支持自由勾画、矩形</w:t>
                  </w:r>
                  <w:r>
                    <w:rPr>
                      <w:rFonts w:ascii="仿宋_GB2312" w:hAnsi="仿宋_GB2312" w:cs="仿宋_GB2312" w:eastAsia="仿宋_GB2312"/>
                      <w:sz w:val="21"/>
                      <w:color w:val="000000"/>
                    </w:rPr>
                    <w:t>/圆形等常用形状勾画，支持设置画笔颜色。支持橡皮擦功能。</w:t>
                  </w:r>
                </w:p>
                <w:p>
                  <w:pPr>
                    <w:pStyle w:val="null3"/>
                    <w:jc w:val="both"/>
                  </w:pPr>
                  <w:r>
                    <w:rPr>
                      <w:rFonts w:ascii="仿宋_GB2312" w:hAnsi="仿宋_GB2312" w:cs="仿宋_GB2312" w:eastAsia="仿宋_GB2312"/>
                      <w:sz w:val="21"/>
                      <w:color w:val="000000"/>
                    </w:rPr>
                    <w:t>5. 作业</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1）▲支持在线布置作业，支持阅读类作业和答题类作业。</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2）▲教师可基于教材知识点，利用AI自动生成作业试题，也可手动设置试题，客观题系统自动批改，自动生成成绩，帮助教师了解班级整体情况和个体差异。实现全流程数字化。</w:t>
                  </w:r>
                </w:p>
                <w:p>
                  <w:pPr>
                    <w:pStyle w:val="null3"/>
                    <w:jc w:val="both"/>
                  </w:pPr>
                  <w:r>
                    <w:rPr>
                      <w:rFonts w:ascii="仿宋_GB2312" w:hAnsi="仿宋_GB2312" w:cs="仿宋_GB2312" w:eastAsia="仿宋_GB2312"/>
                      <w:sz w:val="21"/>
                      <w:color w:val="000000"/>
                    </w:rPr>
                    <w:t>6. 智能阅读器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一体化学习：平台支持数字教材阅读和浏览的一体化设计，支持文字、图片、画廊、画册、视频、行内音频、整行音频、扩展阅读、3D模型、动画、虚拟仿真（VR）、思维导图、各类文本文档资源在一个场景里的在线沉浸式学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基础功能：支持复制、全文搜索、书签、笔记、高亮等常用基础功能，满足常态化教学需求，提升学习效率。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笔记共享：教材加入到课程后，笔记可共享给本班师生，老师添加的笔记可共享给本课学生。师生可系统地查看本人所作的笔记和班级共享笔记。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AI伴学助手：学生在阅读过程中遇到疑问，可随时选中疑问的文字并点击“问AI”按钮，AI基于教材内容进行精准解答，AI给出的内容支持加入笔记，平台的“AI导学”采用启发式问答策略，引导学生完成章节学习，平台的“AI自测”能根据教材内容自动出题和判题，让学生检验自己的学习成果，支持多语言翻译，选中文本，点击“翻译”，即可实现多种语言翻译，学生可以发起问题答疑对话，在自主学习过程中产生疑问时向智能伴学老师提问，基于大模型能力的答疑能满足学生的个性化学习需求，引导学生通过思考和推理来解决问题，培养学生的批判性思维和自主学习能力，从而提高学生的学习效率和质量。（</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0"/>
                    </w:rPr>
                    <w:t>#</w:t>
                  </w:r>
                  <w:r>
                    <w:rPr>
                      <w:rFonts w:ascii="仿宋_GB2312" w:hAnsi="仿宋_GB2312" w:cs="仿宋_GB2312" w:eastAsia="仿宋_GB2312"/>
                      <w:sz w:val="21"/>
                      <w:color w:val="000000"/>
                    </w:rPr>
                    <w:t>知识点导航：学生可快速查看教材知识图谱，并查看知识点关联的教材资源，也可以查看知识点之间的关联关系。</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0"/>
                    </w:rPr>
                    <w:t>#</w:t>
                  </w:r>
                  <w:r>
                    <w:rPr>
                      <w:rFonts w:ascii="仿宋_GB2312" w:hAnsi="仿宋_GB2312" w:cs="仿宋_GB2312" w:eastAsia="仿宋_GB2312"/>
                      <w:sz w:val="21"/>
                      <w:color w:val="000000"/>
                    </w:rPr>
                    <w:t>多模态呈现：文本、视频、音频、</w:t>
                  </w:r>
                  <w:r>
                    <w:rPr>
                      <w:rFonts w:ascii="仿宋_GB2312" w:hAnsi="仿宋_GB2312" w:cs="仿宋_GB2312" w:eastAsia="仿宋_GB2312"/>
                      <w:sz w:val="21"/>
                      <w:color w:val="000000"/>
                    </w:rPr>
                    <w:t>3D模型、互动组件无缝融合。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7）互动学习组件</w:t>
                  </w:r>
                </w:p>
                <w:p>
                  <w:pPr>
                    <w:pStyle w:val="null3"/>
                    <w:jc w:val="both"/>
                  </w:pPr>
                  <w:r>
                    <w:rPr>
                      <w:rFonts w:ascii="仿宋_GB2312" w:hAnsi="仿宋_GB2312" w:cs="仿宋_GB2312" w:eastAsia="仿宋_GB2312"/>
                      <w:sz w:val="21"/>
                      <w:color w:val="000000"/>
                    </w:rPr>
                    <w:t>教材中嵌入的各类互动组件，让学生从被动接收转变为主动探索。</w:t>
                  </w:r>
                </w:p>
                <w:p>
                  <w:pPr>
                    <w:pStyle w:val="null3"/>
                    <w:jc w:val="both"/>
                  </w:pPr>
                  <w:r>
                    <w:rPr>
                      <w:rFonts w:ascii="仿宋_GB2312" w:hAnsi="仿宋_GB2312" w:cs="仿宋_GB2312" w:eastAsia="仿宋_GB2312"/>
                      <w:sz w:val="21"/>
                      <w:color w:val="000000"/>
                    </w:rPr>
                    <w:t>①</w:t>
                  </w:r>
                  <w:r>
                    <w:rPr>
                      <w:rFonts w:ascii="仿宋_GB2312" w:hAnsi="仿宋_GB2312" w:cs="仿宋_GB2312" w:eastAsia="仿宋_GB2312"/>
                      <w:sz w:val="20"/>
                    </w:rPr>
                    <w:t>#</w:t>
                  </w:r>
                  <w:r>
                    <w:rPr>
                      <w:rFonts w:ascii="仿宋_GB2312" w:hAnsi="仿宋_GB2312" w:cs="仿宋_GB2312" w:eastAsia="仿宋_GB2312"/>
                      <w:sz w:val="21"/>
                      <w:color w:val="000000"/>
                    </w:rPr>
                    <w:t>随堂练习：阅读过程中穿插的选择题、填空题，学生作答后即时获得反馈和解析，帮助巩固所学。</w:t>
                  </w:r>
                </w:p>
                <w:p>
                  <w:pPr>
                    <w:pStyle w:val="null3"/>
                    <w:jc w:val="both"/>
                  </w:pPr>
                  <w:r>
                    <w:rPr>
                      <w:rFonts w:ascii="仿宋_GB2312" w:hAnsi="仿宋_GB2312" w:cs="仿宋_GB2312" w:eastAsia="仿宋_GB2312"/>
                      <w:sz w:val="21"/>
                      <w:color w:val="000000"/>
                    </w:rPr>
                    <w:t>②</w:t>
                  </w:r>
                  <w:r>
                    <w:rPr>
                      <w:rFonts w:ascii="仿宋_GB2312" w:hAnsi="仿宋_GB2312" w:cs="仿宋_GB2312" w:eastAsia="仿宋_GB2312"/>
                      <w:sz w:val="20"/>
                    </w:rPr>
                    <w:t>#</w:t>
                  </w:r>
                  <w:r>
                    <w:rPr>
                      <w:rFonts w:ascii="仿宋_GB2312" w:hAnsi="仿宋_GB2312" w:cs="仿宋_GB2312" w:eastAsia="仿宋_GB2312"/>
                      <w:sz w:val="21"/>
                      <w:color w:val="000000"/>
                    </w:rPr>
                    <w:t>虚拟仿真：对于实验类内容，学生可在虚拟环境中进行模拟操作，安全、便捷、可反复尝试。</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0"/>
                    </w:rPr>
                    <w:t>#</w:t>
                  </w:r>
                  <w:r>
                    <w:rPr>
                      <w:rFonts w:ascii="仿宋_GB2312" w:hAnsi="仿宋_GB2312" w:cs="仿宋_GB2312" w:eastAsia="仿宋_GB2312"/>
                      <w:sz w:val="21"/>
                      <w:color w:val="000000"/>
                    </w:rPr>
                    <w:t>3D模型：通过爆炸与高亮，学生可学习识别物品的零部件细节。</w:t>
                  </w:r>
                </w:p>
                <w:p>
                  <w:pPr>
                    <w:pStyle w:val="null3"/>
                    <w:jc w:val="both"/>
                  </w:pPr>
                  <w:r>
                    <w:rPr>
                      <w:rFonts w:ascii="仿宋_GB2312" w:hAnsi="仿宋_GB2312" w:cs="仿宋_GB2312" w:eastAsia="仿宋_GB2312"/>
                      <w:sz w:val="21"/>
                      <w:color w:val="000000"/>
                    </w:rPr>
                    <w:t>④</w:t>
                  </w:r>
                  <w:r>
                    <w:rPr>
                      <w:rFonts w:ascii="仿宋_GB2312" w:hAnsi="仿宋_GB2312" w:cs="仿宋_GB2312" w:eastAsia="仿宋_GB2312"/>
                      <w:sz w:val="20"/>
                    </w:rPr>
                    <w:t>#</w:t>
                  </w:r>
                  <w:r>
                    <w:rPr>
                      <w:rFonts w:ascii="仿宋_GB2312" w:hAnsi="仿宋_GB2312" w:cs="仿宋_GB2312" w:eastAsia="仿宋_GB2312"/>
                      <w:sz w:val="21"/>
                      <w:color w:val="000000"/>
                    </w:rPr>
                    <w:t>编程实践：通过在线完成简单程序的编写并执行，学生可巩固代码知识。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8）智能分析与个性化推荐</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可以记录学生的学习全过程，包括阅读时长、互动参与度、练习完成率、习题正确率等。基于这些数据，智能生成学生直观的学习报告，学生可了解自己的学习进度和薄弱环节，用于推荐和补充阅读材料或针对性练习。</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所有数据云端存储，多端同步。</w:t>
                  </w:r>
                </w:p>
                <w:p>
                  <w:pPr>
                    <w:pStyle w:val="null3"/>
                    <w:jc w:val="both"/>
                  </w:pPr>
                  <w:r>
                    <w:rPr>
                      <w:rFonts w:ascii="仿宋_GB2312" w:hAnsi="仿宋_GB2312" w:cs="仿宋_GB2312" w:eastAsia="仿宋_GB2312"/>
                      <w:sz w:val="21"/>
                      <w:color w:val="000000"/>
                    </w:rPr>
                    <w:t>7.教师端多维数据统计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老师可看到课程维度的统计数据，包括课程下的班级数、学生数；课程的上课次数、上课时长；课程布置的作业数；课程里资源建设情况。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老师可看到班级维度的数据，包括班级学生的出勤率、班级的人均学习时长、班级作业完成率等。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老师可看到班级中每个学生的学习数据，包括学生出勤率、学生对每个资源的学习进度等。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0"/>
                    </w:rPr>
                    <w:t>#</w:t>
                  </w:r>
                  <w:r>
                    <w:rPr>
                      <w:rFonts w:ascii="仿宋_GB2312" w:hAnsi="仿宋_GB2312" w:cs="仿宋_GB2312" w:eastAsia="仿宋_GB2312"/>
                      <w:sz w:val="21"/>
                      <w:color w:val="000000"/>
                    </w:rPr>
                    <w:t>数据统计互通。添加到课程的教材，无论学生在教材里独立学习，还是在课程里学习，学习数据互相同步。</w:t>
                  </w:r>
                </w:p>
                <w:p>
                  <w:pPr>
                    <w:pStyle w:val="null3"/>
                    <w:jc w:val="both"/>
                  </w:pPr>
                  <w:r>
                    <w:rPr>
                      <w:rFonts w:ascii="仿宋_GB2312" w:hAnsi="仿宋_GB2312" w:cs="仿宋_GB2312" w:eastAsia="仿宋_GB2312"/>
                      <w:sz w:val="21"/>
                      <w:color w:val="000000"/>
                    </w:rPr>
                    <w:t>（四）数字教材发布与管理模块</w:t>
                  </w:r>
                </w:p>
                <w:p>
                  <w:pPr>
                    <w:pStyle w:val="null3"/>
                    <w:jc w:val="both"/>
                  </w:pPr>
                  <w:r>
                    <w:rPr>
                      <w:rFonts w:ascii="仿宋_GB2312" w:hAnsi="仿宋_GB2312" w:cs="仿宋_GB2312" w:eastAsia="仿宋_GB2312"/>
                      <w:sz w:val="21"/>
                      <w:color w:val="000000"/>
                    </w:rPr>
                    <w:t>1. 教材人员及审核发布管理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支持添加教材共创人员，为每个章节设置编写人员。被分配的编写人员只能板编写被分配的章节；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支持审核跟踪功能：支持查看教材在每个环节的审核情况，可以在审核详情中查看；支持发起人撤销审核流程。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0"/>
                    </w:rPr>
                    <w:t>#</w:t>
                  </w:r>
                  <w:r>
                    <w:rPr>
                      <w:rFonts w:ascii="仿宋_GB2312" w:hAnsi="仿宋_GB2312" w:cs="仿宋_GB2312" w:eastAsia="仿宋_GB2312"/>
                      <w:sz w:val="21"/>
                      <w:color w:val="000000"/>
                    </w:rPr>
                    <w:t>支持审校环节，在审核、校对过程中可添加批注，教材编辑人员可查看和导出批注数据。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0"/>
                    </w:rPr>
                    <w:t>#</w:t>
                  </w:r>
                  <w:r>
                    <w:rPr>
                      <w:rFonts w:ascii="仿宋_GB2312" w:hAnsi="仿宋_GB2312" w:cs="仿宋_GB2312" w:eastAsia="仿宋_GB2312"/>
                      <w:sz w:val="21"/>
                      <w:color w:val="000000"/>
                    </w:rPr>
                    <w:t>审核通过后，支持发布教材。设置分发范围，支持按照教师</w:t>
                  </w:r>
                  <w:r>
                    <w:rPr>
                      <w:rFonts w:ascii="仿宋_GB2312" w:hAnsi="仿宋_GB2312" w:cs="仿宋_GB2312" w:eastAsia="仿宋_GB2312"/>
                      <w:sz w:val="21"/>
                      <w:color w:val="000000"/>
                    </w:rPr>
                    <w:t>/学生、院系、个人维度设置权限。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0"/>
                    </w:rPr>
                    <w:t>#</w:t>
                  </w:r>
                  <w:r>
                    <w:rPr>
                      <w:rFonts w:ascii="仿宋_GB2312" w:hAnsi="仿宋_GB2312" w:cs="仿宋_GB2312" w:eastAsia="仿宋_GB2312"/>
                      <w:sz w:val="21"/>
                      <w:color w:val="000000"/>
                    </w:rPr>
                    <w:t>支持手动控制教材的上下架。上架的教材会到学校教材门户中。</w:t>
                  </w:r>
                </w:p>
                <w:p>
                  <w:pPr>
                    <w:pStyle w:val="null3"/>
                    <w:jc w:val="both"/>
                  </w:pPr>
                  <w:r>
                    <w:rPr>
                      <w:rFonts w:ascii="仿宋_GB2312" w:hAnsi="仿宋_GB2312" w:cs="仿宋_GB2312" w:eastAsia="仿宋_GB2312"/>
                      <w:sz w:val="21"/>
                      <w:color w:val="000000"/>
                    </w:rPr>
                    <w:t>2.教材反馈与纠错查看</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支持查案查看学生反馈内容，查询到反馈时间，原文所在章节、反馈的原文内容、问题描述（用户在阅读学习教材的时候，如果发现教材中的内容存在错误、偏差、不准确等，可以在学习端发起反馈），帮助作者更新教材。</w:t>
                  </w:r>
                </w:p>
                <w:p>
                  <w:pPr>
                    <w:pStyle w:val="null3"/>
                    <w:jc w:val="both"/>
                  </w:pPr>
                  <w:r>
                    <w:rPr>
                      <w:rFonts w:ascii="仿宋_GB2312" w:hAnsi="仿宋_GB2312" w:cs="仿宋_GB2312" w:eastAsia="仿宋_GB2312"/>
                      <w:sz w:val="21"/>
                      <w:color w:val="000000"/>
                    </w:rPr>
                    <w:t>3.教材门户</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提供教材门户，集中展示本校数字教材。支持设置本校教材门户的</w:t>
                  </w:r>
                  <w:r>
                    <w:rPr>
                      <w:rFonts w:ascii="仿宋_GB2312" w:hAnsi="仿宋_GB2312" w:cs="仿宋_GB2312" w:eastAsia="仿宋_GB2312"/>
                      <w:sz w:val="21"/>
                      <w:color w:val="000000"/>
                    </w:rPr>
                    <w:t>banner图，简单管理本校门户样式。</w:t>
                  </w:r>
                </w:p>
                <w:p>
                  <w:pPr>
                    <w:pStyle w:val="null3"/>
                    <w:jc w:val="both"/>
                  </w:pPr>
                  <w:r>
                    <w:rPr>
                      <w:rFonts w:ascii="仿宋_GB2312" w:hAnsi="仿宋_GB2312" w:cs="仿宋_GB2312" w:eastAsia="仿宋_GB2312"/>
                      <w:sz w:val="21"/>
                      <w:color w:val="000000"/>
                    </w:rPr>
                    <w:t>4.外部教材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支持添加外部教材链接，外部教材也支持展示在教材门户中。</w:t>
                  </w:r>
                </w:p>
                <w:p>
                  <w:pPr>
                    <w:pStyle w:val="null3"/>
                    <w:jc w:val="both"/>
                  </w:pPr>
                  <w:r>
                    <w:rPr>
                      <w:rFonts w:ascii="仿宋_GB2312" w:hAnsi="仿宋_GB2312" w:cs="仿宋_GB2312" w:eastAsia="仿宋_GB2312"/>
                      <w:sz w:val="21"/>
                      <w:color w:val="000000"/>
                    </w:rPr>
                    <w:t>5.数据中心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0"/>
                    </w:rPr>
                    <w:t>#</w:t>
                  </w:r>
                  <w:r>
                    <w:rPr>
                      <w:rFonts w:ascii="仿宋_GB2312" w:hAnsi="仿宋_GB2312" w:cs="仿宋_GB2312" w:eastAsia="仿宋_GB2312"/>
                      <w:sz w:val="21"/>
                      <w:color w:val="000000"/>
                    </w:rPr>
                    <w:t>本校在本平台教材建设和教学应用数据，可供学校管理人员查看。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0"/>
                    </w:rPr>
                    <w:t>#</w:t>
                  </w:r>
                  <w:r>
                    <w:rPr>
                      <w:rFonts w:ascii="仿宋_GB2312" w:hAnsi="仿宋_GB2312" w:cs="仿宋_GB2312" w:eastAsia="仿宋_GB2312"/>
                      <w:sz w:val="21"/>
                      <w:color w:val="000000"/>
                    </w:rPr>
                    <w:t>教材内容数据：支持查看全本教材的文字、图片、文档等各类资源的数量；支持按照章节目录查看文字、图片、文档等各类资源的数量。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3）▲教材应用统计：支持查看每本教材的授权人数、阅读人数、总阅读时长、笔记数、互动次数等数据。支持查看教材中单个数字资源（视频、3D模型等）的浏览、资源播放、资源互动等数据。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0"/>
                      <w:color w:val="000000"/>
                    </w:rPr>
                    <w:t>#</w:t>
                  </w:r>
                  <w:r>
                    <w:rPr>
                      <w:rFonts w:ascii="仿宋_GB2312" w:hAnsi="仿宋_GB2312" w:cs="仿宋_GB2312" w:eastAsia="仿宋_GB2312"/>
                      <w:sz w:val="21"/>
                      <w:color w:val="000000"/>
                    </w:rPr>
                    <w:t>教学应用数据：支持查看师生开设课程数量、访问天数、课堂活动次数、布置作业次数等数据。支持按照课程、教师单人、学生单人查看数据。</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注：</w:t>
            </w:r>
            <w:r>
              <w:rPr>
                <w:rFonts w:ascii="仿宋_GB2312" w:hAnsi="仿宋_GB2312" w:cs="仿宋_GB2312" w:eastAsia="仿宋_GB2312"/>
                <w:sz w:val="28"/>
                <w:color w:val="000000"/>
              </w:rPr>
              <w:t>技术要求表中，所有软件类产品都须提供正版授权书。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标的名称：第二包：数智工程核心专业AI导学智评平台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2"/>
              <w:gridCol w:w="1897"/>
              <w:gridCol w:w="214"/>
              <w:gridCol w:w="160"/>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1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AI导学智评平台</w:t>
                  </w:r>
                </w:p>
              </w:tc>
              <w:tc>
                <w:tcPr>
                  <w:tcW w:type="dxa" w:w="1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导学智评平台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numPr>
                      <w:ilvl w:val="0"/>
                      <w:numId w:val="1"/>
                    </w:numPr>
                    <w:jc w:val="both"/>
                  </w:pPr>
                  <w:r>
                    <w:rPr>
                      <w:rFonts w:ascii="仿宋_GB2312" w:hAnsi="仿宋_GB2312" w:cs="仿宋_GB2312" w:eastAsia="仿宋_GB2312"/>
                      <w:sz w:val="21"/>
                      <w:color w:val="000000"/>
                    </w:rPr>
                    <w:t>总体要求</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B/S结构，基于J2EE架构，页面采用Web2.0 AJAX开发，不需要另行安装插件就可以支持IE9及以上版本、safari、Firefox、chrome等浏览器。</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具有移动客户端，支持</w:t>
                  </w:r>
                  <w:r>
                    <w:rPr>
                      <w:rFonts w:ascii="仿宋_GB2312" w:hAnsi="仿宋_GB2312" w:cs="仿宋_GB2312" w:eastAsia="仿宋_GB2312"/>
                      <w:sz w:val="21"/>
                      <w:color w:val="000000"/>
                    </w:rPr>
                    <w:t>iOS、Android和鸿蒙操作系统。</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微服务基座作为基础平台，各系统模块均基于微服务基座之上，最终形成一体化，具有统一的</w:t>
                  </w:r>
                  <w:r>
                    <w:rPr>
                      <w:rFonts w:ascii="仿宋_GB2312" w:hAnsi="仿宋_GB2312" w:cs="仿宋_GB2312" w:eastAsia="仿宋_GB2312"/>
                      <w:sz w:val="21"/>
                      <w:color w:val="000000"/>
                    </w:rPr>
                    <w:t>PC端门户、用户个人空间、移动端APP。</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系统设计满足大规模用户使用，支持云部署或本地部署模式，能够适配国产化及信创要求。</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需满足万人在线学习的性能要求，平台首页访问</w:t>
                  </w:r>
                  <w:r>
                    <w:rPr>
                      <w:rFonts w:ascii="仿宋_GB2312" w:hAnsi="仿宋_GB2312" w:cs="仿宋_GB2312" w:eastAsia="仿宋_GB2312"/>
                      <w:sz w:val="21"/>
                      <w:color w:val="000000"/>
                    </w:rPr>
                    <w:t>20000在线用户平均响应时间应小于3秒，事务通过率大于99%。</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对接学校统一身份认证系统，实现用户信息统一管理，可提供数据视图、接口等方式对接学校教务管理数据（学生、教师、课程、选课等数据），并进行定期维护和更新，实现教务数据的同步。</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按学校实际要求提供对接国家智慧大脑及其他相关业务上报的数据。</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服务商须提供</w:t>
                  </w:r>
                  <w:r>
                    <w:rPr>
                      <w:rFonts w:ascii="仿宋_GB2312" w:hAnsi="仿宋_GB2312" w:cs="仿宋_GB2312" w:eastAsia="仿宋_GB2312"/>
                      <w:sz w:val="21"/>
                      <w:color w:val="000000"/>
                    </w:rPr>
                    <w:t>3年质保服务，在质保期内，平台有新增或优化功能，均须定期更新至本平台。</w:t>
                  </w:r>
                </w:p>
                <w:p>
                  <w:pPr>
                    <w:pStyle w:val="null3"/>
                    <w:numPr>
                      <w:ilvl w:val="0"/>
                      <w:numId w:val="1"/>
                    </w:numPr>
                    <w:jc w:val="both"/>
                  </w:pPr>
                  <w:r>
                    <w:rPr>
                      <w:rFonts w:ascii="仿宋_GB2312" w:hAnsi="仿宋_GB2312" w:cs="仿宋_GB2312" w:eastAsia="仿宋_GB2312"/>
                      <w:sz w:val="21"/>
                      <w:color w:val="000000"/>
                    </w:rPr>
                    <w:t>微服务基座模块</w:t>
                  </w:r>
                </w:p>
                <w:p>
                  <w:pPr>
                    <w:pStyle w:val="null3"/>
                    <w:jc w:val="both"/>
                  </w:pPr>
                  <w:r>
                    <w:rPr>
                      <w:rFonts w:ascii="仿宋_GB2312" w:hAnsi="仿宋_GB2312" w:cs="仿宋_GB2312" w:eastAsia="仿宋_GB2312"/>
                      <w:sz w:val="21"/>
                      <w:color w:val="000000"/>
                    </w:rPr>
                    <w:t>能实现统一用户管理、统一终端管理、统一应用管理：</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统一用户管理：通过角色管理配置用户身份及对应权限，涵盖教师、学生、专业负责人、院系管理员、校级管理员及其他自定义角色的设置，不同角色看到不同的业务和微应用；</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统一终端管理：通过终端管理，实现智慧门户、个人空间、移动端、微信公众号、大数据屏的灵活配置；</w:t>
                  </w:r>
                </w:p>
                <w:p>
                  <w:pPr>
                    <w:pStyle w:val="null3"/>
                    <w:numPr>
                      <w:ilvl w:val="0"/>
                      <w:numId w:val="1"/>
                    </w:numPr>
                    <w:jc w:val="both"/>
                  </w:pPr>
                  <w:r>
                    <w:rPr>
                      <w:rFonts w:ascii="仿宋_GB2312" w:hAnsi="仿宋_GB2312" w:cs="仿宋_GB2312" w:eastAsia="仿宋_GB2312"/>
                      <w:sz w:val="21"/>
                      <w:color w:val="000000"/>
                    </w:rPr>
                    <w:t>▲支持创建多个角色空间，满足不同角色权限的使用，空间配置可以实现页面内容和页面样式的设置。</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统一应用管理：整合平台应用、学校自定义表单应用，形成统一的应用市场，可灵活配置至个人空间、移动端、门户。</w:t>
                  </w:r>
                </w:p>
                <w:p>
                  <w:pPr>
                    <w:pStyle w:val="null3"/>
                    <w:numPr>
                      <w:ilvl w:val="0"/>
                      <w:numId w:val="1"/>
                    </w:numPr>
                    <w:jc w:val="both"/>
                  </w:pPr>
                  <w:r>
                    <w:rPr>
                      <w:rFonts w:ascii="仿宋_GB2312" w:hAnsi="仿宋_GB2312" w:cs="仿宋_GB2312" w:eastAsia="仿宋_GB2312"/>
                      <w:sz w:val="21"/>
                      <w:color w:val="000000"/>
                    </w:rPr>
                    <w:t>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实现良好的使用体验</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p>
                <w:p>
                  <w:pPr>
                    <w:pStyle w:val="null3"/>
                    <w:numPr>
                      <w:ilvl w:val="0"/>
                      <w:numId w:val="1"/>
                    </w:numPr>
                    <w:jc w:val="both"/>
                  </w:pPr>
                  <w:r>
                    <w:rPr>
                      <w:rFonts w:ascii="仿宋_GB2312" w:hAnsi="仿宋_GB2312" w:cs="仿宋_GB2312" w:eastAsia="仿宋_GB2312"/>
                      <w:sz w:val="21"/>
                      <w:color w:val="000000"/>
                    </w:rPr>
                    <w:t>移动端页面支持按照角色进行设置，针对不同角色可设置不同版式的页面展示效果；不同角色的页面中可添加不同的微服务应用，满足不同用户的个性化需求，提高用户的使用体验。支持自定义设置移动端首页，提供三种首页模版供其选择使用。支持自定义首页布局，提供</w:t>
                  </w:r>
                  <w:r>
                    <w:rPr>
                      <w:rFonts w:ascii="仿宋_GB2312" w:hAnsi="仿宋_GB2312" w:cs="仿宋_GB2312" w:eastAsia="仿宋_GB2312"/>
                      <w:sz w:val="21"/>
                      <w:color w:val="000000"/>
                    </w:rPr>
                    <w:t>5种以上布局样式，在布局中，支持添加管理和教学所需要的应用模块，可以通过拖拽方式嵌入基础应用如轮播图、搜索、多图列表等应用，对应用进行详细的设置，支持添加管理和教学所需要的应用模块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p>
                <w:p>
                  <w:pPr>
                    <w:pStyle w:val="null3"/>
                    <w:numPr>
                      <w:ilvl w:val="0"/>
                      <w:numId w:val="1"/>
                    </w:numPr>
                    <w:jc w:val="both"/>
                  </w:pPr>
                  <w:r>
                    <w:rPr>
                      <w:rFonts w:ascii="仿宋_GB2312" w:hAnsi="仿宋_GB2312" w:cs="仿宋_GB2312" w:eastAsia="仿宋_GB2312"/>
                      <w:sz w:val="21"/>
                      <w:color w:val="000000"/>
                    </w:rPr>
                    <w:t>智慧教学数字化综合管理模块</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平台需具备完整的在线课程建设功能，可实现教师课前、课中到课后的全过程教学管理，完成老师所有的教学活动，可与学生在移动端进行互动，只需手机</w:t>
                  </w:r>
                  <w:r>
                    <w:rPr>
                      <w:rFonts w:ascii="仿宋_GB2312" w:hAnsi="仿宋_GB2312" w:cs="仿宋_GB2312" w:eastAsia="仿宋_GB2312"/>
                      <w:sz w:val="21"/>
                      <w:color w:val="000000"/>
                    </w:rPr>
                    <w:t>+网址即可进行教学，打通教学环节和各个终端的数据，实现数据实时更新。并实现我校多平台课程整合，实现统一门户、登录、个人教学学习空间。能够提供最新AI技术赋能教师备课与教学环节，实现AI辅助备课、智能出题、学情分析、智能批阅、课程目标达成统计等。</w:t>
                  </w:r>
                </w:p>
                <w:p>
                  <w:pPr>
                    <w:pStyle w:val="null3"/>
                    <w:numPr>
                      <w:ilvl w:val="0"/>
                      <w:numId w:val="1"/>
                    </w:numPr>
                    <w:jc w:val="both"/>
                  </w:pPr>
                  <w:r>
                    <w:rPr>
                      <w:rFonts w:ascii="仿宋_GB2312" w:hAnsi="仿宋_GB2312" w:cs="仿宋_GB2312" w:eastAsia="仿宋_GB2312"/>
                      <w:sz w:val="21"/>
                      <w:color w:val="000000"/>
                    </w:rPr>
                    <w:t>提供任务引擎工具，支持切换标签页跳转任务设计页面，添加分组，添加任务点和设置闯关达标条件，创建任务支持拉取任务点类型包括：视频，文档（笔记），线上课堂，</w:t>
                  </w:r>
                  <w:r>
                    <w:rPr>
                      <w:rFonts w:ascii="仿宋_GB2312" w:hAnsi="仿宋_GB2312" w:cs="仿宋_GB2312" w:eastAsia="仿宋_GB2312"/>
                      <w:sz w:val="21"/>
                      <w:color w:val="000000"/>
                    </w:rPr>
                    <w:t>AI实践，作业，自测，问卷，审批，自定义等17种类型。学习页面提供不少于五种模式，学生可通过地图页面、3D小岛虚拟展厅模式进行闯关打卡学习，支持跳转至任务点详情页面进行学习</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p>
                <w:p>
                  <w:pPr>
                    <w:pStyle w:val="null3"/>
                    <w:numPr>
                      <w:ilvl w:val="0"/>
                      <w:numId w:val="1"/>
                    </w:numPr>
                    <w:jc w:val="both"/>
                  </w:pPr>
                  <w:r>
                    <w:rPr>
                      <w:rFonts w:ascii="仿宋_GB2312" w:hAnsi="仿宋_GB2312" w:cs="仿宋_GB2312" w:eastAsia="仿宋_GB2312"/>
                      <w:sz w:val="21"/>
                      <w:color w:val="000000"/>
                    </w:rPr>
                    <w:t>▲知识图谱建设，支持构建和维护课程知识图谱、能力图谱、学习地图、知识点列表、问题图谱、思政图谱、等多维图谱，并支持基于课程个性化展示需求，自定义图谱标题、样式、内容，构建个性化图谱，也支持从网络课程一键化同步图谱至课程标准管理内。</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需支持插入知识点拓展阅读，可根据一个关键词自动生成相关知识点的知识树，插入到课程单元中，并自动推送知识点相关的图书、期刊等资料。</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基于课程知识图谱建设，对课程章节内的视频进行智能分析，自动匹配的知识点，并在视频对应的时间点进行自动打点，同时基于人工智能技术生成知识点词云分析并展示；支持教师基于打点内容自定义编辑；视频播放时学生可以定位到时间点观看对应知识点的视频讲解。</w:t>
                  </w:r>
                </w:p>
                <w:p>
                  <w:pPr>
                    <w:pStyle w:val="null3"/>
                    <w:numPr>
                      <w:ilvl w:val="0"/>
                      <w:numId w:val="1"/>
                    </w:numPr>
                    <w:jc w:val="both"/>
                  </w:pPr>
                  <w:r>
                    <w:rPr>
                      <w:rFonts w:ascii="仿宋_GB2312" w:hAnsi="仿宋_GB2312" w:cs="仿宋_GB2312" w:eastAsia="仿宋_GB2312"/>
                      <w:sz w:val="21"/>
                      <w:color w:val="000000"/>
                    </w:rPr>
                    <w:t>作业查重：支持简答题作业查重，支持学生提交作业与设置的正确答案对比，为阅卷教师提供参考。支持班级内学生与学生之间的简答题作业答案重复率的对比。支持老师在批改简答题时通过相似度查询系统，跟海量资源库文档内容进行比对，得出查重率。支持生成查重报告并导出</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题库需具备多题型录入、知识点管理、试题查重与共建共享功能；试卷管理需具备多模式组卷、模板预设及安全归档功能；考务管理需具备考试计划制定、考场分配、通知发布等线上化操作；考试管理需具备多样化考试管理，线上支持多终端答题与防作弊设计，线下满足标准化流程管控；在线监考需实现身份核验、实时监控与异常行为监测；需具备在线制作答题卡功能；数据分析可生成多维度教学与考试报表。</w:t>
                  </w:r>
                </w:p>
                <w:p>
                  <w:pPr>
                    <w:pStyle w:val="null3"/>
                    <w:numPr>
                      <w:ilvl w:val="0"/>
                      <w:numId w:val="1"/>
                    </w:numPr>
                    <w:jc w:val="both"/>
                  </w:pPr>
                  <w:r>
                    <w:rPr>
                      <w:rFonts w:ascii="仿宋_GB2312" w:hAnsi="仿宋_GB2312" w:cs="仿宋_GB2312" w:eastAsia="仿宋_GB2312"/>
                      <w:sz w:val="21"/>
                      <w:color w:val="000000"/>
                    </w:rPr>
                    <w:t>▲题库查重：支持用户在题库管理的高级设置中开启题库重重功能，设置单位题库查重阈值。开启后，导入题目和已有题目相似度超过此值时将不允许导入。提交题库审批会默认将题库相似度信息添加到审批详情中。对于已有的题目，可以对题库里的题目进行查重，并获取查重后的结果。</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直播监控：考试过程中，监考教师可以随时调取考生的直播画面进行直播监考，直播过程中可以设定实时观看考生的前置摄像头或者后置摄像头，查看考生的周边情况，进一步确认考生的真实考试情况。</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能够实现基于</w:t>
                  </w:r>
                  <w:r>
                    <w:rPr>
                      <w:rFonts w:ascii="仿宋_GB2312" w:hAnsi="仿宋_GB2312" w:cs="仿宋_GB2312" w:eastAsia="仿宋_GB2312"/>
                      <w:sz w:val="21"/>
                      <w:color w:val="000000"/>
                    </w:rPr>
                    <w:t>OBE理念的专业人才培养体系的指标建设、过程管理、目标达成统计及报告生成，形成“评价-反馈-改进”反复循环的持续改进机制。通过人才培养方案的制定修订，拆解专业培养指标体系并合理设置课程标准，形成与之相配套的教学目标，教学内容、课程体系、教学方法和考核方式，进行综合性的专业培养和专业建设数据统计及分析。</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对于某个专业，提供产业趋势分析，通过大数据分析提供参考数据，如产业需求趋势、技能趋势预测、岗位需求分析预测、院校开设情况、招生趋势、应届生薪资趋势。</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对于某个岗位，支持按地区、按行业类型、按企业类型查看岗位信息，包括岗位需求数量、平均薪资、岗位能力要求、经验要求、学历要求等。其中，岗位能力要求以</w:t>
                  </w:r>
                  <w:r>
                    <w:rPr>
                      <w:rFonts w:ascii="仿宋_GB2312" w:hAnsi="仿宋_GB2312" w:cs="仿宋_GB2312" w:eastAsia="仿宋_GB2312"/>
                      <w:sz w:val="21"/>
                      <w:color w:val="000000"/>
                    </w:rPr>
                    <w:t>词云</w:t>
                  </w:r>
                  <w:r>
                    <w:rPr>
                      <w:rFonts w:ascii="仿宋_GB2312" w:hAnsi="仿宋_GB2312" w:cs="仿宋_GB2312" w:eastAsia="仿宋_GB2312"/>
                      <w:sz w:val="21"/>
                      <w:color w:val="000000"/>
                    </w:rPr>
                    <w:t>形式，展示该岗位对专业人才</w:t>
                  </w:r>
                  <w:r>
                    <w:rPr>
                      <w:rFonts w:ascii="仿宋_GB2312" w:hAnsi="仿宋_GB2312" w:cs="仿宋_GB2312" w:eastAsia="仿宋_GB2312"/>
                      <w:sz w:val="21"/>
                      <w:color w:val="000000"/>
                    </w:rPr>
                    <w:t>的能力</w:t>
                  </w:r>
                  <w:r>
                    <w:rPr>
                      <w:rFonts w:ascii="仿宋_GB2312" w:hAnsi="仿宋_GB2312" w:cs="仿宋_GB2312" w:eastAsia="仿宋_GB2312"/>
                      <w:sz w:val="21"/>
                      <w:color w:val="000000"/>
                    </w:rPr>
                    <w:t>需求，并以列表形式，对各项能力的需求占比进行排名</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岗位支撑分析，系统抽取当前专业人培方案内容进行分析，同时可同步上传补充材料；专业负责人可基于系统推荐的相关岗位进行选择，添加岗位时支持专业关键数据匹配或能力模型匹配。最终输出该专业对应岗位的支持情况，基于不同色块显示支持情况。</w:t>
                  </w:r>
                </w:p>
                <w:p>
                  <w:pPr>
                    <w:pStyle w:val="null3"/>
                    <w:numPr>
                      <w:ilvl w:val="0"/>
                      <w:numId w:val="1"/>
                    </w:numPr>
                    <w:jc w:val="both"/>
                  </w:pPr>
                  <w:r>
                    <w:rPr>
                      <w:rFonts w:ascii="仿宋_GB2312" w:hAnsi="仿宋_GB2312" w:cs="仿宋_GB2312" w:eastAsia="仿宋_GB2312"/>
                      <w:sz w:val="21"/>
                      <w:color w:val="000000"/>
                    </w:rPr>
                    <w:t>提供通用培养方案数据库，整合全国多所院校公开的培养方案，可通过专业名称等关键词进行查找，培养方案能够在线浏览。数据源支持选择本单位线上人才培养方案模块中的已有方案进行对比，也支持本地上传文件进行在线对比</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人才培养方案部分组件支持一键引用国标内容，支持从三个维度（学校上传的调研报告等、人才培养方案数据库中匹配的同类型院校的人才培养方案、招聘岗位能力模型匹配的岗位）AI智能生成文本内容供专业负责人参考。职业面向表支持按学校模板自定义增加数据维度。</w:t>
                  </w:r>
                </w:p>
                <w:p>
                  <w:pPr>
                    <w:pStyle w:val="null3"/>
                    <w:numPr>
                      <w:ilvl w:val="0"/>
                      <w:numId w:val="1"/>
                    </w:numPr>
                    <w:jc w:val="both"/>
                  </w:pPr>
                  <w:r>
                    <w:rPr>
                      <w:rFonts w:ascii="仿宋_GB2312" w:hAnsi="仿宋_GB2312" w:cs="仿宋_GB2312" w:eastAsia="仿宋_GB2312"/>
                      <w:sz w:val="21"/>
                      <w:color w:val="000000"/>
                    </w:rPr>
                    <w:t>▲除内置的结构化数据组件外，支持使用表单和报告引擎搭建学校专有的个性化组件；表单支持各类数据项的设置及统计，报告引擎支持对表单的输出显示进行个性化的设置。</w:t>
                  </w:r>
                </w:p>
                <w:p>
                  <w:pPr>
                    <w:pStyle w:val="null3"/>
                    <w:numPr>
                      <w:ilvl w:val="0"/>
                      <w:numId w:val="1"/>
                    </w:numPr>
                    <w:jc w:val="both"/>
                  </w:pPr>
                  <w:r>
                    <w:rPr>
                      <w:rFonts w:ascii="仿宋_GB2312" w:hAnsi="仿宋_GB2312" w:cs="仿宋_GB2312" w:eastAsia="仿宋_GB2312"/>
                      <w:sz w:val="21"/>
                      <w:color w:val="000000"/>
                    </w:rPr>
                    <w:t>▲人才培养方案方案审核，支持完全灵活的自定义审批流机制，支持设置电子签名，支持设置或签及会签及打回规则，支持设置自动提醒功能。支持管理及设置评审专家库。支持按照审批流设置对教师提交的培养方案进行评审。</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专业关键数据生成助手：可上传文档或选择参考内容，参考文件支持个人上传本地文档，支持</w:t>
                  </w:r>
                  <w:r>
                    <w:rPr>
                      <w:rFonts w:ascii="仿宋_GB2312" w:hAnsi="仿宋_GB2312" w:cs="仿宋_GB2312" w:eastAsia="仿宋_GB2312"/>
                      <w:sz w:val="21"/>
                      <w:color w:val="000000"/>
                    </w:rPr>
                    <w:t>word和pdf格式，人才培养方案支持从数据库中抽取、适配岗位支持从专业对应岗位能力模型下进行推荐适配。生成时可选择相关模块，例如培养目标等，再选择完大模型之后即可生成相关参考数据，支持重新生成或在此基础上编辑，最终可引用至对应栏目数据下。</w:t>
                  </w:r>
                </w:p>
                <w:p>
                  <w:pPr>
                    <w:pStyle w:val="null3"/>
                    <w:numPr>
                      <w:ilvl w:val="0"/>
                      <w:numId w:val="1"/>
                    </w:numPr>
                    <w:jc w:val="both"/>
                  </w:pPr>
                  <w:r>
                    <w:rPr>
                      <w:rFonts w:ascii="仿宋_GB2312" w:hAnsi="仿宋_GB2312" w:cs="仿宋_GB2312" w:eastAsia="仿宋_GB2312"/>
                      <w:sz w:val="21"/>
                      <w:color w:val="000000"/>
                    </w:rPr>
                    <w:t>▲基于实际专业建设需求，可提供个性化图谱引擎工具，引擎工具支持自定义图谱名称及描述，并提供多种图谱样式供学校使用参考。如3D层级结构、平面关系结构、环状结构等。建设的图谱可在图谱库中检索</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▲基于图谱引擎建设的图谱，支持独立链接地址生成，图谱数据来源支持在线添加、批量导入模版、外部数据源接入，其中外部数据源提供相关接入范例要求，并支持格式校验，建设的图谱数据支持一键导出。</w:t>
                  </w:r>
                </w:p>
                <w:p>
                  <w:pPr>
                    <w:pStyle w:val="null3"/>
                    <w:numPr>
                      <w:ilvl w:val="0"/>
                      <w:numId w:val="1"/>
                    </w:numPr>
                    <w:jc w:val="both"/>
                  </w:pPr>
                  <w:r>
                    <w:rPr>
                      <w:rFonts w:ascii="仿宋_GB2312" w:hAnsi="仿宋_GB2312" w:cs="仿宋_GB2312" w:eastAsia="仿宋_GB2312"/>
                      <w:sz w:val="21"/>
                      <w:color w:val="000000"/>
                    </w:rPr>
                    <w:t>▲可根据专业能力培养方向，进行专业能力图谱的构建生成，支持建设包含岗位图谱、竞赛图谱、证书图谱，其中以上能力图谱可实现与课程及技能点/知识点的对接，满足学习者按照能力图谱路径开展闯关式学习打卡。</w:t>
                  </w:r>
                </w:p>
                <w:p>
                  <w:pPr>
                    <w:pStyle w:val="null3"/>
                    <w:numPr>
                      <w:ilvl w:val="0"/>
                      <w:numId w:val="1"/>
                    </w:numPr>
                    <w:jc w:val="both"/>
                  </w:pPr>
                  <w:r>
                    <w:rPr>
                      <w:rFonts w:ascii="仿宋_GB2312" w:hAnsi="仿宋_GB2312" w:cs="仿宋_GB2312" w:eastAsia="仿宋_GB2312"/>
                      <w:sz w:val="21"/>
                      <w:color w:val="000000"/>
                    </w:rPr>
                    <w:t>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color w:val="000000"/>
                    </w:rPr>
                    <w:t>IP、地图等多种基础模块，用以生成网站应用模块和页面，满足绝大部分网站内容的展现形式。</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需提供演示</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需支持课程教学流程管理，在课程章节学习过程中添加讨论、章节测验、投票问卷等。</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需支持视频中任意时间点插入互动测验：上传视频后，可以在任意时间点插入测试题，包含单选题、多选题和判断题；需支持测验题目从题库选题；需支持设置答错是否允许继续观看视频，如果答错，需支持设置回看多少分钟，或者设置回看时间段；需支持学生作答后查看答案。</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需支持视频的虚拟剪辑，可拖动视频播放的起始点、终止点将视频文件按照课程要求剪辑成适当长度，教师可手动输入时间点，进行视频在线虚拟剪辑。</w:t>
                  </w:r>
                </w:p>
                <w:p>
                  <w:pPr>
                    <w:pStyle w:val="null3"/>
                    <w:numPr>
                      <w:ilvl w:val="0"/>
                      <w:numId w:val="1"/>
                    </w:numPr>
                    <w:jc w:val="both"/>
                  </w:pPr>
                  <w:r>
                    <w:rPr>
                      <w:rFonts w:ascii="仿宋_GB2312" w:hAnsi="仿宋_GB2312" w:cs="仿宋_GB2312" w:eastAsia="仿宋_GB2312"/>
                      <w:sz w:val="21"/>
                      <w:color w:val="000000"/>
                    </w:rPr>
                    <w:t>教师发展管理模块</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基于学校校赛举办及管理角度出发，完成对竞赛全流程进行管理和设置，包括竞赛网站、人员设置、竞赛流程、竞赛报名、专家管理、作品管理、评审规则管理、作品评审、作品评审结果等。同时实现全校分院及教师个人获奖情况抓取、填报功能。</w:t>
                  </w:r>
                </w:p>
                <w:p>
                  <w:pPr>
                    <w:pStyle w:val="null3"/>
                    <w:numPr>
                      <w:ilvl w:val="0"/>
                      <w:numId w:val="1"/>
                    </w:numPr>
                    <w:jc w:val="both"/>
                  </w:pPr>
                  <w:r>
                    <w:rPr>
                      <w:rFonts w:ascii="仿宋_GB2312" w:hAnsi="仿宋_GB2312" w:cs="仿宋_GB2312" w:eastAsia="仿宋_GB2312"/>
                      <w:sz w:val="21"/>
                      <w:color w:val="000000"/>
                    </w:rPr>
                    <w:t>▲支持使用赛序抽签功能，参赛选手抽取出场顺序后，专家评审作品的顺序会自动按照赛序排列进行；</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从教师管理及培训需求出发，需实现教研活动管理、线上会议软件、常态化话题讨论交流小组、群聊消息，并能实现线上线下各类教研活动开展；教研组教师能够完成知识图谱建设及应用、教研资源共建、协作笔记和文档，优质资源共建共享；进行各项教研活动数据记录及分析，实现对整个教研过程大数据留痕及分析反馈；同时通过个性化教研门户，实现教研成果展示与教研成果辐射推广应用。</w:t>
                  </w:r>
                </w:p>
                <w:p>
                  <w:pPr>
                    <w:pStyle w:val="null3"/>
                    <w:numPr>
                      <w:ilvl w:val="0"/>
                      <w:numId w:val="1"/>
                    </w:numPr>
                    <w:jc w:val="both"/>
                  </w:pPr>
                  <w:r>
                    <w:rPr>
                      <w:rFonts w:ascii="仿宋_GB2312" w:hAnsi="仿宋_GB2312" w:cs="仿宋_GB2312" w:eastAsia="仿宋_GB2312"/>
                      <w:sz w:val="21"/>
                      <w:color w:val="000000"/>
                    </w:rPr>
                    <w:t>▲具备一站式</w:t>
                  </w:r>
                  <w:r>
                    <w:rPr>
                      <w:rFonts w:ascii="仿宋_GB2312" w:hAnsi="仿宋_GB2312" w:cs="仿宋_GB2312" w:eastAsia="仿宋_GB2312"/>
                      <w:sz w:val="21"/>
                      <w:color w:val="000000"/>
                    </w:rPr>
                    <w:t>教研活动</w:t>
                  </w:r>
                  <w:r>
                    <w:rPr>
                      <w:rFonts w:ascii="仿宋_GB2312" w:hAnsi="仿宋_GB2312" w:cs="仿宋_GB2312" w:eastAsia="仿宋_GB2312"/>
                      <w:sz w:val="21"/>
                      <w:color w:val="000000"/>
                    </w:rPr>
                    <w:t>管理。支持</w:t>
                  </w:r>
                  <w:r>
                    <w:rPr>
                      <w:rFonts w:ascii="仿宋_GB2312" w:hAnsi="仿宋_GB2312" w:cs="仿宋_GB2312" w:eastAsia="仿宋_GB2312"/>
                      <w:sz w:val="21"/>
                      <w:color w:val="000000"/>
                    </w:rPr>
                    <w:t>教研活动</w:t>
                  </w:r>
                  <w:r>
                    <w:rPr>
                      <w:rFonts w:ascii="仿宋_GB2312" w:hAnsi="仿宋_GB2312" w:cs="仿宋_GB2312" w:eastAsia="仿宋_GB2312"/>
                      <w:sz w:val="21"/>
                      <w:color w:val="000000"/>
                    </w:rPr>
                    <w:t>发布、通知提醒、</w:t>
                  </w:r>
                  <w:r>
                    <w:rPr>
                      <w:rFonts w:ascii="仿宋_GB2312" w:hAnsi="仿宋_GB2312" w:cs="仿宋_GB2312" w:eastAsia="仿宋_GB2312"/>
                      <w:sz w:val="21"/>
                      <w:color w:val="000000"/>
                    </w:rPr>
                    <w:t>教研活动</w:t>
                  </w:r>
                  <w:r>
                    <w:rPr>
                      <w:rFonts w:ascii="仿宋_GB2312" w:hAnsi="仿宋_GB2312" w:cs="仿宋_GB2312" w:eastAsia="仿宋_GB2312"/>
                      <w:sz w:val="21"/>
                      <w:color w:val="000000"/>
                    </w:rPr>
                    <w:t>报名（可指定报名对象）、在线报名、请假管理、</w:t>
                  </w:r>
                  <w:r>
                    <w:rPr>
                      <w:rFonts w:ascii="仿宋_GB2312" w:hAnsi="仿宋_GB2312" w:cs="仿宋_GB2312" w:eastAsia="仿宋_GB2312"/>
                      <w:sz w:val="21"/>
                      <w:color w:val="000000"/>
                    </w:rPr>
                    <w:t>活动</w:t>
                  </w:r>
                  <w:r>
                    <w:rPr>
                      <w:rFonts w:ascii="仿宋_GB2312" w:hAnsi="仿宋_GB2312" w:cs="仿宋_GB2312" w:eastAsia="仿宋_GB2312"/>
                      <w:sz w:val="21"/>
                      <w:color w:val="000000"/>
                    </w:rPr>
                    <w:t>签到、</w:t>
                  </w:r>
                  <w:r>
                    <w:rPr>
                      <w:rFonts w:ascii="仿宋_GB2312" w:hAnsi="仿宋_GB2312" w:cs="仿宋_GB2312" w:eastAsia="仿宋_GB2312"/>
                      <w:sz w:val="21"/>
                      <w:color w:val="000000"/>
                    </w:rPr>
                    <w:t>作业提交</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活动问卷</w:t>
                  </w:r>
                  <w:r>
                    <w:rPr>
                      <w:rFonts w:ascii="仿宋_GB2312" w:hAnsi="仿宋_GB2312" w:cs="仿宋_GB2312" w:eastAsia="仿宋_GB2312"/>
                      <w:sz w:val="21"/>
                      <w:color w:val="000000"/>
                    </w:rPr>
                    <w:t>调查、</w:t>
                  </w:r>
                  <w:r>
                    <w:rPr>
                      <w:rFonts w:ascii="仿宋_GB2312" w:hAnsi="仿宋_GB2312" w:cs="仿宋_GB2312" w:eastAsia="仿宋_GB2312"/>
                      <w:sz w:val="21"/>
                      <w:color w:val="000000"/>
                    </w:rPr>
                    <w:t>活动</w:t>
                  </w:r>
                  <w:r>
                    <w:rPr>
                      <w:rFonts w:ascii="仿宋_GB2312" w:hAnsi="仿宋_GB2312" w:cs="仿宋_GB2312" w:eastAsia="仿宋_GB2312"/>
                      <w:sz w:val="21"/>
                      <w:color w:val="000000"/>
                    </w:rPr>
                    <w:t>成果管理、统计等业务流程一体化管理。</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为保证校内教学改革工程项目的建设，应支持教师在线申报教研项目功能，能够支持项目评审、项目中期检查、项目变更、项目结题、成果展示、数据汇总导出等。</w:t>
                  </w:r>
                </w:p>
                <w:p>
                  <w:pPr>
                    <w:pStyle w:val="null3"/>
                    <w:numPr>
                      <w:ilvl w:val="0"/>
                      <w:numId w:val="1"/>
                    </w:numPr>
                    <w:jc w:val="both"/>
                  </w:pPr>
                  <w:r>
                    <w:rPr>
                      <w:rFonts w:ascii="仿宋_GB2312" w:hAnsi="仿宋_GB2312" w:cs="仿宋_GB2312" w:eastAsia="仿宋_GB2312"/>
                      <w:sz w:val="21"/>
                      <w:color w:val="000000"/>
                    </w:rPr>
                    <w:t>▲管理员可以一键分类打包导出各类项目材料。支持根据筛选条件进行多维度检索并将筛选结果的项目材料导出，可灵活选择导出的材料类型，在导出时支持自定义设置材料打包规则，包含按项目打包或按材料类型打包两种模式。此外，支持灵活的自定义设置材料名称。</w:t>
                  </w:r>
                </w:p>
                <w:p>
                  <w:pPr>
                    <w:pStyle w:val="null3"/>
                    <w:numPr>
                      <w:ilvl w:val="0"/>
                      <w:numId w:val="1"/>
                    </w:numPr>
                    <w:jc w:val="both"/>
                  </w:pPr>
                  <w:r>
                    <w:rPr>
                      <w:rFonts w:ascii="仿宋_GB2312" w:hAnsi="仿宋_GB2312" w:cs="仿宋_GB2312" w:eastAsia="仿宋_GB2312"/>
                      <w:sz w:val="21"/>
                      <w:color w:val="000000"/>
                    </w:rPr>
                    <w:t>▲支持设置项目申报书模板，需可以自定义编辑在线填报模板的内容，需支持常见的标题、文本输入、下拉选择、富文本编辑、在线表格编辑、添加附件和图片、添加链接等多种控件，能够让在线申报时填写格式与导出申报书格式一致。在线申报时需允许申报人在线灵活拆分、合并、增加或删除表格，需支持控制表格中填写内容的字数、是否必填、设置锁定编辑并可简单设置表格展示样式。申报书模板控件需支持设置是否必填，并可设置填写内容的提示说明。</w:t>
                  </w:r>
                </w:p>
                <w:p>
                  <w:pPr>
                    <w:pStyle w:val="null3"/>
                    <w:numPr>
                      <w:ilvl w:val="0"/>
                      <w:numId w:val="1"/>
                    </w:numPr>
                    <w:jc w:val="both"/>
                  </w:pPr>
                  <w:r>
                    <w:rPr>
                      <w:rFonts w:ascii="仿宋_GB2312" w:hAnsi="仿宋_GB2312" w:cs="仿宋_GB2312" w:eastAsia="仿宋_GB2312"/>
                      <w:sz w:val="21"/>
                      <w:color w:val="000000"/>
                    </w:rPr>
                    <w:t>▲支持评审人员进行手写电子签名和上传电子印章，并且可以管理个人手写签名和电子印章，并评审时进行调用。</w:t>
                  </w:r>
                </w:p>
                <w:p>
                  <w:pPr>
                    <w:pStyle w:val="null3"/>
                    <w:numPr>
                      <w:ilvl w:val="0"/>
                      <w:numId w:val="1"/>
                    </w:numPr>
                    <w:jc w:val="both"/>
                  </w:pPr>
                  <w:r>
                    <w:rPr>
                      <w:rFonts w:ascii="仿宋_GB2312" w:hAnsi="仿宋_GB2312" w:cs="仿宋_GB2312" w:eastAsia="仿宋_GB2312"/>
                      <w:sz w:val="21"/>
                      <w:color w:val="000000"/>
                    </w:rPr>
                    <w:t>▲审核通过的项目成果需支持成果公示，可展示在网站门户首页中，方便所有用户查看。</w:t>
                  </w:r>
                </w:p>
                <w:p>
                  <w:pPr>
                    <w:pStyle w:val="null3"/>
                    <w:numPr>
                      <w:ilvl w:val="0"/>
                      <w:numId w:val="1"/>
                    </w:numPr>
                    <w:jc w:val="both"/>
                  </w:pPr>
                  <w:r>
                    <w:rPr>
                      <w:rFonts w:ascii="仿宋_GB2312" w:hAnsi="仿宋_GB2312" w:cs="仿宋_GB2312" w:eastAsia="仿宋_GB2312"/>
                      <w:sz w:val="21"/>
                      <w:color w:val="000000"/>
                    </w:rPr>
                    <w:t>智能督导评价模块</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与智慧教学数字化综合管理模块打通，整合线上线下教学数据，进行多元化评价，如督导评价、同行评价、评价领导、教师互评、学生评价等不同人员，可实现督导移动端听评课，远程巡课、学生评教、随堂评教、教师自评、互评，评课程，评教材、评专业、公开问卷等全方位评价场景。</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管理员可在后台为督导指派任务，可手动按课程或者节次指派督导；也可以自动指派，指派规则包括被评对象与督导的院系关系、督导与督导的院系关系、督导和教师的上课时间冲突过滤、不同教学班的授课老师相同时指派给相同督导、每个督导需要完成及每个被评对象需要被评数量等</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通知：可以在移动客户端选择给指定的人发送评价通知，并统计已读和未读名单，对于未读的人可以直接通过短信、应用内、电话、微信进行预警提醒。</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依托于学校教室内画面采集器和拾音吊麦或学校现有智慧教室录播平台的对接，实现督导线上巡课场景，能够结合画面和语音分析等，生成</w:t>
                  </w:r>
                  <w:r>
                    <w:rPr>
                      <w:rFonts w:ascii="仿宋_GB2312" w:hAnsi="仿宋_GB2312" w:cs="仿宋_GB2312" w:eastAsia="仿宋_GB2312"/>
                      <w:sz w:val="21"/>
                      <w:color w:val="000000"/>
                    </w:rPr>
                    <w:t>AI课堂分析报告辅助督导完成评价工作。</w:t>
                  </w:r>
                </w:p>
                <w:p>
                  <w:pPr>
                    <w:pStyle w:val="null3"/>
                    <w:numPr>
                      <w:ilvl w:val="0"/>
                      <w:numId w:val="1"/>
                    </w:numPr>
                    <w:jc w:val="both"/>
                  </w:pPr>
                  <w:r>
                    <w:rPr>
                      <w:rFonts w:ascii="仿宋_GB2312" w:hAnsi="仿宋_GB2312" w:cs="仿宋_GB2312" w:eastAsia="仿宋_GB2312"/>
                      <w:sz w:val="21"/>
                      <w:color w:val="000000"/>
                    </w:rPr>
                    <w:t>▲AI课程分析报告</w:t>
                  </w:r>
                </w:p>
                <w:p>
                  <w:pPr>
                    <w:pStyle w:val="null3"/>
                    <w:ind w:firstLine="420"/>
                    <w:jc w:val="both"/>
                  </w:pPr>
                  <w:r>
                    <w:rPr>
                      <w:rFonts w:ascii="仿宋_GB2312" w:hAnsi="仿宋_GB2312" w:cs="仿宋_GB2312" w:eastAsia="仿宋_GB2312"/>
                      <w:sz w:val="21"/>
                      <w:color w:val="000000"/>
                    </w:rPr>
                    <w:t>综合表现：支持以百分制呈现课程综合得分，得分权重覆盖课堂设计、学生表现、教师表现等多维度，同时提供本课程得分与同学院、全校同类型课程平均分的横向对比数据，明确课程整体水平定位。</w:t>
                  </w:r>
                </w:p>
                <w:p>
                  <w:pPr>
                    <w:pStyle w:val="null3"/>
                    <w:ind w:firstLine="420"/>
                    <w:jc w:val="both"/>
                  </w:pPr>
                  <w:r>
                    <w:rPr>
                      <w:rFonts w:ascii="仿宋_GB2312" w:hAnsi="仿宋_GB2312" w:cs="仿宋_GB2312" w:eastAsia="仿宋_GB2312"/>
                      <w:sz w:val="21"/>
                      <w:color w:val="000000"/>
                    </w:rPr>
                    <w:t>课堂设计：支持展示课堂设计参数包含</w:t>
                  </w:r>
                  <w:r>
                    <w:rPr>
                      <w:rFonts w:ascii="仿宋_GB2312" w:hAnsi="仿宋_GB2312" w:cs="仿宋_GB2312" w:eastAsia="仿宋_GB2312"/>
                      <w:sz w:val="21"/>
                      <w:color w:val="000000"/>
                    </w:rPr>
                    <w:t>Rt值（教师行为占有率）和Ch值（师生行为转换率），以判定课堂类型，通过课堂学生行为占比热力图呈现不同时间段学生参与度占比，直观反映课堂节奏把控与活跃度情况。</w:t>
                  </w:r>
                </w:p>
                <w:p>
                  <w:pPr>
                    <w:pStyle w:val="null3"/>
                    <w:ind w:firstLine="420"/>
                    <w:jc w:val="both"/>
                  </w:pPr>
                  <w:r>
                    <w:rPr>
                      <w:rFonts w:ascii="仿宋_GB2312" w:hAnsi="仿宋_GB2312" w:cs="仿宋_GB2312" w:eastAsia="仿宋_GB2312"/>
                      <w:sz w:val="21"/>
                      <w:color w:val="000000"/>
                    </w:rPr>
                    <w:t>学生表现：支持展示学生表现核心指标，包含平均到课率、前排率、抬头率、活跃度、专注度等，展示各指标具体数值及超越全校课程的百分比，呈现课程各节次指标数据变化趋势，同时支持与同类型、学院、全校课程的横向对比分析。</w:t>
                  </w:r>
                </w:p>
                <w:p>
                  <w:pPr>
                    <w:pStyle w:val="null3"/>
                    <w:ind w:firstLine="420"/>
                    <w:jc w:val="both"/>
                  </w:pPr>
                  <w:r>
                    <w:rPr>
                      <w:rFonts w:ascii="仿宋_GB2312" w:hAnsi="仿宋_GB2312" w:cs="仿宋_GB2312" w:eastAsia="仿宋_GB2312"/>
                      <w:sz w:val="21"/>
                      <w:color w:val="000000"/>
                    </w:rPr>
                    <w:t>教师表现：支持展示教师表现参数涵盖准时上课率、普通话水平、课堂平均音量、平均语速等基础数据，还包括情感倾向分布、违禁词出现次数、教师行为时长占比及课堂活动范围统计，多维度呈现教师教学素养与课堂管理效能。</w:t>
                  </w:r>
                </w:p>
                <w:p>
                  <w:pPr>
                    <w:pStyle w:val="null3"/>
                    <w:ind w:firstLine="420"/>
                    <w:jc w:val="both"/>
                  </w:pPr>
                  <w:r>
                    <w:rPr>
                      <w:rFonts w:ascii="仿宋_GB2312" w:hAnsi="仿宋_GB2312" w:cs="仿宋_GB2312" w:eastAsia="仿宋_GB2312"/>
                      <w:sz w:val="21"/>
                      <w:color w:val="000000"/>
                    </w:rPr>
                    <w:t>在线课程运行：支持展示在线课程运行参数包含资源总数、章节资源数、视频总时长等资源建设数据，任务点完成率、讨论参与率等互动数据，以及智能体数量、知识库问答对数、知识图谱知识点建设率等</w:t>
                  </w:r>
                  <w:r>
                    <w:rPr>
                      <w:rFonts w:ascii="仿宋_GB2312" w:hAnsi="仿宋_GB2312" w:cs="仿宋_GB2312" w:eastAsia="仿宋_GB2312"/>
                      <w:sz w:val="21"/>
                      <w:color w:val="000000"/>
                    </w:rPr>
                    <w:t>AI相关数据，全面反映线上课程运行状态。</w:t>
                  </w:r>
                </w:p>
                <w:p>
                  <w:pPr>
                    <w:pStyle w:val="null3"/>
                    <w:ind w:firstLine="420"/>
                    <w:jc w:val="both"/>
                  </w:pPr>
                  <w:r>
                    <w:rPr>
                      <w:rFonts w:ascii="仿宋_GB2312" w:hAnsi="仿宋_GB2312" w:cs="仿宋_GB2312" w:eastAsia="仿宋_GB2312"/>
                      <w:sz w:val="21"/>
                      <w:color w:val="000000"/>
                    </w:rPr>
                    <w:t>学习成果：支持展示学习成果参数核心是知识掌握率、成绩平均分、及格率，同时呈现不同分数段学生分布情况，以及核心知识点的掌握完成率，量化学生学习效果。</w:t>
                  </w:r>
                </w:p>
                <w:p>
                  <w:pPr>
                    <w:pStyle w:val="null3"/>
                    <w:ind w:firstLine="420"/>
                    <w:jc w:val="both"/>
                  </w:pPr>
                  <w:r>
                    <w:rPr>
                      <w:rFonts w:ascii="仿宋_GB2312" w:hAnsi="仿宋_GB2312" w:cs="仿宋_GB2312" w:eastAsia="仿宋_GB2312"/>
                      <w:sz w:val="21"/>
                      <w:color w:val="000000"/>
                    </w:rPr>
                    <w:t>课堂评价：支持展示课堂评价参数收集学生、信息员、同行、督导、管理员等多角色评分，通过横向对比当前课程与同类、学院、学校课程的评分差异，结合</w:t>
                  </w:r>
                  <w:r>
                    <w:rPr>
                      <w:rFonts w:ascii="仿宋_GB2312" w:hAnsi="仿宋_GB2312" w:cs="仿宋_GB2312" w:eastAsia="仿宋_GB2312"/>
                      <w:sz w:val="21"/>
                      <w:color w:val="000000"/>
                    </w:rPr>
                    <w:t>AI大模型生成综合评价与优化建议。</w:t>
                  </w:r>
                </w:p>
                <w:p>
                  <w:pPr>
                    <w:pStyle w:val="null3"/>
                    <w:numPr>
                      <w:ilvl w:val="0"/>
                      <w:numId w:val="1"/>
                    </w:numPr>
                    <w:jc w:val="both"/>
                  </w:pPr>
                  <w:r>
                    <w:rPr>
                      <w:rFonts w:ascii="仿宋_GB2312" w:hAnsi="仿宋_GB2312" w:cs="仿宋_GB2312" w:eastAsia="仿宋_GB2312"/>
                      <w:sz w:val="21"/>
                      <w:color w:val="000000"/>
                    </w:rPr>
                    <w:t>▲支持利用五何分析法分析授课内容，并呈现数量及占比。</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教师通过二维码、手势、定位位置等便捷方式快速完成学生考勤，需具备缺勤、事假、病假等多种考勤状态设置，全面记录考勤情况。同时需要为考勤管理员提供数据驾驶舱，直观展示开课、签到详情、课程和学生到课统计以及教师发签到统计等全面视图，满足多维度筛选及签到数据导出和缺勤预警通知等需求。</w:t>
                  </w:r>
                </w:p>
                <w:p>
                  <w:pPr>
                    <w:pStyle w:val="null3"/>
                    <w:numPr>
                      <w:ilvl w:val="0"/>
                      <w:numId w:val="1"/>
                    </w:numPr>
                    <w:jc w:val="both"/>
                  </w:pPr>
                  <w:r>
                    <w:rPr>
                      <w:rFonts w:ascii="仿宋_GB2312" w:hAnsi="仿宋_GB2312" w:cs="仿宋_GB2312" w:eastAsia="仿宋_GB2312"/>
                      <w:sz w:val="21"/>
                      <w:color w:val="000000"/>
                    </w:rPr>
                    <w:t>▲签到类型支持二维码签到、拍照签到、手势签到、位置签到、签到码签到，二维码支持自定义刷新时间，并校验允许二维码签到的位置，允许范围支持自定义。</w:t>
                  </w:r>
                </w:p>
                <w:p>
                  <w:pPr>
                    <w:pStyle w:val="null3"/>
                    <w:numPr>
                      <w:ilvl w:val="0"/>
                      <w:numId w:val="1"/>
                    </w:numPr>
                    <w:jc w:val="both"/>
                  </w:pPr>
                  <w:r>
                    <w:rPr>
                      <w:rFonts w:ascii="仿宋_GB2312" w:hAnsi="仿宋_GB2312" w:cs="仿宋_GB2312" w:eastAsia="仿宋_GB2312"/>
                      <w:sz w:val="21"/>
                      <w:color w:val="000000"/>
                    </w:rPr>
                    <w:t>▲采用位置校验，实现教师实践地点的精准打卡。提供每日打卡记录，自动统计出勤情况，实时监控打卡异常，通过系统通知及时提醒教师，管理员可实时查看打卡数据。</w:t>
                  </w:r>
                </w:p>
                <w:p>
                  <w:pPr>
                    <w:pStyle w:val="null3"/>
                    <w:jc w:val="both"/>
                  </w:pPr>
                  <w:r>
                    <w:rPr>
                      <w:rFonts w:ascii="仿宋_GB2312" w:hAnsi="仿宋_GB2312" w:cs="仿宋_GB2312" w:eastAsia="仿宋_GB2312"/>
                      <w:sz w:val="21"/>
                      <w:color w:val="000000"/>
                    </w:rPr>
                    <w:t>(10)▲考勤系统签到数据自动计入课程运行数据，并按课程统计分析，为学生过程性成绩、教学管理、课程评审提供运行数据支撑。</w:t>
                  </w:r>
                </w:p>
                <w:p>
                  <w:pPr>
                    <w:pStyle w:val="null3"/>
                    <w:numPr>
                      <w:ilvl w:val="0"/>
                      <w:numId w:val="1"/>
                    </w:numPr>
                    <w:jc w:val="both"/>
                  </w:pPr>
                  <w:r>
                    <w:rPr>
                      <w:rFonts w:ascii="仿宋_GB2312" w:hAnsi="仿宋_GB2312" w:cs="仿宋_GB2312" w:eastAsia="仿宋_GB2312"/>
                      <w:sz w:val="21"/>
                      <w:color w:val="000000"/>
                    </w:rPr>
                    <w:t>教师教学档案袋</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通过数据互通与流程自动化，实现教师教学数据的整合与分析，生成专属于教师个人的教学档案袋模块，通过多维度学情分析、教师</w:t>
                  </w:r>
                  <w:r>
                    <w:rPr>
                      <w:rFonts w:ascii="仿宋_GB2312" w:hAnsi="仿宋_GB2312" w:cs="仿宋_GB2312" w:eastAsia="仿宋_GB2312"/>
                      <w:sz w:val="21"/>
                      <w:color w:val="000000"/>
                    </w:rPr>
                    <w:t>/学生/课程画像构建，输出可视化看板与教学日报/周报/月报。</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按照业务部门需求，搭建成果收集模块，能够实现按教研室、专业、学院部门等查看教师获奖成果汇总数据。</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根据业务部门实际需要实现与其他系统的数据对接，丰富教学档案袋数据及展示维度。</w:t>
                  </w:r>
                </w:p>
                <w:p>
                  <w:pPr>
                    <w:pStyle w:val="null3"/>
                    <w:numPr>
                      <w:ilvl w:val="0"/>
                      <w:numId w:val="1"/>
                    </w:numPr>
                    <w:jc w:val="both"/>
                  </w:pPr>
                  <w:r>
                    <w:rPr>
                      <w:rFonts w:ascii="仿宋_GB2312" w:hAnsi="仿宋_GB2312" w:cs="仿宋_GB2312" w:eastAsia="仿宋_GB2312"/>
                      <w:sz w:val="21"/>
                      <w:color w:val="000000"/>
                    </w:rPr>
                    <w:t>智慧迎新模块</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围绕新生事务主线，实现从迎新前、迎新中、迎新后的全流程一体化线上管理。</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能够完成学校对新生入校前后及入校中环节办理等相关工作的全流程线上管理，平台须基于微服务基座架构设计，并能够支持在</w:t>
                  </w:r>
                  <w:r>
                    <w:rPr>
                      <w:rFonts w:ascii="仿宋_GB2312" w:hAnsi="仿宋_GB2312" w:cs="仿宋_GB2312" w:eastAsia="仿宋_GB2312"/>
                      <w:sz w:val="21"/>
                      <w:color w:val="000000"/>
                    </w:rPr>
                    <w:t>PC端门户、移动端、线下自助机等多终端使用。</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管理登录节点</w:t>
                  </w:r>
                </w:p>
              </w:tc>
              <w:tc>
                <w:tcPr>
                  <w:tcW w:type="dxa" w:w="1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管理登录节点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机箱：机架式服务器；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★CPU：2颗</w:t>
                  </w:r>
                  <w:r>
                    <w:rPr>
                      <w:rFonts w:ascii="仿宋_GB2312" w:hAnsi="仿宋_GB2312" w:cs="仿宋_GB2312" w:eastAsia="仿宋_GB2312"/>
                      <w:sz w:val="21"/>
                      <w:color w:val="000000"/>
                    </w:rPr>
                    <w:t>ARM架构国产自主品牌处理器</w:t>
                  </w:r>
                  <w:r>
                    <w:rPr>
                      <w:rFonts w:ascii="仿宋_GB2312" w:hAnsi="仿宋_GB2312" w:cs="仿宋_GB2312" w:eastAsia="仿宋_GB2312"/>
                      <w:sz w:val="21"/>
                      <w:color w:val="000000"/>
                    </w:rPr>
                    <w:t>，单颗</w:t>
                  </w:r>
                  <w:r>
                    <w:rPr>
                      <w:rFonts w:ascii="仿宋_GB2312" w:hAnsi="仿宋_GB2312" w:cs="仿宋_GB2312" w:eastAsia="仿宋_GB2312"/>
                      <w:sz w:val="21"/>
                      <w:color w:val="000000"/>
                    </w:rPr>
                    <w:t>CPU主频≥2.6GHz(非超频)，单颗CPU物理核≥48核，CPU芯片须通过中国信息安全测评中心发布的安全可靠测评（须提供官网测评结果公告截图）；</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▲内存：配置≥4*32GB DDR4内存；</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▲硬盘：实配≥2块480GB SATA SSD，≥4块960GB SATA SSD；</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RAID</w:t>
                  </w:r>
                  <w:r>
                    <w:rPr>
                      <w:rFonts w:ascii="仿宋_GB2312" w:hAnsi="仿宋_GB2312" w:cs="仿宋_GB2312" w:eastAsia="仿宋_GB2312"/>
                      <w:sz w:val="21"/>
                      <w:color w:val="000000"/>
                    </w:rPr>
                    <w:t>卡：</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RAID 0/1/10/5/50/6/60，≥2GB缓存，</w:t>
                  </w:r>
                  <w:r>
                    <w:rPr>
                      <w:rFonts w:ascii="仿宋_GB2312" w:hAnsi="仿宋_GB2312" w:cs="仿宋_GB2312" w:eastAsia="仿宋_GB2312"/>
                      <w:sz w:val="21"/>
                      <w:color w:val="000000"/>
                    </w:rPr>
                    <w:t>支持超级电容和边带管理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AI芯片</w:t>
                  </w:r>
                  <w:r>
                    <w:rPr>
                      <w:rFonts w:ascii="仿宋_GB2312" w:hAnsi="仿宋_GB2312" w:cs="仿宋_GB2312" w:eastAsia="仿宋_GB2312"/>
                      <w:sz w:val="21"/>
                      <w:color w:val="000000"/>
                    </w:rPr>
                    <w:t>：单台设备配置</w:t>
                  </w:r>
                  <w:r>
                    <w:rPr>
                      <w:rFonts w:ascii="仿宋_GB2312" w:hAnsi="仿宋_GB2312" w:cs="仿宋_GB2312" w:eastAsia="仿宋_GB2312"/>
                      <w:sz w:val="21"/>
                      <w:color w:val="000000"/>
                    </w:rPr>
                    <w:t>≥1块国产自研AI处理单元，单个AI处理单元≥70TFIopS@FP16，显存≥24GB；</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网口：实配</w:t>
                  </w:r>
                  <w:r>
                    <w:rPr>
                      <w:rFonts w:ascii="仿宋_GB2312" w:hAnsi="仿宋_GB2312" w:cs="仿宋_GB2312" w:eastAsia="仿宋_GB2312"/>
                      <w:sz w:val="21"/>
                      <w:color w:val="000000"/>
                    </w:rPr>
                    <w:t>≥4个GE接口，≥4*25GE光口（含25GE光模块）；</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电源：满配</w:t>
                  </w:r>
                  <w:r>
                    <w:rPr>
                      <w:rFonts w:ascii="仿宋_GB2312" w:hAnsi="仿宋_GB2312" w:cs="仿宋_GB2312" w:eastAsia="仿宋_GB2312"/>
                      <w:sz w:val="21"/>
                      <w:color w:val="000000"/>
                    </w:rPr>
                    <w:t>≥2个热插拔2000W交流电源模块；</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★为确保大模型底层算子开发支持，提供AI处理器芯片厂商针对本项目盖章的技术支持证明材料；</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服务：配置</w:t>
                  </w:r>
                  <w:r>
                    <w:rPr>
                      <w:rFonts w:ascii="仿宋_GB2312" w:hAnsi="仿宋_GB2312" w:cs="仿宋_GB2312" w:eastAsia="仿宋_GB2312"/>
                      <w:sz w:val="21"/>
                      <w:color w:val="000000"/>
                    </w:rPr>
                    <w:t>3年原厂质保服务；</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此设备为本项目核心</w:t>
                  </w:r>
                  <w:r>
                    <w:rPr>
                      <w:rFonts w:ascii="仿宋_GB2312" w:hAnsi="仿宋_GB2312" w:cs="仿宋_GB2312" w:eastAsia="仿宋_GB2312"/>
                      <w:sz w:val="21"/>
                      <w:b/>
                      <w:color w:val="000000"/>
                    </w:rPr>
                    <w:t>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注：</w:t>
            </w:r>
            <w:r>
              <w:rPr>
                <w:rFonts w:ascii="仿宋_GB2312" w:hAnsi="仿宋_GB2312" w:cs="仿宋_GB2312" w:eastAsia="仿宋_GB2312"/>
                <w:sz w:val="28"/>
                <w:color w:val="000000"/>
              </w:rPr>
              <w:t>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15 个日历日内；安装调试期：到货之日起10个日历日内；试运行期：完成安装调试后 10个日历日。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 15 个日历日内；安装调试期：到货之日起10个日历日内；试运行期：完成安装调试后 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注：1.在项目实施过程中，因不可预见或安装需要未提及的附件，供应商应自行考虑，附件应包含在投标总报价中，后期不再追加。2. 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参加政府采购活动行为自律承诺书.docx 陕西省政府采购供应商拒绝政府采购领域商业贿赂承诺书.docx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参加政府采购活动行为自律承诺书.docx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投标产品完全符合、响应招标文件要求，没有负偏离的得43分。 加“▲”参数总分为36分，每有一条技术指标负偏离扣2分，扣完为止。 加“#”参数总分7分，每有一条技术指标负偏离扣0.1分，扣完为止。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提供本项目“核心产品”货源渠道合法的证明文件（包括但不限于销售协议、代理协议、原厂授权等），产品符合国家、行业标准及有关规定，确保产品性能稳定，无产权纠纷，得2 分。其他得0分。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为保证设备配套软件质量及教学效果，投标人需提供以下演示(须使用真实系统演示非测试和演示环境)，不接受PPT、Demo、动画或视频演示界面完整清晰且符合功能参数要求)，演示项共计6项，演示详细，完全符合采购人需求，每项计1分，满分6分；演示内容不清晰、不完整，每项计0.5分，演示效果差，无法满足采购人需求，计0分（1、多媒体插入：支持视频、音频、互动H5、图片画廊、公式、注释、扩展阅读、注释、引用、动画、3D模型、代码快、编程实践、思维导图、投票问卷、互动练习、实验实训、讨论、练习等资源嵌入，教师可直接添加到教材任意位置。 2、 3D模型：支持3D模型嵌入和沉浸式学习体验，支持对3D模型进行爆炸、高亮操作，可设置爆炸距离。支持在线编辑3D模型，可对3D模型进行光源、背景、大小、位置等参数进行设置，支持导入/导出的格式包括GLB、GLTF、OBJ、PLY、STL、USDZ。 3、互动练习：支持添加选择题、填空题、判断题、简答题、图片互动练习组件到教材任意位置。题目中支持插入音视频、图片、公式等。选择题型支持答案混淆，图片互动题支持有序和无序作答。支持批量导入导出题目。 4、图片、表格题注编号：对插入的图片和表格自动编号和更新编号，支持设置不同的编号规则（章序号、章节双重序号），减少手动设置工作量。 5、一句话生课件：支持输出一句话，作为生成要求，支持不低于10000个课件的生成，支持选择新授课、讲一道题的课件模式，支持设置生成语言、课件页数、布局模式等。支持在线生成大纲。支持在线修改大纲：支持新增页、删除页、修改页内容；支持在线选择课件模板：至少提供50套教学使用模板；支持上传PPT，抽取模板，用抽取的模板继续生课件；标准教学式课件拥有完整的教学环节，包括导入、知识讲授、课堂互动、作业布置等；讲一道题课件拥有完整的题目分析、概念讲解、应用案例等环节；支持在线编辑课件，新增页、删除页、修改页内容；支持下载课件、支持在线查看课件，支持查看历史生成记录；查看生成课件时使用的提示词。 6、AI伴学助手：学生在阅读过程中遇到疑问，可随时选中疑问的文字并点击“问AI”按钮，AI基于教材内容进行精准解答，AI给出的内容支持加入笔记，平台的“AI导学”采用启发式问答策略，引导学生完成章节学习，平台的“AI自测”能根据教材内容自动出题和判题，让学生检验自己的学习成果，支持多语言翻译，选中文本，点击“翻译”，即可实现多种语言翻译，学生可以发起问题答疑对话，在自主学习过程中产生疑问时向智能伴学老师提问，基于大模型能力的答疑能满足学生的个性化学习需求，引导学生通过思考和推理来解决问题，培养学生的批判性思维和自主学习能力，从而提高学生的学习效率和质量。）【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①供货及运输方案：每完全满足一个评审标准得1分，满分3分；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供应商针对本项目有完整的完整、详细的培训方案与计划 二、评审标准 1、完整性：内容必须全面，对评审内容中的各项要求有详细描述； 2、针对性：切合项目具体情况，明确责任及具体的培训方案； 三、赋分标准； 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供应商针对本项目有完整的售后服务方案，包括①售后服务内容；②质量保证措施； 二、评审标准 1、完整性：内容必须全面，对评审内容中的各项要求有详细描述； 2、合理性：切合项目具体情况，明确责任及具体的方案； 3、针对性：方案能够紧扣项目实际情况，内容科学合理。 三、赋分标准； ①售后服务内容：每完全满足一个评审标准得1分，满分3分；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4 分。不提供或不按要求提供，本项得0分。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投标产品完全符合、响应招标文件要求，没有负偏离的得42分。 加“▲”参数总分为36分，每有一条技术指标负偏离扣1.5分，扣完为止。 加“#”参数总分6分，每有一条技术指标负偏离扣0.15分，扣完为止。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提供本项目“核心产品”货源渠道合法的证明文件（包括但不限于销售协议、代理协议、原厂授权等），产品符合国家、行业标准及有关规定，确保产品性能稳定，无产权纠纷，得2 分。其他得0分。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为保证设备配套软件质量及教学效果，投标人需提供以下演示(须使用真实系统演示非测试和演示环境)，不接受PPT、Demo、动画或视频演示界面完整清晰且符合功能参数要求)，演示项共计6项，演示详细，完全符合采购人需求，每项计1分，满分6分；演示内容不清晰、不完整，每项计0.5分；演示效果差，无法满足采购人需求，计0分（1、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实现良好的使用体验。 2、移动端页面支持按照角色进行设置，针对不同角色可设置不同版式的页面展示效果；不同角色的页面中可添加不同的微服务应用，满足不同用户的个性化需求，提高用户的使用体验。支持自定义设置移动端首页，提供三种首页模版供其选择使用。支持自定义首页布局，提供5种以上布局样式，在布局中，支持添加管理和教学所需要的应用模块，可以通过拖拽方式嵌入基础应用如轮播图、搜索、多图列表等应用，对应用进行详细的设置，支持添加管理和教学所需要的应用模块。 3、提供任务引擎工具，支持切换标签页跳转任务设计页面，添加分组，添加任务点和设置闯关达标条件，创建任务支持拉取任务点类型包括：视频，文档（笔记），线上课堂，AI实践，作业，自测，问卷，审批，自定义等17种类型。学习页面提供不少于五种模式，学生可通过地图页面、3D小岛虚拟展厅模式进行闯关打卡学习，支持跳转至任务点详情页面进行学习。 4、作业查重：支持简答题作业查重，支持学生提交作业与设置的正确答案对比，为阅卷教师提供参考。支持班级内学生与学生之间的简答题作业答案重复率的对比。支持老师在批改简答题时通过相似度查询系统，跟海量资源库文档内容进行比对，得出查重率。支持生成查重报告并导出。 5、提供通用培养方案数据库，整合全国多所院校公开的培养方案，可通过专业名称等关键词进行查找，培养方案能够在线浏览。数据源支持选择本单位线上人才培养方案模块中的已有方案进行对比，也支持本地上传文件进行在线对比。 6、门户支持添加和设置应用基础模块，包含图标列表、图文列表、轮播图、多图列表、搜索、文本列表、图表、表格、搜索列表、文本、图片、按钮、视频、搜索条、天气、日期、插件、IP、地图等多种基础模块，用以生成网站应用模块和页面，满足绝大部分网站内容的展现形式。）【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①供货及运输方案：每完全满足一个评审标准得1分，满分3分；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供应商针对本项目有完整的完整、详细的培训方案与计划 二、评审标准 1、完整性：内容必须全面，对评审内容中的各项要求有详细描述； 2、针对性：切合项目具体情况，明确责任及具体的培训方案； 三、赋分标准； 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供应商针对本项目有完整的售后服务方案，包括①售后服务内容；②质量保证措施； 二、评审标准 1、完整性：内容必须全面，对评审内容中的各项要求有详细描述； 2、合理性：切合项目具体情况，明确责任及具体的方案； 3、针对性：方案能够紧扣项目实际情况，内容科学合理。 三、赋分标准； ①售后服务内容：每完全满足一个评审标准得1分，满分3分；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5 分。不提供或不按要求提供，本项得0分。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