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版本号：LZBA2026-73520260617001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学生第二餐厅改造项目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LZBA2026-735</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学生第二餐厅改造项目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LZBA2026-735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学生第二餐厅改造项目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院本部学生第二餐厅项目位于西安职业技术学院本部校内餐厅楼二层，建筑面积约2600平方米。主要对第二餐厅电气线路改造，对就餐区、明档区、后厨区域进行维修改造。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采购包1（学生第二餐厅改造项目）：属于专门面向中小企业采购。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响应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2、供应商资质：供应商具有建设行政主管部门颁发的建筑工程施工总承包三级及以上资质，同时具有合格有效的安全生产许可证，供应商需在项目电子化交易系统中按要求上传相应证明文件并进行电子签章。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3、拟派项目经理资格：供应商拟派项目经理具有建筑工程专业二级及以上注册建造师证书及安全生产考核合格证书，在本单位注册，且无在建项目（提供承诺函），供应商需在项目电子化交易系统中按要求上传相应证明文件并进行电子签章。</w:t>
      </w:r>
    </w:p>
    <w:p>
      <w:pPr>
        <w:pStyle w:val="null3"/>
      </w:pPr>
      <w:r>
        <w:rPr>
          <w:rFonts w:ascii="仿宋_GB2312" w:hAnsi="仿宋_GB2312" w:cs="仿宋_GB2312" w:eastAsia="仿宋_GB2312"/>
        </w:rPr>
        <w:t>4、供应商基本信息及拟派项目经理基本信息：供应商基本信息及拟派项目经理(建造师)的基本信息在“陕西省住房和城乡建设厅网站(http://js.shaanxi.gov.cn/)”可查询，供应商需在项目电子化交易系统中按要求上传相应证明文件并进行电子签章。截图不全或不清晰的以采购人或采购代理机构磋商当日现场查询为准</w:t>
      </w:r>
    </w:p>
    <w:p>
      <w:pPr>
        <w:pStyle w:val="null3"/>
      </w:pPr>
      <w:r>
        <w:rPr>
          <w:rFonts w:ascii="仿宋_GB2312" w:hAnsi="仿宋_GB2312" w:cs="仿宋_GB2312" w:eastAsia="仿宋_GB2312"/>
        </w:rPr>
        <w:t>5、信用查询：供应商不得为“信用中国”网站（www.creditchina.gov.cn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029-84582051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中央空调</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造型灯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造型灯、石膏板、瓷砖</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工程类执行。2、中标单位在领取中标通知书之前，须向代理机构支付招标代理服务费。 招标代理服务费以转账或现金形式缴纳至以下账户： 开户名称：龙寰项目管理咨询有限公司 开户银行：平安银行西安高新路支行 账 号：30201278018720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1、国家现行有关法律、法规、环保和技术指标； 2、本项目施工合同； 3、经批准的设计文件及工程变更文件； 4、有关部政府部门的规定。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2,496,233.46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学生第二餐厅改造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标的名称：学生第二餐厅改造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院本部学生第二餐厅项目</w:t>
            </w:r>
            <w:r>
              <w:rPr>
                <w:rFonts w:ascii="仿宋_GB2312" w:hAnsi="仿宋_GB2312" w:cs="仿宋_GB2312" w:eastAsia="仿宋_GB2312"/>
              </w:rPr>
              <w:t>位于西安职业技术学院</w:t>
            </w:r>
            <w:r>
              <w:rPr>
                <w:rFonts w:ascii="仿宋_GB2312" w:hAnsi="仿宋_GB2312" w:cs="仿宋_GB2312" w:eastAsia="仿宋_GB2312"/>
              </w:rPr>
              <w:t>本部</w:t>
            </w:r>
            <w:r>
              <w:rPr>
                <w:rFonts w:ascii="仿宋_GB2312" w:hAnsi="仿宋_GB2312" w:cs="仿宋_GB2312" w:eastAsia="仿宋_GB2312"/>
              </w:rPr>
              <w:t>校内</w:t>
            </w:r>
            <w:r>
              <w:rPr>
                <w:rFonts w:ascii="仿宋_GB2312" w:hAnsi="仿宋_GB2312" w:cs="仿宋_GB2312" w:eastAsia="仿宋_GB2312"/>
              </w:rPr>
              <w:t>餐厅楼二层</w:t>
            </w:r>
            <w:r>
              <w:rPr>
                <w:rFonts w:ascii="仿宋_GB2312" w:hAnsi="仿宋_GB2312" w:cs="仿宋_GB2312" w:eastAsia="仿宋_GB2312"/>
              </w:rPr>
              <w:t>，建筑面积</w:t>
            </w:r>
            <w:r>
              <w:rPr>
                <w:rFonts w:ascii="仿宋_GB2312" w:hAnsi="仿宋_GB2312" w:cs="仿宋_GB2312" w:eastAsia="仿宋_GB2312"/>
              </w:rPr>
              <w:t>约</w:t>
            </w:r>
            <w:r>
              <w:rPr>
                <w:rFonts w:ascii="仿宋_GB2312" w:hAnsi="仿宋_GB2312" w:cs="仿宋_GB2312" w:eastAsia="仿宋_GB2312"/>
              </w:rPr>
              <w:t>26</w:t>
            </w:r>
            <w:r>
              <w:rPr>
                <w:rFonts w:ascii="仿宋_GB2312" w:hAnsi="仿宋_GB2312" w:cs="仿宋_GB2312" w:eastAsia="仿宋_GB2312"/>
              </w:rPr>
              <w:t>00</w:t>
            </w:r>
            <w:r>
              <w:rPr>
                <w:rFonts w:ascii="仿宋_GB2312" w:hAnsi="仿宋_GB2312" w:cs="仿宋_GB2312" w:eastAsia="仿宋_GB2312"/>
              </w:rPr>
              <w:t>平方米。主要</w:t>
            </w:r>
            <w:r>
              <w:rPr>
                <w:rFonts w:ascii="仿宋_GB2312" w:hAnsi="仿宋_GB2312" w:cs="仿宋_GB2312" w:eastAsia="仿宋_GB2312"/>
              </w:rPr>
              <w:t>对</w:t>
            </w:r>
            <w:r>
              <w:rPr>
                <w:rFonts w:ascii="仿宋_GB2312" w:hAnsi="仿宋_GB2312" w:cs="仿宋_GB2312" w:eastAsia="仿宋_GB2312"/>
              </w:rPr>
              <w:t>第二餐厅电气线路改造，对就餐区、明档区、后厨区域进行维修改造</w:t>
            </w:r>
            <w:r>
              <w:rPr>
                <w:rFonts w:ascii="仿宋_GB2312" w:hAnsi="仿宋_GB2312" w:cs="仿宋_GB2312" w:eastAsia="仿宋_GB2312"/>
              </w:rPr>
              <w:t>。</w:t>
            </w:r>
          </w:p>
          <w:p>
            <w:pPr>
              <w:pStyle w:val="null3"/>
            </w:pPr>
            <w:r>
              <w:rPr>
                <w:rFonts w:ascii="仿宋_GB2312" w:hAnsi="仿宋_GB2312" w:cs="仿宋_GB2312" w:eastAsia="仿宋_GB2312"/>
              </w:rPr>
              <w:t>二、工程内容和施工地点、计划工期、缺陷责任期、质量保修期</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）工程内容：</w:t>
            </w:r>
          </w:p>
          <w:p>
            <w:pPr>
              <w:pStyle w:val="null3"/>
            </w:pPr>
            <w:r>
              <w:rPr>
                <w:rFonts w:ascii="仿宋_GB2312" w:hAnsi="仿宋_GB2312" w:cs="仿宋_GB2312" w:eastAsia="仿宋_GB2312"/>
              </w:rPr>
              <w:t>（</w:t>
            </w:r>
            <w:r>
              <w:rPr>
                <w:rFonts w:ascii="仿宋_GB2312" w:hAnsi="仿宋_GB2312" w:cs="仿宋_GB2312" w:eastAsia="仿宋_GB2312"/>
              </w:rPr>
              <w:t>1）第二餐厅电气线路改造（包含二楼电井至学校中心配电室的主电缆更换），售饭台刷卡机、监控及影像设备的拆除、恢复及调试，新增广播系统；</w:t>
            </w:r>
          </w:p>
          <w:p>
            <w:pPr>
              <w:pStyle w:val="null3"/>
            </w:pPr>
            <w:r>
              <w:rPr>
                <w:rFonts w:ascii="仿宋_GB2312" w:hAnsi="仿宋_GB2312" w:cs="仿宋_GB2312" w:eastAsia="仿宋_GB2312"/>
              </w:rPr>
              <w:t>（</w:t>
            </w:r>
            <w:r>
              <w:rPr>
                <w:rFonts w:ascii="仿宋_GB2312" w:hAnsi="仿宋_GB2312" w:cs="仿宋_GB2312" w:eastAsia="仿宋_GB2312"/>
              </w:rPr>
              <w:t>2）就餐区吊顶拆除、顶棚喷刷灰色乳胶漆，布置造型灯装饰，餐厅区域现有门窗更换为断桥铝门窗（含北侧走廊、东侧和北侧楼梯间），加装中央空调，增设卡座就餐区（沙发卡座与固定餐桌）及木制格栅，烟感拆除、恢复及联动调试，增加挡烟垂壁；</w:t>
            </w:r>
          </w:p>
          <w:p>
            <w:pPr>
              <w:pStyle w:val="null3"/>
            </w:pPr>
            <w:r>
              <w:rPr>
                <w:rFonts w:ascii="仿宋_GB2312" w:hAnsi="仿宋_GB2312" w:cs="仿宋_GB2312" w:eastAsia="仿宋_GB2312"/>
              </w:rPr>
              <w:t>（</w:t>
            </w:r>
            <w:r>
              <w:rPr>
                <w:rFonts w:ascii="仿宋_GB2312" w:hAnsi="仿宋_GB2312" w:cs="仿宋_GB2312" w:eastAsia="仿宋_GB2312"/>
              </w:rPr>
              <w:t>3）明档区域墙砖及吊顶更换，改造售卖档口、水吧台、餐盘回收台及服务台，新增免费汤区，排烟风阀及执行机构维修、调试；</w:t>
            </w:r>
          </w:p>
          <w:p>
            <w:pPr>
              <w:pStyle w:val="null3"/>
            </w:pPr>
            <w:r>
              <w:rPr>
                <w:rFonts w:ascii="仿宋_GB2312" w:hAnsi="仿宋_GB2312" w:cs="仿宋_GB2312" w:eastAsia="仿宋_GB2312"/>
              </w:rPr>
              <w:t>（</w:t>
            </w:r>
            <w:r>
              <w:rPr>
                <w:rFonts w:ascii="仿宋_GB2312" w:hAnsi="仿宋_GB2312" w:cs="仿宋_GB2312" w:eastAsia="仿宋_GB2312"/>
              </w:rPr>
              <w:t>4）后厨更换烟道和吊顶，增加厨自灭系统，排水沟盖板更换、增设不锈钢内衬水槽，电梯临时围挡拆除及新增二层出入口，更换不锈钢定制门，后厨走廊新增铝方通吊顶、墙裙处拆除旧瓷砖更换为不锈钢材质、墙裙以上粉刷，更衣室墙地面装修，办公室墙顶面装修；</w:t>
            </w:r>
          </w:p>
          <w:p>
            <w:pPr>
              <w:pStyle w:val="null3"/>
            </w:pPr>
            <w:r>
              <w:rPr>
                <w:rFonts w:ascii="仿宋_GB2312" w:hAnsi="仿宋_GB2312" w:cs="仿宋_GB2312" w:eastAsia="仿宋_GB2312"/>
              </w:rPr>
              <w:t>（</w:t>
            </w:r>
            <w:r>
              <w:rPr>
                <w:rFonts w:ascii="仿宋_GB2312" w:hAnsi="仿宋_GB2312" w:cs="仿宋_GB2312" w:eastAsia="仿宋_GB2312"/>
              </w:rPr>
              <w:t>5）学生一、三餐厅后厨增加厨自灭系统；学生一餐厅增设挡烟垂壁（含现有吊顶的拆除及恢复）；</w:t>
            </w:r>
          </w:p>
          <w:p>
            <w:pPr>
              <w:pStyle w:val="null3"/>
            </w:pPr>
            <w:r>
              <w:rPr>
                <w:rFonts w:ascii="仿宋_GB2312" w:hAnsi="仿宋_GB2312" w:cs="仿宋_GB2312" w:eastAsia="仿宋_GB2312"/>
              </w:rPr>
              <w:t>（</w:t>
            </w:r>
            <w:r>
              <w:rPr>
                <w:rFonts w:ascii="仿宋_GB2312" w:hAnsi="仿宋_GB2312" w:cs="仿宋_GB2312" w:eastAsia="仿宋_GB2312"/>
              </w:rPr>
              <w:t>6）成品保护及现有家具挪移、恢复。</w:t>
            </w:r>
          </w:p>
          <w:p>
            <w:pPr>
              <w:pStyle w:val="null3"/>
              <w:spacing w:before="75" w:after="120"/>
              <w:jc w:val="both"/>
            </w:pPr>
            <w:r>
              <w:rPr>
                <w:rFonts w:ascii="仿宋_GB2312" w:hAnsi="仿宋_GB2312" w:cs="仿宋_GB2312" w:eastAsia="仿宋_GB2312"/>
                <w:sz w:val="21"/>
              </w:rPr>
              <w:t>（</w:t>
            </w:r>
            <w:r>
              <w:rPr>
                <w:rFonts w:ascii="仿宋_GB2312" w:hAnsi="仿宋_GB2312" w:cs="仿宋_GB2312" w:eastAsia="仿宋_GB2312"/>
                <w:sz w:val="21"/>
              </w:rPr>
              <w:t>7）附表(图纸以外现场统计工程量):</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694"/>
              <w:gridCol w:w="953"/>
              <w:gridCol w:w="301"/>
              <w:gridCol w:w="301"/>
            </w:tblGrid>
            <w:tr>
              <w:tc>
                <w:tcPr>
                  <w:tcW w:type="dxa" w:w="3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9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项目特征描述</w:t>
                  </w:r>
                </w:p>
              </w:tc>
              <w:tc>
                <w:tcPr>
                  <w:tcW w:type="dxa" w:w="3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c>
                <w:tcPr>
                  <w:tcW w:type="dxa" w:w="3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工程数量</w:t>
                  </w:r>
                </w:p>
              </w:tc>
            </w:tr>
            <w:tr>
              <w:tc>
                <w:tcPr>
                  <w:tcW w:type="dxa" w:w="303"/>
                  <w:vMerge/>
                  <w:tcBorders>
                    <w:top w:val="single" w:color="000000" w:sz="4"/>
                    <w:left w:val="single" w:color="000000" w:sz="4"/>
                    <w:bottom w:val="single" w:color="000000" w:sz="4"/>
                    <w:right w:val="single" w:color="000000" w:sz="4"/>
                  </w:tcBorders>
                </w:tcPr>
                <w:p/>
              </w:tc>
              <w:tc>
                <w:tcPr>
                  <w:tcW w:type="dxa" w:w="694"/>
                  <w:vMerge/>
                  <w:tcBorders>
                    <w:top w:val="single" w:color="000000" w:sz="4"/>
                    <w:left w:val="none" w:color="000000" w:sz="4"/>
                    <w:bottom w:val="single" w:color="000000" w:sz="4"/>
                    <w:right w:val="single" w:color="000000" w:sz="4"/>
                  </w:tcBorders>
                </w:tcPr>
                <w:p/>
              </w:tc>
              <w:tc>
                <w:tcPr>
                  <w:tcW w:type="dxa" w:w="953"/>
                  <w:vMerge/>
                  <w:tcBorders>
                    <w:top w:val="single" w:color="000000" w:sz="4"/>
                    <w:left w:val="none" w:color="000000" w:sz="4"/>
                    <w:bottom w:val="single" w:color="000000" w:sz="4"/>
                    <w:right w:val="single" w:color="000000" w:sz="4"/>
                  </w:tcBorders>
                </w:tcPr>
                <w:p/>
              </w:tc>
              <w:tc>
                <w:tcPr>
                  <w:tcW w:type="dxa" w:w="301"/>
                  <w:vMerge/>
                  <w:tcBorders>
                    <w:top w:val="single" w:color="000000" w:sz="4"/>
                    <w:left w:val="none" w:color="000000" w:sz="4"/>
                    <w:bottom w:val="single" w:color="000000" w:sz="4"/>
                    <w:right w:val="single" w:color="000000" w:sz="4"/>
                  </w:tcBorders>
                </w:tcPr>
                <w:p/>
              </w:tc>
              <w:tc>
                <w:tcPr>
                  <w:tcW w:type="dxa" w:w="301"/>
                  <w:vMerge/>
                  <w:tcBorders>
                    <w:top w:val="single" w:color="000000" w:sz="4"/>
                    <w:left w:val="none" w:color="000000" w:sz="4"/>
                    <w:bottom w:val="single" w:color="000000" w:sz="4"/>
                    <w:right w:val="single" w:color="000000" w:sz="4"/>
                  </w:tcBorders>
                </w:tcP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土建部分</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拆除不锈钢台盆及附属</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餐厅门口旧不锈钢台盆及水管</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拆除原有楼梯道窗户</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原有</w:t>
                  </w:r>
                  <w:r>
                    <w:rPr>
                      <w:rFonts w:ascii="仿宋_GB2312" w:hAnsi="仿宋_GB2312" w:cs="仿宋_GB2312" w:eastAsia="仿宋_GB2312"/>
                      <w:sz w:val="21"/>
                    </w:rPr>
                    <w:t>1.2.3.4层东、北侧楼梯道窗户拆除楼梯道窗户拆除</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樘</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新装断桥铝金属窗（楼梯道窗户）</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85系1.8mm厚断桥铝6+9+6钢化中空玻璃窗</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42.94</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厨房油网烟罩不锈钢挡板</w:t>
                  </w:r>
                  <w:r>
                    <w:rPr>
                      <w:rFonts w:ascii="仿宋_GB2312" w:hAnsi="仿宋_GB2312" w:cs="仿宋_GB2312" w:eastAsia="仿宋_GB2312"/>
                      <w:sz w:val="21"/>
                    </w:rPr>
                    <w:t></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304材质 厨房油网烟罩1mm厚不锈钢挡板</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84.4</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就餐区域柱面做饰面板</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柱饰面层修补后，采用</w:t>
                  </w:r>
                  <w:r>
                    <w:rPr>
                      <w:rFonts w:ascii="仿宋_GB2312" w:hAnsi="仿宋_GB2312" w:cs="仿宋_GB2312" w:eastAsia="仿宋_GB2312"/>
                      <w:sz w:val="21"/>
                    </w:rPr>
                    <w:t>10mm厚竹炭纤维板(原木色）包柱到梁底</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安装部分</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电动调节阀执行机构</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2号餐厅旧电动调节阀需维修</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1餐厅挡烟垂壁</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安装防火玻璃</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1、3号餐厅气体灭火装置</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单瓶组</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03"/>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双瓶组</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15"/>
                    <w:jc w:val="both"/>
                  </w:pPr>
                  <w:r>
                    <w:rPr>
                      <w:rFonts w:ascii="仿宋_GB2312" w:hAnsi="仿宋_GB2312" w:cs="仿宋_GB2312" w:eastAsia="仿宋_GB2312"/>
                      <w:sz w:val="21"/>
                    </w:rPr>
                    <w:t>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left="195"/>
                  </w:pPr>
                  <w:r>
                    <w:rPr>
                      <w:rFonts w:ascii="仿宋_GB2312" w:hAnsi="仿宋_GB2312" w:cs="仿宋_GB2312" w:eastAsia="仿宋_GB2312"/>
                      <w:sz w:val="20"/>
                    </w:rPr>
                    <w:t>3餐厅智能电表更换</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left="990"/>
                  </w:pPr>
                  <w:r>
                    <w:rPr>
                      <w:rFonts w:ascii="仿宋_GB2312" w:hAnsi="仿宋_GB2312" w:cs="仿宋_GB2312" w:eastAsia="仿宋_GB2312"/>
                      <w:sz w:val="20"/>
                    </w:rPr>
                    <w:t>参照二餐厅</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firstLine="200"/>
                  </w:pPr>
                  <w:r>
                    <w:rPr>
                      <w:rFonts w:ascii="仿宋_GB2312" w:hAnsi="仿宋_GB2312" w:cs="仿宋_GB2312" w:eastAsia="仿宋_GB2312"/>
                      <w:sz w:val="20"/>
                    </w:rPr>
                    <w:t>个</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pPr>
                  <w:r>
                    <w:rPr>
                      <w:rFonts w:ascii="仿宋_GB2312" w:hAnsi="仿宋_GB2312" w:cs="仿宋_GB2312" w:eastAsia="仿宋_GB2312"/>
                      <w:sz w:val="20"/>
                    </w:rPr>
                    <w:t xml:space="preserve">   </w:t>
                  </w:r>
                  <w:r>
                    <w:rPr>
                      <w:rFonts w:ascii="仿宋_GB2312" w:hAnsi="仿宋_GB2312" w:cs="仿宋_GB2312" w:eastAsia="仿宋_GB2312"/>
                      <w:sz w:val="20"/>
                    </w:rPr>
                    <w:t>6</w:t>
                  </w:r>
                </w:p>
              </w:tc>
            </w:tr>
          </w:tbl>
          <w:p>
            <w:pPr>
              <w:pStyle w:val="null3"/>
            </w:pPr>
            <w:r>
              <w:rPr>
                <w:rFonts w:ascii="仿宋_GB2312" w:hAnsi="仿宋_GB2312" w:cs="仿宋_GB2312" w:eastAsia="仿宋_GB2312"/>
              </w:rPr>
              <w:t>（</w:t>
            </w:r>
            <w:r>
              <w:rPr>
                <w:rFonts w:ascii="仿宋_GB2312" w:hAnsi="仿宋_GB2312" w:cs="仿宋_GB2312" w:eastAsia="仿宋_GB2312"/>
              </w:rPr>
              <w:t>8）材料价格</w:t>
            </w:r>
          </w:p>
          <w:p>
            <w:pPr>
              <w:pStyle w:val="null3"/>
            </w:pPr>
            <w:r>
              <w:rPr>
                <w:rFonts w:ascii="仿宋_GB2312" w:hAnsi="仿宋_GB2312" w:cs="仿宋_GB2312" w:eastAsia="仿宋_GB2312"/>
              </w:rPr>
              <w:t>1、材料价格执行《陕西省工程造价信息》2026年第6期及市场调研价。</w:t>
            </w:r>
          </w:p>
          <w:p>
            <w:pPr>
              <w:pStyle w:val="null3"/>
            </w:pPr>
            <w:r>
              <w:rPr>
                <w:rFonts w:ascii="仿宋_GB2312" w:hAnsi="仿宋_GB2312" w:cs="仿宋_GB2312" w:eastAsia="仿宋_GB2312"/>
              </w:rPr>
              <w:t>（</w:t>
            </w:r>
            <w:r>
              <w:rPr>
                <w:rFonts w:ascii="仿宋_GB2312" w:hAnsi="仿宋_GB2312" w:cs="仿宋_GB2312" w:eastAsia="仿宋_GB2312"/>
              </w:rPr>
              <w:t>9）费用计取</w:t>
            </w:r>
          </w:p>
          <w:p>
            <w:pPr>
              <w:pStyle w:val="null3"/>
            </w:pPr>
            <w:r>
              <w:rPr>
                <w:rFonts w:ascii="仿宋_GB2312" w:hAnsi="仿宋_GB2312" w:cs="仿宋_GB2312" w:eastAsia="仿宋_GB2312"/>
              </w:rPr>
              <w:t>1、暂列金120000元计入其他项目费中，投标人投标报价时不得随意调整；</w:t>
            </w:r>
          </w:p>
          <w:p>
            <w:pPr>
              <w:pStyle w:val="null3"/>
            </w:pPr>
            <w:r>
              <w:rPr>
                <w:rFonts w:ascii="仿宋_GB2312" w:hAnsi="仿宋_GB2312" w:cs="仿宋_GB2312" w:eastAsia="仿宋_GB2312"/>
              </w:rPr>
              <w:t>2、本工程专业工程暂估价:①、电梯开口工程32000元;②、校园一卡通、无线网络设施、运营商室分的拆除、重新布线、安装及调试工程18000元;③、监控设施的拆除、重新布线(含桥架)、安装及调试工程14000元。</w:t>
            </w:r>
          </w:p>
          <w:p>
            <w:pPr>
              <w:pStyle w:val="null3"/>
            </w:pPr>
            <w:r>
              <w:rPr>
                <w:rFonts w:ascii="仿宋_GB2312" w:hAnsi="仿宋_GB2312" w:cs="仿宋_GB2312" w:eastAsia="仿宋_GB2312"/>
              </w:rPr>
              <w:t>3、本次项目电缆工程量计算已考虑电缆头检修余量，一个头按1.5m计入。二楼电井至负一楼中心配电室主电缆计算长度包括：（中心配电室低压出线柜+电缆头）预留+中心配电室低压出线柜到负一层低压配电间平面距离+负一机低压配电间到二层配电间低压柜+（低压柜+电缆头）预留。</w:t>
            </w:r>
          </w:p>
          <w:p>
            <w:pPr>
              <w:pStyle w:val="null3"/>
            </w:pPr>
            <w:r>
              <w:rPr>
                <w:rFonts w:ascii="仿宋_GB2312" w:hAnsi="仿宋_GB2312" w:cs="仿宋_GB2312" w:eastAsia="仿宋_GB2312"/>
              </w:rPr>
              <w:t>（</w:t>
            </w:r>
            <w:r>
              <w:rPr>
                <w:rFonts w:ascii="仿宋_GB2312" w:hAnsi="仿宋_GB2312" w:cs="仿宋_GB2312" w:eastAsia="仿宋_GB2312"/>
              </w:rPr>
              <w:t>10）其他说明</w:t>
            </w:r>
          </w:p>
          <w:p>
            <w:pPr>
              <w:pStyle w:val="null3"/>
            </w:pPr>
            <w:r>
              <w:rPr>
                <w:rFonts w:ascii="仿宋_GB2312" w:hAnsi="仿宋_GB2312" w:cs="仿宋_GB2312" w:eastAsia="仿宋_GB2312"/>
              </w:rPr>
              <w:t>广联达计价版本号为</w:t>
            </w:r>
            <w:r>
              <w:rPr>
                <w:rFonts w:ascii="仿宋_GB2312" w:hAnsi="仿宋_GB2312" w:cs="仿宋_GB2312" w:eastAsia="仿宋_GB2312"/>
              </w:rPr>
              <w:t>GCCP 7.5000.23.3</w:t>
            </w:r>
          </w:p>
          <w:p>
            <w:pPr>
              <w:pStyle w:val="null3"/>
            </w:pPr>
            <w:r>
              <w:rPr>
                <w:rFonts w:ascii="仿宋_GB2312" w:hAnsi="仿宋_GB2312" w:cs="仿宋_GB2312" w:eastAsia="仿宋_GB2312"/>
              </w:rPr>
              <w:t>（</w:t>
            </w:r>
            <w:r>
              <w:rPr>
                <w:rFonts w:ascii="仿宋_GB2312" w:hAnsi="仿宋_GB2312" w:cs="仿宋_GB2312" w:eastAsia="仿宋_GB2312"/>
              </w:rPr>
              <w:t>11）承包方式：固定总价。本工程实行包工包料承包方式，包括但不限于包工包料、包机械设备、包质量、包安全、包工期、包文明施工、包施工措施、包赶工、包报审、包协调、包竣工验收、包保险、包保修、包自负盈亏、包检验试验、包成品保护、包竣工清理及消纳、包室内空气质量检测等。</w:t>
            </w:r>
          </w:p>
          <w:p>
            <w:pPr>
              <w:pStyle w:val="null3"/>
              <w:ind w:firstLine="600"/>
            </w:pPr>
            <w:r>
              <w:rPr>
                <w:rFonts w:ascii="仿宋_GB2312" w:hAnsi="仿宋_GB2312" w:cs="仿宋_GB2312" w:eastAsia="仿宋_GB2312"/>
              </w:rPr>
              <w:t>合同价是承包人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）计划工期：</w:t>
            </w:r>
            <w:r>
              <w:rPr>
                <w:rFonts w:ascii="仿宋_GB2312" w:hAnsi="仿宋_GB2312" w:cs="仿宋_GB2312" w:eastAsia="仿宋_GB2312"/>
              </w:rPr>
              <w:t>30日</w:t>
            </w:r>
            <w:r>
              <w:rPr>
                <w:rFonts w:ascii="仿宋_GB2312" w:hAnsi="仿宋_GB2312" w:cs="仿宋_GB2312" w:eastAsia="仿宋_GB2312"/>
              </w:rPr>
              <w:t>。</w:t>
            </w:r>
          </w:p>
          <w:p>
            <w:pPr>
              <w:pStyle w:val="null3"/>
            </w:pPr>
            <w:r>
              <w:rPr>
                <w:rFonts w:ascii="仿宋_GB2312" w:hAnsi="仿宋_GB2312" w:cs="仿宋_GB2312" w:eastAsia="仿宋_GB2312"/>
              </w:rPr>
              <w:t>（三）缺陷责任期：自竣工验收合格之日起满</w:t>
            </w:r>
            <w:r>
              <w:rPr>
                <w:rFonts w:ascii="仿宋_GB2312" w:hAnsi="仿宋_GB2312" w:cs="仿宋_GB2312" w:eastAsia="仿宋_GB2312"/>
              </w:rPr>
              <w:t>2年</w:t>
            </w:r>
            <w:r>
              <w:rPr>
                <w:rFonts w:ascii="仿宋_GB2312" w:hAnsi="仿宋_GB2312" w:cs="仿宋_GB2312" w:eastAsia="仿宋_GB2312"/>
              </w:rPr>
              <w:t>。</w:t>
            </w:r>
          </w:p>
          <w:p>
            <w:pPr>
              <w:pStyle w:val="null3"/>
            </w:pPr>
            <w:r>
              <w:rPr>
                <w:rFonts w:ascii="仿宋_GB2312" w:hAnsi="仿宋_GB2312" w:cs="仿宋_GB2312" w:eastAsia="仿宋_GB2312"/>
              </w:rPr>
              <w:t>质量保修期：</w:t>
            </w:r>
            <w:r>
              <w:rPr>
                <w:rFonts w:ascii="仿宋_GB2312" w:hAnsi="仿宋_GB2312" w:cs="仿宋_GB2312" w:eastAsia="仿宋_GB2312"/>
              </w:rPr>
              <w:t>自竣工验收合格之日起满</w:t>
            </w:r>
            <w:r>
              <w:rPr>
                <w:rFonts w:ascii="仿宋_GB2312" w:hAnsi="仿宋_GB2312" w:cs="仿宋_GB2312" w:eastAsia="仿宋_GB2312"/>
              </w:rPr>
              <w:t>2年。</w:t>
            </w:r>
          </w:p>
          <w:p>
            <w:pPr>
              <w:pStyle w:val="null3"/>
            </w:pPr>
            <w:r>
              <w:rPr>
                <w:rFonts w:ascii="仿宋_GB2312" w:hAnsi="仿宋_GB2312" w:cs="仿宋_GB2312" w:eastAsia="仿宋_GB2312"/>
              </w:rPr>
              <w:t>三、工程量清单和计价依据</w:t>
            </w:r>
          </w:p>
          <w:p>
            <w:pPr>
              <w:pStyle w:val="null3"/>
            </w:pPr>
            <w:r>
              <w:rPr>
                <w:rFonts w:ascii="仿宋_GB2312" w:hAnsi="仿宋_GB2312" w:cs="仿宋_GB2312" w:eastAsia="仿宋_GB2312"/>
              </w:rPr>
              <w:t>（一）工程量清单</w:t>
            </w:r>
            <w:r>
              <w:rPr>
                <w:rFonts w:ascii="仿宋_GB2312" w:hAnsi="仿宋_GB2312" w:cs="仿宋_GB2312" w:eastAsia="仿宋_GB2312"/>
              </w:rPr>
              <w:t>:见工程量清单。</w:t>
            </w:r>
          </w:p>
          <w:p>
            <w:pPr>
              <w:pStyle w:val="null3"/>
            </w:pPr>
            <w:r>
              <w:rPr>
                <w:rFonts w:ascii="仿宋_GB2312" w:hAnsi="仿宋_GB2312" w:cs="仿宋_GB2312" w:eastAsia="仿宋_GB2312"/>
              </w:rPr>
              <w:t>（二）计价依据：</w:t>
            </w:r>
          </w:p>
          <w:p>
            <w:pPr>
              <w:pStyle w:val="null3"/>
            </w:pPr>
            <w:r>
              <w:rPr>
                <w:rFonts w:ascii="仿宋_GB2312" w:hAnsi="仿宋_GB2312" w:cs="仿宋_GB2312" w:eastAsia="仿宋_GB2312"/>
              </w:rPr>
              <w:t>1、(1)《陕西省建设工程工程量清单计价计算标准》(2025)</w:t>
            </w:r>
          </w:p>
          <w:p>
            <w:pPr>
              <w:pStyle w:val="null3"/>
            </w:pPr>
            <w:r>
              <w:rPr>
                <w:rFonts w:ascii="仿宋_GB2312" w:hAnsi="仿宋_GB2312" w:cs="仿宋_GB2312" w:eastAsia="仿宋_GB2312"/>
              </w:rPr>
              <w:t>(2)《陕西省建设工程费用规则》(2025)</w:t>
            </w:r>
          </w:p>
          <w:p>
            <w:pPr>
              <w:pStyle w:val="null3"/>
            </w:pPr>
            <w:r>
              <w:rPr>
                <w:rFonts w:ascii="仿宋_GB2312" w:hAnsi="仿宋_GB2312" w:cs="仿宋_GB2312" w:eastAsia="仿宋_GB2312"/>
              </w:rPr>
              <w:t>(3)《陕西省房屋建筑与装饰工程基价表》(2025)</w:t>
            </w:r>
          </w:p>
          <w:p>
            <w:pPr>
              <w:pStyle w:val="null3"/>
            </w:pPr>
            <w:r>
              <w:rPr>
                <w:rFonts w:ascii="仿宋_GB2312" w:hAnsi="仿宋_GB2312" w:cs="仿宋_GB2312" w:eastAsia="仿宋_GB2312"/>
              </w:rPr>
              <w:t>(4)《陕西省通用安装工程基价表》(2025)</w:t>
            </w:r>
          </w:p>
          <w:p>
            <w:pPr>
              <w:pStyle w:val="null3"/>
            </w:pPr>
            <w:r>
              <w:rPr>
                <w:rFonts w:ascii="仿宋_GB2312" w:hAnsi="仿宋_GB2312" w:cs="仿宋_GB2312" w:eastAsia="仿宋_GB2312"/>
              </w:rPr>
              <w:t>(5)《陕西省市政工程基价表》(2025)</w:t>
            </w:r>
          </w:p>
          <w:p>
            <w:pPr>
              <w:pStyle w:val="null3"/>
            </w:pPr>
            <w:r>
              <w:rPr>
                <w:rFonts w:ascii="仿宋_GB2312" w:hAnsi="仿宋_GB2312" w:cs="仿宋_GB2312" w:eastAsia="仿宋_GB2312"/>
              </w:rPr>
              <w:t>(6)《陕西省园林绿化工程基价表》(2025)</w:t>
            </w:r>
          </w:p>
          <w:p>
            <w:pPr>
              <w:pStyle w:val="null3"/>
            </w:pPr>
            <w:r>
              <w:rPr>
                <w:rFonts w:ascii="仿宋_GB2312" w:hAnsi="仿宋_GB2312" w:cs="仿宋_GB2312" w:eastAsia="仿宋_GB2312"/>
              </w:rPr>
              <w:t>(7)《陕西省城市地下综合管廊工程基价表》(2025)</w:t>
            </w:r>
          </w:p>
          <w:p>
            <w:pPr>
              <w:pStyle w:val="null3"/>
            </w:pPr>
            <w:r>
              <w:rPr>
                <w:rFonts w:ascii="仿宋_GB2312" w:hAnsi="仿宋_GB2312" w:cs="仿宋_GB2312" w:eastAsia="仿宋_GB2312"/>
              </w:rPr>
              <w:t>(8)《陕西省绿色建筑工程基价表》(2025)</w:t>
            </w:r>
          </w:p>
          <w:p>
            <w:pPr>
              <w:pStyle w:val="null3"/>
            </w:pPr>
            <w:r>
              <w:rPr>
                <w:rFonts w:ascii="仿宋_GB2312" w:hAnsi="仿宋_GB2312" w:cs="仿宋_GB2312" w:eastAsia="仿宋_GB2312"/>
              </w:rPr>
              <w:t>(9)《陕西省房屋建筑与装饰工程消耗量定额》(2025)</w:t>
            </w:r>
          </w:p>
          <w:p>
            <w:pPr>
              <w:pStyle w:val="null3"/>
            </w:pPr>
            <w:r>
              <w:rPr>
                <w:rFonts w:ascii="仿宋_GB2312" w:hAnsi="仿宋_GB2312" w:cs="仿宋_GB2312" w:eastAsia="仿宋_GB2312"/>
              </w:rPr>
              <w:t>(10)《陕西省通用安装工程消耗量定额》(2025)</w:t>
            </w:r>
          </w:p>
          <w:p>
            <w:pPr>
              <w:pStyle w:val="null3"/>
            </w:pPr>
            <w:r>
              <w:rPr>
                <w:rFonts w:ascii="仿宋_GB2312" w:hAnsi="仿宋_GB2312" w:cs="仿宋_GB2312" w:eastAsia="仿宋_GB2312"/>
              </w:rPr>
              <w:t>(11)《陕西省市政工程消耗量定额》(2025)</w:t>
            </w:r>
          </w:p>
          <w:p>
            <w:pPr>
              <w:pStyle w:val="null3"/>
            </w:pPr>
            <w:r>
              <w:rPr>
                <w:rFonts w:ascii="仿宋_GB2312" w:hAnsi="仿宋_GB2312" w:cs="仿宋_GB2312" w:eastAsia="仿宋_GB2312"/>
              </w:rPr>
              <w:t>(12)《陕西省园林绿化工程消耗量定额》(2025)</w:t>
            </w:r>
          </w:p>
          <w:p>
            <w:pPr>
              <w:pStyle w:val="null3"/>
            </w:pPr>
            <w:r>
              <w:rPr>
                <w:rFonts w:ascii="仿宋_GB2312" w:hAnsi="仿宋_GB2312" w:cs="仿宋_GB2312" w:eastAsia="仿宋_GB2312"/>
              </w:rPr>
              <w:t>(13)《陕西省城市地下综合管廊工程消耗量定额》(2025)</w:t>
            </w:r>
          </w:p>
          <w:p>
            <w:pPr>
              <w:pStyle w:val="null3"/>
            </w:pPr>
            <w:r>
              <w:rPr>
                <w:rFonts w:ascii="仿宋_GB2312" w:hAnsi="仿宋_GB2312" w:cs="仿宋_GB2312" w:eastAsia="仿宋_GB2312"/>
              </w:rPr>
              <w:t>(14)《陕西省绿色建筑工程消耗量定额》(2025)</w:t>
            </w:r>
          </w:p>
          <w:p>
            <w:pPr>
              <w:pStyle w:val="null3"/>
            </w:pPr>
            <w:r>
              <w:rPr>
                <w:rFonts w:ascii="仿宋_GB2312" w:hAnsi="仿宋_GB2312" w:cs="仿宋_GB2312" w:eastAsia="仿宋_GB2312"/>
              </w:rPr>
              <w:t>(15)《陕西省建设工程施工机械台班费用定额》(2025)</w:t>
            </w:r>
          </w:p>
          <w:p>
            <w:pPr>
              <w:pStyle w:val="null3"/>
            </w:pPr>
            <w:r>
              <w:rPr>
                <w:rFonts w:ascii="仿宋_GB2312" w:hAnsi="仿宋_GB2312" w:cs="仿宋_GB2312" w:eastAsia="仿宋_GB2312"/>
              </w:rPr>
              <w:t>(16)《陕西省建设工程施工仪器仪表台班费用定额》(2025)</w:t>
            </w:r>
          </w:p>
          <w:p>
            <w:pPr>
              <w:pStyle w:val="null3"/>
            </w:pPr>
            <w:r>
              <w:rPr>
                <w:rFonts w:ascii="仿宋_GB2312" w:hAnsi="仿宋_GB2312" w:cs="仿宋_GB2312" w:eastAsia="仿宋_GB2312"/>
              </w:rPr>
              <w:t>(17)《陕西省住房和城乡建设厅关于印发2025陕西省建设工程费用规则等计价依据的通知》(陕建管发[2025]10 号文件)；</w:t>
            </w:r>
          </w:p>
          <w:p>
            <w:pPr>
              <w:pStyle w:val="null3"/>
            </w:pPr>
            <w:r>
              <w:rPr>
                <w:rFonts w:ascii="仿宋_GB2312" w:hAnsi="仿宋_GB2312" w:cs="仿宋_GB2312" w:eastAsia="仿宋_GB2312"/>
              </w:rPr>
              <w:t>2、施工现场情况及常规的施工组织方案和工程验收规范；</w:t>
            </w:r>
          </w:p>
          <w:p>
            <w:pPr>
              <w:pStyle w:val="null3"/>
            </w:pPr>
            <w:r>
              <w:rPr>
                <w:rFonts w:ascii="仿宋_GB2312" w:hAnsi="仿宋_GB2312" w:cs="仿宋_GB2312" w:eastAsia="仿宋_GB2312"/>
              </w:rPr>
              <w:t>3、施工图及图纸答疑等资料。</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（一）遵守国家相关法律、法规，遵守国家相关技术规范</w:t>
            </w:r>
            <w:r>
              <w:rPr>
                <w:rFonts w:ascii="仿宋_GB2312" w:hAnsi="仿宋_GB2312" w:cs="仿宋_GB2312" w:eastAsia="仿宋_GB2312"/>
              </w:rPr>
              <w:t>；</w:t>
            </w:r>
          </w:p>
          <w:p>
            <w:pPr>
              <w:pStyle w:val="null3"/>
            </w:pPr>
            <w:r>
              <w:rPr>
                <w:rFonts w:ascii="仿宋_GB2312" w:hAnsi="仿宋_GB2312" w:cs="仿宋_GB2312" w:eastAsia="仿宋_GB2312"/>
              </w:rPr>
              <w:t>（二）</w:t>
            </w:r>
            <w:r>
              <w:rPr>
                <w:rFonts w:ascii="仿宋_GB2312" w:hAnsi="仿宋_GB2312" w:cs="仿宋_GB2312" w:eastAsia="仿宋_GB2312"/>
              </w:rPr>
              <w:t>所选材料必须保证质量可靠、进货渠道正常，符合国家环保等相关标准，满足施工要求；</w:t>
            </w:r>
          </w:p>
          <w:p>
            <w:pPr>
              <w:pStyle w:val="null3"/>
            </w:pPr>
            <w:r>
              <w:rPr>
                <w:rFonts w:ascii="仿宋_GB2312" w:hAnsi="仿宋_GB2312" w:cs="仿宋_GB2312" w:eastAsia="仿宋_GB2312"/>
              </w:rPr>
              <w:t>（三）</w:t>
            </w:r>
            <w:r>
              <w:rPr>
                <w:rFonts w:ascii="仿宋_GB2312" w:hAnsi="仿宋_GB2312" w:cs="仿宋_GB2312" w:eastAsia="仿宋_GB2312"/>
              </w:rPr>
              <w:t>工程质量符合国家有关规范，确保达到合格；</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）该工程项目质量保修期按有关文件规定执行；</w:t>
            </w:r>
          </w:p>
          <w:p>
            <w:pPr>
              <w:pStyle w:val="null3"/>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w:t>
            </w:r>
            <w:r>
              <w:rPr>
                <w:rFonts w:ascii="仿宋_GB2312" w:hAnsi="仿宋_GB2312" w:cs="仿宋_GB2312" w:eastAsia="仿宋_GB2312"/>
              </w:rPr>
              <w:t>遵守有关施工规范和安全操作规程，采取有效的安全保障措施，确保施工安全，包括悬挂警示标牌、装设围栏、配备安全人员等，并承担事故的全部费用和责任</w:t>
            </w:r>
            <w:r>
              <w:rPr>
                <w:rFonts w:ascii="仿宋_GB2312" w:hAnsi="仿宋_GB2312" w:cs="仿宋_GB2312" w:eastAsia="仿宋_GB2312"/>
              </w:rPr>
              <w:t>；</w:t>
            </w:r>
          </w:p>
          <w:p>
            <w:pPr>
              <w:pStyle w:val="null3"/>
            </w:pPr>
            <w:r>
              <w:rPr>
                <w:rFonts w:ascii="仿宋_GB2312" w:hAnsi="仿宋_GB2312" w:cs="仿宋_GB2312" w:eastAsia="仿宋_GB2312"/>
              </w:rPr>
              <w:t>（六）施工单位必须服从当地对治安、卫生、环保、社会保险等工程建设的统一管理，并按有关规定交纳费用以及因违反相关规定而造成的罚款</w:t>
            </w:r>
            <w:r>
              <w:rPr>
                <w:rFonts w:ascii="仿宋_GB2312" w:hAnsi="仿宋_GB2312" w:cs="仿宋_GB2312" w:eastAsia="仿宋_GB2312"/>
              </w:rPr>
              <w:t>；</w:t>
            </w:r>
          </w:p>
          <w:p>
            <w:pPr>
              <w:pStyle w:val="null3"/>
            </w:pPr>
            <w:r>
              <w:rPr>
                <w:rFonts w:ascii="仿宋_GB2312" w:hAnsi="仿宋_GB2312" w:cs="仿宋_GB2312" w:eastAsia="仿宋_GB2312"/>
              </w:rPr>
              <w:t>（七）本工程不允许转包</w:t>
            </w:r>
            <w:r>
              <w:rPr>
                <w:rFonts w:ascii="仿宋_GB2312" w:hAnsi="仿宋_GB2312" w:cs="仿宋_GB2312" w:eastAsia="仿宋_GB2312"/>
              </w:rPr>
              <w:t>；</w:t>
            </w:r>
          </w:p>
          <w:p>
            <w:pPr>
              <w:pStyle w:val="null3"/>
            </w:pPr>
            <w:r>
              <w:rPr>
                <w:rFonts w:ascii="仿宋_GB2312" w:hAnsi="仿宋_GB2312" w:cs="仿宋_GB2312" w:eastAsia="仿宋_GB2312"/>
              </w:rPr>
              <w:t>（八）爱护采购方设施设备，不能为施工方便未经甲方书面同意损坏采购方设施设备；</w:t>
            </w:r>
          </w:p>
          <w:p>
            <w:pPr>
              <w:pStyle w:val="null3"/>
            </w:pPr>
            <w:r>
              <w:rPr>
                <w:rFonts w:ascii="仿宋_GB2312" w:hAnsi="仿宋_GB2312" w:cs="仿宋_GB2312" w:eastAsia="仿宋_GB2312"/>
                <w:sz w:val="21"/>
              </w:rPr>
              <w:t>（九）供应商自行办理垃圾清理手续，遵守当地政府垃圾分类处理有关规定，承担自行处置不当导致的全部费用和责任。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（一）遵守国家相关法律、法规，遵守国家相关技术规范； （二）所选材料必须保证质量可靠、进货渠道正常，符合国家环保等相关标准，满足施工要求； （三）工程质量符合国家有关规范，确保达到合格； （四）该工程项目质量保修期按有关文件规定执行； （五）遵守有关施工规范和安全操作规程，采取有效的安全保障措施，确保施工安全，包括悬挂警示标牌、装设围栏、配备安全人员等，并承担事故的全部费用和责任； （六）施工单位必须服从当地对治安、卫生、环保、社会保险等工程建设的统一管理，并按有关规定交纳费用以及因违反相关规定而造成的罚款； （七）本工程不允许转包； （八）爱护采购方设施设备，不能为施工方便未经甲方书面同意损坏采购方设施设备； （九）供应商自行办理垃圾清理手续，遵守当地政府垃圾分类处理有关规定，承担自行处置不当导致的全部费用和责任。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（一）质量验收标准或规范 1、国家现行有关法律、法规、环保和技术指标； 2、本项目施工合同； 3、经批准的设计文件及工程变更文件； 4、有关部政府部门的规定。 （二）违约责任 1、按《政府采购法》、《民法典》中的相关条款执行。 2、未按磋商文件、合同中要求的提供货物、质量及环保标准不能满足技术要求的，施工方必须无条件更换，否则，采购人有权终止合同，并对施工方的违约行为报监管机构进行相应的处罚。 3、施工方不能按期交工的，每逾期一日应向项目单位支付合同总价款千分之五的违约金，给采购人造成损失的，应予以赔偿。</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3、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4、本项目专门面向中小企业采购，（残疾人福利性单位、监狱企业视同小型、微型企业）。 5、未按合同要求提供服务或服务不能满足合同要求，采购人有权依据《民法典》有关条款及合同约定终止合同，并要求供应商承担违约责任。同时，政府采购监管部门有权依据《政府采购法》及相关法律法规对供应商的违法行为进行相应的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或2025年度经审计的财务报告或响应文件提交截止时间前六个月内基本存款账户开户银行出具的资信证明及基本存款账户开户许可证（或基本存款账户信息相关证明文件）或信用担保机构出具的投标担保函。（3）2025年6月以来任意一个月纳税证明或完税证明，纳税证明或完税证明上应有代收机构或税务机关的公章或业务专用章；依法免税或无须缴纳税收的供应商应提供相应文件证明。（4）2025年6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中小企业声明函 残疾人福利性单位声明函 报价函 投标人应提交的资格证明材料.docx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报价函 投标人应提交的资格证明材料.docx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响应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法定代表人身份证明书及法定代表人授权书.docx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供应商拟派项目经理具有建筑工程专业二级及以上注册建造师证书及安全生产考核合格证书，在本单位注册，且无在建项目（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供应商基本信息及拟派项目经理基本信息</w:t>
            </w:r>
          </w:p>
        </w:tc>
        <w:tc>
          <w:tcPr>
            <w:tcW w:type="dxa" w:w="3322"/>
          </w:tcPr>
          <w:p>
            <w:pPr>
              <w:pStyle w:val="null3"/>
            </w:pPr>
            <w:r>
              <w:rPr>
                <w:rFonts w:ascii="仿宋_GB2312" w:hAnsi="仿宋_GB2312" w:cs="仿宋_GB2312" w:eastAsia="仿宋_GB2312"/>
              </w:rPr>
              <w:t>供应商基本信息及拟派项目经理(建造师)的基本信息在“陕西省住房和城乡建设厅网站(http://js.shaanxi.gov.cn/)”可查询，供应商需在项目电子化交易系统中按要求上传相应证明文件并进行电子签章。截图不全或不清晰的以采购人或采购代理机构磋商当日现场查询为准</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投标人应提交的资格证明材料.docx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已标价工程量清单 报价函 标的清单 响应函 磋商报价一览表.docx 报价函.docx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报价函 标的清单 响应函 报价函.docx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报价函 标的清单 响应函 磋商报价一览表.docx 报价函.docx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报价函 标的清单 响应函 磋商报价一览表.docx 报价函.docx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附件.docx 中小企业声明函 法定代表人身份证明书及法定代表人授权书.docx 强制优先采购产品承诺函 响应文件封面 残疾人福利性单位声明函 报价函 标的清单 投标人应提交的资格证明材料.docx 响应函 磋商报价一览表.docx 商务条款偏离表.docx 监狱企业的证明文件 报价函.docx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投标内容不存在漏项或数量与要求不符合竞争性磋商文件规定情形，投标内容满足竞争性磋商文件的商务、技术等实质性要求，不存在采购档次降低或影响采购性能、功能的情形。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附件.docx 中小企业声明函 法定代表人身份证明书及法定代表人授权书.docx 强制优先采购产品承诺函 响应文件封面 残疾人福利性单位声明函 报价函 标的清单 投标人应提交的资格证明材料.docx 响应函 磋商报价一览表.docx 商务条款偏离表.docx 监狱企业的证明文件 报价函.docx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项目部组成方案</w:t>
            </w:r>
          </w:p>
        </w:tc>
        <w:tc>
          <w:tcPr>
            <w:tcW w:type="dxa" w:w="2492"/>
          </w:tcPr>
          <w:p>
            <w:pPr>
              <w:pStyle w:val="null3"/>
            </w:pPr>
            <w:r>
              <w:rPr>
                <w:rFonts w:ascii="仿宋_GB2312" w:hAnsi="仿宋_GB2312" w:cs="仿宋_GB2312" w:eastAsia="仿宋_GB2312"/>
              </w:rPr>
              <w:t>一、评审内容：根据供应商针对本项目编写的项目部组成方案：包含但不限于①人员组织架构②分配计划③人员岗前职责④人员名单及相关证书（包含但不限于身份证、资格证）等进行计分： 二、评审标准： 项目部组成方案科学合理、人员表配置充足，有详细的人员配置清单，针对性强，完全满足项目需求，得10分；项目部组成方案基本合理、人员表配置基本齐全，具有人员配置清单，有一定的针对性，能够满足项目需求，得8分；提供项目部组成方案情况，配置基本合理但组成不全面得6分；项目部组成人员缺乏科学合理性，无人员配置清单，无法满足项目需求，得4分； 项目部组成内容简单笼统得2分。未提供项目部组成不得0分。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一、评审内容：根据供应商针对本项目编写的整体施工方案：包含但不限于①服务管理流程及组织架构描述②操作规程描述③施工部署、技术重点、难点描述④维修维护方案等进行计分： 二、评审标准： 整体施工方案专门针对本项目编制，符合项目实际情况及实施要求，内容详尽且涵盖角度全面，合理性和可行性强，能够保障项目顺利实施的，得10分; 整体施工方案能够针对本项目编制，符合项目实际情况及实施要求，内容详尽且涵盖角度基本全面，有一定的合理性和可行性的，得8分; 方案基本能够针对本项目编制，基本符合项目实际情况及实施要求，内容较宽泛，涵盖角度不够全面，内容基本合理可行的，得6分; 具有方案内容但内容未贴合本项目，内容涵盖角度不够全面且实施有难度的，得4分; 具有方案内容但内容未针对本项目，内容空洞宽泛，基本不具有可实施性，得2分;未提供方案内容得0分。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安全生产、文明施工技术组织措施</w:t>
            </w:r>
          </w:p>
        </w:tc>
        <w:tc>
          <w:tcPr>
            <w:tcW w:type="dxa" w:w="2492"/>
          </w:tcPr>
          <w:p>
            <w:pPr>
              <w:pStyle w:val="null3"/>
            </w:pPr>
            <w:r>
              <w:rPr>
                <w:rFonts w:ascii="仿宋_GB2312" w:hAnsi="仿宋_GB2312" w:cs="仿宋_GB2312" w:eastAsia="仿宋_GB2312"/>
              </w:rPr>
              <w:t>一、评审内容：根据供应商针对本项目编写的安全生产、文明施工技术组织措施：包含但不限于①安全生产组织方案②环境保护措施③文明施工的技术组织措施④季节性施工安全措施⑤安全管理制度等进行计分： 二、评审标准： 措施内容专门针对本项目编制，符合项目实际情况及实施要求，内容详尽且涵盖角度全面，合理性和可行性强，能够保障项目顺利实施的，得10分; 措施内容能够针对本项目编制，符合项目实际情况及实施要求，内容详尽且涵盖角度基本全面，有一定的合理性和可行性的，得8分; 措施内容基本能够针对本项目编制，基本符合项目实际情况及实施要求，内容较详细，涵盖角度较全面，基本合理可行的，得6分; 具有措施内容但措施内容未贴合本项目，措施内容涵盖角度不全面且实施有难度的，得4分; 具有措施内容但内容未针对本项目，内容空洞宽泛，可实施性不强，得2分;未提供措施内容得0分。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施工机械及材料方案</w:t>
            </w:r>
          </w:p>
        </w:tc>
        <w:tc>
          <w:tcPr>
            <w:tcW w:type="dxa" w:w="2492"/>
          </w:tcPr>
          <w:p>
            <w:pPr>
              <w:pStyle w:val="null3"/>
            </w:pPr>
            <w:r>
              <w:rPr>
                <w:rFonts w:ascii="仿宋_GB2312" w:hAnsi="仿宋_GB2312" w:cs="仿宋_GB2312" w:eastAsia="仿宋_GB2312"/>
              </w:rPr>
              <w:t>一、评审内容：根据供应商针对本项目编写的施工机械及材料方案：包含但不限于①施工机械方案②拟用材料明细③到场离场计划④质量控制措施⑤安全管理等进行计分： 二、评审标准： 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投入计划基本针对本项目编制，符合项目实际情况及实施要求，内容详尽且涵盖角度基本全面，有一定的合理性和可行性的，得3分; 投入计划能够针对本项目编制，基本符合项目实际情况及实施要求，内容较详细，涵盖角度较全面但略有不完善，基本合理可行的，得1分;未提供投入计划内容得0分。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一、评审内容：根据供应商针对本项目编写的确保工期的技术组织措施：包含但不限于①接到委托后施工进度安排②工期及施工效率保证措施进行计分： 二、评审标准：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措施内容能够针对本项目编制，符合项目实际情况及实施要求，内容详尽且涵盖角度基本全面，有一定的合理性和可行性的，得3分; 措施内容基本能够针对本项目编制，基本符合项目实际情况及实施要求，内容较详细，涵盖角度较全面，基本合理可行的，得1分; 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一、评审内容：根据供应商针对本项目编写的工程质量技术组织措施：包含但不限于①保证质量，降低成本，防止环境污染措施②季节性施工质量保证措施等进行计分： 二、评审标准： 措施内容专门针对本项目编制，符合项目实际情况及实施要求，内容详尽且涵盖角度全面，合理性和可行性强，能够保障项目顺利实施的，得5分; 措施内容基本能够针对本项目编制，基本符合项目实际情况及实施要求，内容较详细，涵盖角度较全面，基本合理可行的，得3分;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施工现场保护及扬尘污染防治措施</w:t>
            </w:r>
          </w:p>
        </w:tc>
        <w:tc>
          <w:tcPr>
            <w:tcW w:type="dxa" w:w="2492"/>
          </w:tcPr>
          <w:p>
            <w:pPr>
              <w:pStyle w:val="null3"/>
            </w:pPr>
            <w:r>
              <w:rPr>
                <w:rFonts w:ascii="仿宋_GB2312" w:hAnsi="仿宋_GB2312" w:cs="仿宋_GB2312" w:eastAsia="仿宋_GB2312"/>
              </w:rPr>
              <w:t>一、评审内容：根据供应商针对本项目编写的现场保护措施：①原有设施保护措施②已完工保护措施③扬尘污染防治措施措施等进行计分： 二、评审标准： 措施内容专门针对本项目编制，符合项目实际情况及实施要求，内容详尽且涵盖角度全面，合理性和可行性强，能够保障项目顺利实施的，得5分; 措施内容基本能够针对本项目编制，基本符合项目实际情况及实施要求，内容较详细，涵盖角度较全面，基本合理可行的，得3分;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应用的技术、产品、工艺、材料等先进科学、可行性高得5分； 应用的技术、产品、工艺、材料等科学性、可行性缺乏得3分； 应用的技术、产品、工艺、材料等科学性不可行的得1分，未提供新技术、新产品、新工艺、新材料应用内容得0分。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一、评审内容：根据供应商针对本项目编写的突发事件应急预案：①安全事故应急预案②设施损坏预案③极端天气应急预案④学校重大活动应急预案等进行计分： 应急预案专门针对本项目编制，符合项目实际情况及实施要求，内容详尽且涵盖角度全面，合理性和可行性强，能够保障项目顺利实施的，得5分; 预案基本能够针对本项目编制，基本符合项目实际情况及实施要求，内容较宽泛，涵盖角度不够全面，内容基本合理可行的，得3分;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主要材料与设备为节能产品、环境标志产品</w:t>
            </w:r>
          </w:p>
        </w:tc>
        <w:tc>
          <w:tcPr>
            <w:tcW w:type="dxa" w:w="2492"/>
          </w:tcPr>
          <w:p>
            <w:pPr>
              <w:pStyle w:val="null3"/>
            </w:pPr>
            <w:r>
              <w:rPr>
                <w:rFonts w:ascii="仿宋_GB2312" w:hAnsi="仿宋_GB2312" w:cs="仿宋_GB2312" w:eastAsia="仿宋_GB2312"/>
              </w:rPr>
              <w:t>标人所投产品中每有一项为节能产品经国家认证或环境标志产品经国家认证的计0.5分，本项最多计2分。（以经国家确定的认证机构出具的、处于有效期内的节能产品或环境标志产品认证证书为准或强制优先采购产品承诺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供应商2023年1月1日至今类似项目业绩，每提供1份得2分，最高得8分。 注：以供应商加盖公章的业绩合同或中标通知书复印件或扫描件为准，时间以合同签订时间或中标通知书日期为准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报价函.docx</w:t>
            </w:r>
          </w:p>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报价函.docx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详见附件：报价函.docx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详见附件：投标人应提交的资格证明材料.docx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详见附件：附件.docx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