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版本号：HZ-L2026008C20260611001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数字化教育、AI赋能教育项目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HZ-L2026008C</w:t>
      </w:r>
      <w:r>
        <w:br/>
      </w:r>
      <w:r>
        <w:br/>
      </w:r>
      <w:r>
        <w:br/>
      </w:r>
    </w:p>
    <w:p>
      <w:pPr>
        <w:pStyle w:val="null3"/>
        <w:jc w:val="center"/>
        <w:outlineLvl w:val="2"/>
      </w:pPr>
      <w:r>
        <w:rPr>
          <w:rFonts w:ascii="仿宋_GB2312" w:hAnsi="仿宋_GB2312" w:cs="仿宋_GB2312" w:eastAsia="仿宋_GB2312"/>
          <w:sz w:val="28"/>
          <w:b/>
        </w:rPr>
        <w:t>西安市第一中学</w:t>
      </w:r>
    </w:p>
    <w:p>
      <w:pPr>
        <w:pStyle w:val="null3"/>
        <w:jc w:val="center"/>
        <w:outlineLvl w:val="2"/>
      </w:pPr>
      <w:r>
        <w:rPr>
          <w:rFonts w:ascii="仿宋_GB2312" w:hAnsi="仿宋_GB2312" w:cs="仿宋_GB2312" w:eastAsia="仿宋_GB2312"/>
          <w:sz w:val="28"/>
          <w:b/>
        </w:rPr>
        <w:t>陕西汉正项目管理有限公司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陕西汉正项目管理有限公司</w:t>
      </w:r>
      <w:r>
        <w:rPr>
          <w:rFonts w:ascii="仿宋_GB2312" w:hAnsi="仿宋_GB2312" w:cs="仿宋_GB2312" w:eastAsia="仿宋_GB2312"/>
        </w:rPr>
        <w:t>（以下简称“代理机构”）受</w:t>
      </w:r>
      <w:r>
        <w:rPr>
          <w:rFonts w:ascii="仿宋_GB2312" w:hAnsi="仿宋_GB2312" w:cs="仿宋_GB2312" w:eastAsia="仿宋_GB2312"/>
        </w:rPr>
        <w:t>西安市第一中学</w:t>
      </w:r>
      <w:r>
        <w:rPr>
          <w:rFonts w:ascii="仿宋_GB2312" w:hAnsi="仿宋_GB2312" w:cs="仿宋_GB2312" w:eastAsia="仿宋_GB2312"/>
        </w:rPr>
        <w:t>委托，拟对</w:t>
      </w:r>
      <w:r>
        <w:rPr>
          <w:rFonts w:ascii="仿宋_GB2312" w:hAnsi="仿宋_GB2312" w:cs="仿宋_GB2312" w:eastAsia="仿宋_GB2312"/>
        </w:rPr>
        <w:t>数字化教育、AI赋能教育项目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HZ-L2026008C</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数字化教育、AI赋能教育项目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在新高考改革与人工智能技术迅速发展的背景下，教师必须主动升级教学与教研方式，实现自我能力的突破和提升。请进来走出去，送部分教师到教育发达区域（如江苏、浙江）观摩学习，请专家来校开展课堂观察同时加强AI技术的应用培训是提升当前师资队伍教育教学水平和信息素养的重要路径，是学校提升办学质量、适应新高考改革的必然选择。</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采购包1（西安市第一中学数字化教育、AI赋能教育项目）：属于专门面向小微企业采购。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授权合法的人员参加磋商全过程：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2、信用查询：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西安市第一中学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西安市环城西路铁塔寺路3号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029-88619521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陕西汉正项目管理有限公司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西安市雁塔区科技二路71号竹园· 天寰国际1706室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15529386950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代理服务费收费标准：采购代理服务费参照国家计委《招标代理服务收费管理暂行办法》（计价格[2002]1980 号）、国家发展改革委办公厅《关于招标代理服务收费有关问题的通知》（发改办价格［2003］857 号）及国家发展改革委《关于降低部分建设项目收费标准规范收费行为等有关问题的通知》（发改价格[2011]534号）规定的标准下浮5%计取（以中标/成交金额结算）。 代理服务费缴纳账号：陕西汉正项目管理有限公司 账户号码:61050110771000000926 开户银行:中国建设银行股份有限公司西安科技二路支行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西安市第一中学</w:t>
      </w:r>
      <w:r>
        <w:rPr>
          <w:rFonts w:ascii="仿宋_GB2312" w:hAnsi="仿宋_GB2312" w:cs="仿宋_GB2312" w:eastAsia="仿宋_GB2312"/>
        </w:rPr>
        <w:t>和</w:t>
      </w:r>
      <w:r>
        <w:rPr>
          <w:rFonts w:ascii="仿宋_GB2312" w:hAnsi="仿宋_GB2312" w:cs="仿宋_GB2312" w:eastAsia="仿宋_GB2312"/>
        </w:rPr>
        <w:t>陕西汉正项目管理有限公司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西安市第一中学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陕西汉正项目管理有限公司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西安市第一中学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陕西汉正项目管理有限公司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陕西汉正项目管理有限公司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联系人：马敏</w:t>
      </w:r>
    </w:p>
    <w:p>
      <w:pPr>
        <w:pStyle w:val="null3"/>
      </w:pPr>
      <w:r>
        <w:rPr>
          <w:rFonts w:ascii="仿宋_GB2312" w:hAnsi="仿宋_GB2312" w:cs="仿宋_GB2312" w:eastAsia="仿宋_GB2312"/>
        </w:rPr>
        <w:t>联系电话：15529386950</w:t>
      </w:r>
    </w:p>
    <w:p>
      <w:pPr>
        <w:pStyle w:val="null3"/>
      </w:pPr>
      <w:r>
        <w:rPr>
          <w:rFonts w:ascii="仿宋_GB2312" w:hAnsi="仿宋_GB2312" w:cs="仿宋_GB2312" w:eastAsia="仿宋_GB2312"/>
        </w:rPr>
        <w:t>地址：西安市雁塔区科技二路71号竹园· 天寰国际1706室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在新高考改革与人工智能技术迅速发展的背景下，教师必须主动升级教学与教研方式，实现自我能力的突破和提升。请进来走出去，送部分教师到教育发达区域（如江苏、浙江）观摩学习，请专家来校开展课堂观察同时加强AI技术的应用培训是提升当前师资队伍教育教学水平和信息素养的重要路径，是学校提升办学质量、适应新高考改革的必然选择。</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培训服务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标的名称：培训服务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4"/>
                <w:b/>
              </w:rPr>
              <w:t>项目名称</w:t>
            </w:r>
          </w:p>
          <w:p>
            <w:pPr>
              <w:pStyle w:val="null3"/>
            </w:pPr>
            <w:r>
              <w:rPr>
                <w:rFonts w:ascii="仿宋_GB2312" w:hAnsi="仿宋_GB2312" w:cs="仿宋_GB2312" w:eastAsia="仿宋_GB2312"/>
                <w:sz w:val="24"/>
              </w:rPr>
              <w:t>西安市第一中学数字化教育</w:t>
            </w:r>
            <w:r>
              <w:rPr>
                <w:rFonts w:ascii="仿宋_GB2312" w:hAnsi="仿宋_GB2312" w:cs="仿宋_GB2312" w:eastAsia="仿宋_GB2312"/>
                <w:sz w:val="24"/>
              </w:rPr>
              <w:t>AI赋能教育项目</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4"/>
                <w:b/>
              </w:rPr>
              <w:t>二、项目概况</w:t>
            </w:r>
          </w:p>
          <w:p>
            <w:pPr>
              <w:pStyle w:val="null3"/>
            </w:pPr>
            <w:r>
              <w:rPr>
                <w:rFonts w:ascii="仿宋_GB2312" w:hAnsi="仿宋_GB2312" w:cs="仿宋_GB2312" w:eastAsia="仿宋_GB2312"/>
                <w:sz w:val="24"/>
              </w:rPr>
              <w:t>在新高考改革与人工智能技术迅速发展的背景下，教师必须主动升级教学与教研方式，实现自我能力的突破和提升。请进来走出去，送部分教师到教育发达区域（如江苏、浙江）观摩学习，请专家来校开展课堂观察同时加强</w:t>
            </w:r>
            <w:r>
              <w:rPr>
                <w:rFonts w:ascii="仿宋_GB2312" w:hAnsi="仿宋_GB2312" w:cs="仿宋_GB2312" w:eastAsia="仿宋_GB2312"/>
                <w:sz w:val="24"/>
              </w:rPr>
              <w:t>AI技术的应用培训是提升当前师资队伍教育教学水平和信息素养的重要路径，是学校提升办学质量、适应新高考改革的必然选择。</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三、服务内容及要求</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服务范围：全校一线教师</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服务标准：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1）专家资质配置标准：课堂观察</w:t>
            </w:r>
            <w:r>
              <w:rPr>
                <w:rFonts w:ascii="仿宋_GB2312" w:hAnsi="仿宋_GB2312" w:cs="仿宋_GB2312" w:eastAsia="仿宋_GB2312"/>
                <w:sz w:val="24"/>
              </w:rPr>
              <w:t>两次，</w:t>
            </w:r>
            <w:r>
              <w:rPr>
                <w:rFonts w:ascii="仿宋_GB2312" w:hAnsi="仿宋_GB2312" w:cs="仿宋_GB2312" w:eastAsia="仿宋_GB2312"/>
                <w:sz w:val="24"/>
              </w:rPr>
              <w:t>每高考</w:t>
            </w:r>
            <w:r>
              <w:rPr>
                <w:rFonts w:ascii="仿宋_GB2312" w:hAnsi="仿宋_GB2312" w:cs="仿宋_GB2312" w:eastAsia="仿宋_GB2312"/>
                <w:sz w:val="24"/>
              </w:rPr>
              <w:t>学科每次配备</w:t>
            </w:r>
            <w:r>
              <w:rPr>
                <w:rFonts w:ascii="仿宋_GB2312" w:hAnsi="仿宋_GB2312" w:cs="仿宋_GB2312" w:eastAsia="仿宋_GB2312"/>
                <w:sz w:val="24"/>
              </w:rPr>
              <w:t>1名国家、省市级高考学科专家，需具备适应于陕西省高考模式（3+1+2模式）的多年一线高三教学或命题研究经验，正高级教师职称或省级教学名师（有证书），两次专家不同；AI技术培训讲师团队不少于2人，均需持有教育信息化相关专业资格证书（如教育技术中级以上证书），拥有教育信息化领域5年以上实践经验，熟悉新课程教学与主流AI教学工具的应用，有五次以上中小学AI赋能教育教学方面的讲座或培训经验（有聘书或者邀请函）。</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培训内容设计标准：课堂观察需围绕新高考核心素养要求，针对每门学科形成包含教学目标达成度、学生参与度、AI技术融合点等维度的个性化诊断分析和建议；AI专项培训需涵盖AI辅助教学设计、AI辅助课堂教学过程、智能命题系统操作、数字化教研模式构建等实操模块，每个模块配备真实教学案例演练及现场答疑环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培训实施规范：专家课堂观察需满足高考科目9个学科，每次每位学科专家听1节课，评1节课，结合听评课开展一个高三专题复习报告（不少于1小时）；AI专项培训4次，每次不低于3小时，累计时长不少于12学时，其中线下实操训练占比不低于50%，（线下实操可以在学校微机教室开展，场地可以由学校提供）；组织42人次的教师“走出去”到江苏、浙江等长三角教育发达区域开展考察学习活动，每次考察不低于5天时间，需包含考察地至少1所211以上大学和2所标杆高中学校（省级示范高中）的实地观摩、教研交流及经验分享，为出行教师购买相应的出行保险，</w:t>
            </w:r>
            <w:r>
              <w:rPr>
                <w:rFonts w:ascii="仿宋_GB2312" w:hAnsi="仿宋_GB2312" w:cs="仿宋_GB2312" w:eastAsia="仿宋_GB2312"/>
                <w:sz w:val="24"/>
              </w:rPr>
              <w:t>行</w:t>
            </w:r>
            <w:r>
              <w:rPr>
                <w:rFonts w:ascii="仿宋_GB2312" w:hAnsi="仿宋_GB2312" w:cs="仿宋_GB2312" w:eastAsia="仿宋_GB2312"/>
                <w:sz w:val="24"/>
              </w:rPr>
              <w:t>程安排合理且具有针对性，以上培训需在</w:t>
            </w:r>
            <w:r>
              <w:rPr>
                <w:rFonts w:ascii="仿宋_GB2312" w:hAnsi="仿宋_GB2312" w:cs="仿宋_GB2312" w:eastAsia="仿宋_GB2312"/>
                <w:sz w:val="24"/>
              </w:rPr>
              <w:t>2026年度第二学期结束前完成（以校历安排为准）。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4）效果评估标准：培训结束后，教师会进行AI教学工具实操，学员每人完成至少一篇结合AI技术的教学设计，学科课堂AI技术应用率不低于80%（学员使用希沃AI教研员平台录课比例不低于80%）。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服务保障标准：培训机构需建立专属服务微信群，24小时内响应教师在AI技术应用、培训内容拓展等方面的问题；提供配套的AI教学资源包（含课件模板、案例库、工具使用指南），并定期更新内容（不少于6次/年）；为学校预留1次免费的后续专家回访机会，针对培训效果进行优化指导；走出去到教育发达区域考察学习大交通乘坐飞机、高铁或动车，小交通有专门服务车辆，住宿（商务连锁及以上）和餐饮标准参照我省公务出行标准。</w:t>
            </w:r>
          </w:p>
          <w:p>
            <w:pPr>
              <w:pStyle w:val="null3"/>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人员要求：</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项目服务团队配置：培训机构需指定1名专职项目负责人，具备5年以上教育类培训项目管理经验，负责全程统筹培训安排、协调专家与学校的沟通对接；配备不少于2名助教人员，协助专家开展课堂观察记录、培训资料整理分发、实操环节指导等工作，助教需具备教育技术或相关学科背景，熟悉学校教学场景。</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人员稳定性要求：项目实施期间，主要服务人员（包括学科专家、AI讲师、项目负责人）不得随意更换；确需更换的，需提前15个工作日向学校提交书面申请及拟更换人员的资质证明，经学校审核同意后方可更换，且更换人员的专业资质、经验水平不得低于原人员标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3）服务行为规范：所有服务人员需遵守学校教学管理规定，按时到场开展服务；与教师沟通时需态度耐心、专业严谨，积极响应教师提出的合理需求；培训过程中需保持良好的职业形象，确保服务质量。</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服务保障：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沟通协作要求：所有服务人员需具备良好的跨部门沟通能力，能与学校教学处、教师发展中心、各学科教研组高效协同，及时反馈培训过程中的问题与教师需求；在课堂观察结束后，需及时诊断并开展专家报告。</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应急处理能力：服务团队需具备应对培训突发情况的能力，如专家临时无法到场时，需提前24小时告知学校并提供同等资质的替代专家；AI培训设备出现故障时，助教需在1小时内协助解决或提供备用方案，确保培训进程不受影响。</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3）持续学习要求：服务人员需定期更新自身知识储备，及时掌握新高考政策动态及AI教育工具的最新应用成果，保证培训内容的时效性与先进性。</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履约验收：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质量监督机制：培训机构需设立内部质量监督机制，每阶段培训期间对服务流程、专家授课质量、助教配合情况等进行监督并接受学校的监督与评价，每项工作完成需要每位参训教师对培训服务情况利用评价表根据服务细节进行打分评价。</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2）资源持续优化：针对AI教学资源包，除按要求定期更新外，需每季度收集教师使用反馈，结合新高考政策调整及AI工具迭代，优化培训资源、案例库及工具指南，确保资源的实用性与前沿性，保持培训体系的时效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3）保密管理要求：所有服务人员需与学校签订保密协议，严格保护培训过程中涉及的学校教学数据、教师个人信息、课堂观察记录等敏感信息，不得向第三方泄露；项目结束后，需销毁或返还所有涉及学校内部信息的纸质及电子资料，确保信息安全。</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4）满意度跟踪与改进：培训期间每月开展一次教师满意度快速调查，培训结束后进行全面满意度测评；针对教师反馈的问题与建议，培训机构需在3个工作日内制定改进方案并及时落实优化措施，提升服务质量。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5）服务档案管理：建立完善的项目服务档案，包括专家资质证明、培训计划与日程、课堂观察讲座报告PPT、满意度打分表和调查数据等；项目履约完成后10个工作日内，将完整的项目实施过程资料整理归档，整理成册提交学校存档，便于后续查阅与复盘及上级部门的审查。</w:t>
            </w:r>
          </w:p>
          <w:p>
            <w:pPr>
              <w:pStyle w:val="null3"/>
            </w:pPr>
            <w:r>
              <w:rPr>
                <w:rFonts w:ascii="仿宋_GB2312" w:hAnsi="仿宋_GB2312" w:cs="仿宋_GB2312" w:eastAsia="仿宋_GB2312"/>
                <w:sz w:val="24"/>
              </w:rPr>
              <w:t>6</w:t>
            </w:r>
            <w:r>
              <w:rPr>
                <w:rFonts w:ascii="仿宋_GB2312" w:hAnsi="仿宋_GB2312" w:cs="仿宋_GB2312" w:eastAsia="仿宋_GB2312"/>
                <w:sz w:val="24"/>
              </w:rPr>
              <w:t>.</w:t>
            </w:r>
            <w:r>
              <w:rPr>
                <w:rFonts w:ascii="仿宋_GB2312" w:hAnsi="仿宋_GB2312" w:cs="仿宋_GB2312" w:eastAsia="仿宋_GB2312"/>
                <w:sz w:val="24"/>
              </w:rPr>
              <w:t>服务期限：签约日期至</w:t>
            </w:r>
            <w:r>
              <w:rPr>
                <w:rFonts w:ascii="仿宋_GB2312" w:hAnsi="仿宋_GB2312" w:cs="仿宋_GB2312" w:eastAsia="仿宋_GB2312"/>
                <w:sz w:val="24"/>
              </w:rPr>
              <w:t>2026年学年度第二学期结束（以校历为准）。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供应商根据服务要求自行响应，满足采购人服务要求。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采购标的所属行业为其他未列明行业。其他未列明行业：从业人员300人以下的为中小微型企业。其中，从业人员100人及以上的为中型企业；从业人员10人及以上的为小型企业；从业人员10人以下的为微型企业。</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签约日期至2026年学年度第二学期结束（以校历为准）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完成后，由采购人和成交供应商共同对项目进行整体验收。其内容包括是否按照采购人要求进行服务、是否在规定时间内服务完毕、服务工作是否存在失误。验收合格后，填写政府采购项目验收单作为对本服务的最终认可。成交供应商向采购人提供服务过程中的所有相关资料,以便采购人日后管理。验收依据为竞争性磋商文件、磋商响应文件、澄清表（函）、政府采购合同及附件文本、国家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进度款，服务期结束且经采购人验收合格后，达到付款条件起，达到付款条件起7个工作日内，支付合同总金额的50.0%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2.供应商未按合同要求提供服务或服务质量不能满足技术要求，且在规定时间内未使采购人满意的，采购人有权解除合同，同时报请西安市财政局政府采购监管部门对其违约行为进行追究。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采购结果发布后3个工作日内向代理机构提交纸质版响应文件以存档，响应文件正本1份，副本2份（文件内容、格式及信息须与系统上传电子文件保持一致）。纸质响应文件均须A4纸打印，分别各自装订成册并编制目录和页码。2.本项目通过陕西省政府采购综合管理平台进行电子化交易，竞争性磋商文件由采购人及代理机构在平台填报相关内容后由平台系统自动生成。鉴于平台系统模板为通用制式，文件中出现“招标文件”“投标文件”“投标人”等术语，此类术语均为平台系统固化表述，在本项目（采购方式为竞争性磋商）中均应理解为“磋商文件”“响应文件”“供应商”等相应含义。供应商对本项目采购方式及采购文件术语的理解，应以本项目磋商文件第一章明确的采购方式（竞争性磋商）及本说明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供应商需在项目电子化交易系统中按要求填写《投标函》完成承诺并进行电子签章，同时提供以下资格证明材料： 1.出具合法有效的营业执照或事业单位法人证书等国家规定的相关证明，自然人参与的提供其身份证明； 2.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 3.提供自2025年6月1日以来已缴存的任意1个月的社会保障资金缴存单据或社保机构开具的社会保险参保缴费情况证明；依法不需要缴纳社会保障资金的供应商应提供相关证明文件。 4.提供自2025年6月1日以来已缴纳的任意1个月的依法缴纳税收的相关凭据(时间以税款所属日期为准)，凭据应有税务机关或代收机关的公章或业务专用章；依法免税或无须缴纳税收的供应商，应提供相应证明文件。 5.提供具有履行合同所必需的设备和专业技术能力的书面承诺。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12.一般资格要求及特殊资格要求.docx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以下三种资料中的任意一种：①提供2024或2025年度经会计师事务所或审计机构出具完整的财务审计报告（成立时间至提交响应文件截止时间不足一年的可提供成立后任意时段的资产负债表）；②响应文件递交截止时间前三个月内其基本开户银行出具的资信证明；③财政部门认可的政府采购专业担保机构出具的投标担保函。</w:t>
            </w:r>
          </w:p>
        </w:tc>
        <w:tc>
          <w:tcPr>
            <w:tcW w:type="dxa" w:w="1661"/>
          </w:tcPr>
          <w:p>
            <w:pPr>
              <w:pStyle w:val="null3"/>
            </w:pPr>
            <w:r>
              <w:rPr>
                <w:rFonts w:ascii="仿宋_GB2312" w:hAnsi="仿宋_GB2312" w:cs="仿宋_GB2312" w:eastAsia="仿宋_GB2312"/>
              </w:rPr>
              <w:t>12.一般资格要求及特殊资格要求.docx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12.一般资格要求及特殊资格要求.docx 14.供应商企业关系关联承诺书.docx 13.供应商廉洁自律承诺书.docx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供应商应授权合法的人员参加磋商全过程，法定代表人授权代表参加磋商的，须出具法定代表人授权委托书：法定代表人授权委托书（附法定代表人身份证复印件及被授权人身份证复印件）；法定代表人直接参加磋商只需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12.一般资格要求及特殊资格要求.docx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列入“失信被执行人”（页面跳转至“中国执行信息公开网”http：//zxgk.court.gov.cn/shixin/）、重大税收违法案件当事人名单的供应商；不得为中国政府采购网(http://www.ccgp.gov.cn)“政府采购严重违法失信行为记录名单”中的供应商。</w:t>
            </w:r>
          </w:p>
        </w:tc>
        <w:tc>
          <w:tcPr>
            <w:tcW w:type="dxa" w:w="1661"/>
          </w:tcPr>
          <w:p>
            <w:pPr>
              <w:pStyle w:val="null3"/>
            </w:pPr>
            <w:r>
              <w:rPr>
                <w:rFonts w:ascii="仿宋_GB2312" w:hAnsi="仿宋_GB2312" w:cs="仿宋_GB2312" w:eastAsia="仿宋_GB2312"/>
              </w:rPr>
              <w:t>12.一般资格要求及特殊资格要求.docx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关于推动解决政府采购异常低价问题的通知》（财库〔2026〕2号）等相关规定，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每轮报价只能有一个有效报价，不得提交选择性报价，且报价不超过采购预算金额或最高限价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响应文件的签字、 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2.商务要求偏离表.docx 5.”走出去“考察方案.docx 12.一般资格要求及特殊资格要求.docx 4.教学管理制度.docx 中小企业声明函 13.供应商廉洁自律承诺书.docx 16.其他材料及供应商认为有必要说明、阐述的事项.docx 10.质量保障方案.docx 3.整体服务方案.docx 11.业绩.docx 响应文件封面 14.供应商企业关系关联承诺书.docx 7.助教人员工作方案.docx 残疾人福利性单位声明函 9.项目实施进度计划.docx 标的清单 6.人员配置.docx 8.应急管理方案.docx 1.服务内容及服务要求应答表.docx 15.陕西省政府采购供应商拒绝政府采购领域商业贿赂承诺书.docx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2.商务要求偏离表.docx 1.服务内容及服务要求应答表.docx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1.响应内容出现漏项或数量与要求不符；2.要求全面响应磋商文件，不能有任何采购人不能接受的附加条件；3.规定不接受选择方案和选择报价（包括交叉折扣）的，供应商提供了选择方案/或选择报价（包括交叉折扣）；4.提供虚假证明，开具虚假资质，出现虚假应答。</w:t>
            </w:r>
          </w:p>
        </w:tc>
        <w:tc>
          <w:tcPr>
            <w:tcW w:type="dxa" w:w="1661"/>
          </w:tcPr>
          <w:p>
            <w:pPr>
              <w:pStyle w:val="null3"/>
            </w:pPr>
            <w:r>
              <w:rPr>
                <w:rFonts w:ascii="仿宋_GB2312" w:hAnsi="仿宋_GB2312" w:cs="仿宋_GB2312" w:eastAsia="仿宋_GB2312"/>
              </w:rPr>
              <w:t>2.商务要求偏离表.docx 5.”走出去“考察方案.docx 12.一般资格要求及特殊资格要求.docx 4.教学管理制度.docx 中小企业声明函 13.供应商廉洁自律承诺书.docx 16.其他材料及供应商认为有必要说明、阐述的事项.docx 10.质量保障方案.docx 3.整体服务方案.docx 11.业绩.docx 响应文件封面 14.供应商企业关系关联承诺书.docx 7.助教人员工作方案.docx 残疾人福利性单位声明函 9.项目实施进度计划.docx 标的清单 6.人员配置.docx 8.应急管理方案.docx 1.服务内容及服务要求应答表.docx 15.陕西省政府采购供应商拒绝政府采购领域商业贿赂承诺书.docx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供应商针对本项目应建立完善的服务方案，内容包括：①项目岗位特点及需求分析、②培训目标、③培训内容、④培训形式、⑤培训情况考核机制。 二、评审标准： 1.完整性：方案须全面合理，架构完整，对评审内容中的各项要求有详细描述； 2.可实施性：切合本项目实际情况，实施步骤清晰、合理； 3.针对性：方案能够紧扣本项目所需的实际情况，内容科学合理。 三、赋分依据（满分15分）： 上述5项评审内容全部满足评审标准得15分；每有一项评审内容缺项扣3分。 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3.整体服务方案.docx</w:t>
            </w:r>
          </w:p>
        </w:tc>
      </w:tr>
      <w:tr>
        <w:tc>
          <w:tcPr>
            <w:tcW w:type="dxa" w:w="831"/>
            <w:vMerge/>
          </w:tcPr>
          <w:p/>
        </w:tc>
        <w:tc>
          <w:tcPr>
            <w:tcW w:type="dxa" w:w="1661"/>
          </w:tcPr>
          <w:p>
            <w:pPr>
              <w:pStyle w:val="null3"/>
            </w:pPr>
            <w:r>
              <w:rPr>
                <w:rFonts w:ascii="仿宋_GB2312" w:hAnsi="仿宋_GB2312" w:cs="仿宋_GB2312" w:eastAsia="仿宋_GB2312"/>
              </w:rPr>
              <w:t>教学管理制度</w:t>
            </w:r>
          </w:p>
        </w:tc>
        <w:tc>
          <w:tcPr>
            <w:tcW w:type="dxa" w:w="2492"/>
          </w:tcPr>
          <w:p>
            <w:pPr>
              <w:pStyle w:val="null3"/>
            </w:pPr>
            <w:r>
              <w:rPr>
                <w:rFonts w:ascii="仿宋_GB2312" w:hAnsi="仿宋_GB2312" w:cs="仿宋_GB2312" w:eastAsia="仿宋_GB2312"/>
              </w:rPr>
              <w:t>一、评审内容： 内容包括：①授课教师管理制度、②学员管理制度、③其他健全的内部管理制度（保密制度、保密措施、廉洁从业制度）。 二、评审标准： 1.完整性：方案须全面合理，架构完整，对评审内容中的各项要求有详细描述； 2.可实施性：切合本项目实际情况，实施步骤清晰、合理； 3.针对性：方案能够紧扣本项目所需的实际情况，内容科学合理。 三、赋分依据（满分9分）： 以上内容完整、描述详尽、符合项目实际采购需求的，得9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4.教学管理制度.docx</w:t>
            </w:r>
          </w:p>
        </w:tc>
      </w:tr>
      <w:tr>
        <w:tc>
          <w:tcPr>
            <w:tcW w:type="dxa" w:w="831"/>
            <w:vMerge/>
          </w:tcPr>
          <w:p/>
        </w:tc>
        <w:tc>
          <w:tcPr>
            <w:tcW w:type="dxa" w:w="1661"/>
          </w:tcPr>
          <w:p>
            <w:pPr>
              <w:pStyle w:val="null3"/>
            </w:pPr>
            <w:r>
              <w:rPr>
                <w:rFonts w:ascii="仿宋_GB2312" w:hAnsi="仿宋_GB2312" w:cs="仿宋_GB2312" w:eastAsia="仿宋_GB2312"/>
              </w:rPr>
              <w:t>“走出去”考察方案</w:t>
            </w:r>
          </w:p>
        </w:tc>
        <w:tc>
          <w:tcPr>
            <w:tcW w:type="dxa" w:w="2492"/>
          </w:tcPr>
          <w:p>
            <w:pPr>
              <w:pStyle w:val="null3"/>
            </w:pPr>
            <w:r>
              <w:rPr>
                <w:rFonts w:ascii="仿宋_GB2312" w:hAnsi="仿宋_GB2312" w:cs="仿宋_GB2312" w:eastAsia="仿宋_GB2312"/>
              </w:rPr>
              <w:t>一、评审内容： 内容包括：①组织方案、②场地资源、③出行安全、④沟通协调机制。 二、评审标准： 1.完整性：方案须全面合理，架构完整，对评审内容中的各项要求有详细描述； 2.可实施性：切合本项目实际情况，实施步骤清晰、合理； 3.针对性：方案能够紧扣本项目所需的实际情况，内容科学合理。 三、赋分依据（满分12分）： 以上内容完整、描述详尽、符合项目实际采购需求的，得12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5.”走出去“考察方案.docx</w:t>
            </w:r>
          </w:p>
        </w:tc>
      </w:tr>
      <w:tr>
        <w:tc>
          <w:tcPr>
            <w:tcW w:type="dxa" w:w="831"/>
            <w:vMerge/>
          </w:tcPr>
          <w:p/>
        </w:tc>
        <w:tc>
          <w:tcPr>
            <w:tcW w:type="dxa" w:w="1661"/>
          </w:tcPr>
          <w:p>
            <w:pPr>
              <w:pStyle w:val="null3"/>
            </w:pPr>
            <w:r>
              <w:rPr>
                <w:rFonts w:ascii="仿宋_GB2312" w:hAnsi="仿宋_GB2312" w:cs="仿宋_GB2312" w:eastAsia="仿宋_GB2312"/>
              </w:rPr>
              <w:t>助教人员工作方案</w:t>
            </w:r>
          </w:p>
        </w:tc>
        <w:tc>
          <w:tcPr>
            <w:tcW w:type="dxa" w:w="2492"/>
          </w:tcPr>
          <w:p>
            <w:pPr>
              <w:pStyle w:val="null3"/>
            </w:pPr>
            <w:r>
              <w:rPr>
                <w:rFonts w:ascii="仿宋_GB2312" w:hAnsi="仿宋_GB2312" w:cs="仿宋_GB2312" w:eastAsia="仿宋_GB2312"/>
              </w:rPr>
              <w:t>一、评审内容： 内容包括：①课堂观察记录、②培训资料整理分发、③实操环节指导、④教育技术或相关学科背景制。 二、评审标准： 1.完整性：方案须全面合理，架构完整，对评审内容中的各项要求有详细描述； 2.可实施性：切合本项目实际情况，实施步骤清晰、合理； 3.针对性：方案能够紧扣本项目所需的实际情况，内容科学合理。 三、赋分依据（满分12分）： 以上内容完整、描述详尽、符合项目实际采购需求的，得12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7.助教人员工作方案.docx</w:t>
            </w:r>
          </w:p>
        </w:tc>
      </w:tr>
      <w:tr>
        <w:tc>
          <w:tcPr>
            <w:tcW w:type="dxa" w:w="831"/>
            <w:vMerge/>
          </w:tcPr>
          <w:p/>
        </w:tc>
        <w:tc>
          <w:tcPr>
            <w:tcW w:type="dxa" w:w="1661"/>
          </w:tcPr>
          <w:p>
            <w:pPr>
              <w:pStyle w:val="null3"/>
            </w:pPr>
            <w:r>
              <w:rPr>
                <w:rFonts w:ascii="仿宋_GB2312" w:hAnsi="仿宋_GB2312" w:cs="仿宋_GB2312" w:eastAsia="仿宋_GB2312"/>
              </w:rPr>
              <w:t>应急管理方案</w:t>
            </w:r>
          </w:p>
        </w:tc>
        <w:tc>
          <w:tcPr>
            <w:tcW w:type="dxa" w:w="2492"/>
          </w:tcPr>
          <w:p>
            <w:pPr>
              <w:pStyle w:val="null3"/>
            </w:pPr>
            <w:r>
              <w:rPr>
                <w:rFonts w:ascii="仿宋_GB2312" w:hAnsi="仿宋_GB2312" w:cs="仿宋_GB2312" w:eastAsia="仿宋_GB2312"/>
              </w:rPr>
              <w:t>一、评审内容： 内容包括：①突发事件预防及处理、②师资力量调配。 二、评审标准： 1.完整性：方案须全面合理，架构完整，对评审内容中的各项要求有详细描述； 2.可实施性：切合本项目实际情况，实施步骤清晰、合理； 3.针对性：方案能够紧扣本项目所需的实际情况，内容科学合理。 三、赋分依据（满分6分）： 以上内容完整、描述详尽、符合项目实际采购需求的，得6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8.应急管理方案.docx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一、评审内容： 内容包括：①项目实施进度目标分析、②提供合理的工作计划及时间节点、③项目进度保障措施。 二、评审标准： 1.完整性：方案须全面合理，架构完整，对评审内容中的各项要求有详细描述； 2.可实施性：切合本项目实际情况，实施步骤清晰、合理； 3.针对性：方案能够紧扣本项目所需的实际情况，内容科学合理。 三、赋分依据（满分9分）： 以上内容完整、描述详尽、符合项目实际采购需求的，得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9.项目实施进度计划.docx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内容包括：①服务质量目标、②质量管理制度、③服务质量保证措施。 二、评审标准： 1.完整性：方案须全面合理，架构完整，对评审内容中的各项要求有详细描述； 2.可实施性：切合本项目实际情况，实施步骤清晰、合理； 3.针对性：方案能够紧扣本项目所需的实际情况，内容科学合理。 三、赋分依据（满分9分）： 以上内容完整、描述详尽、符合项目实际采购需求的，得9分；每缺少一项扣3分；每一项评审内容完整全面，结合本项目实际情况，可实施性强、科学合理得2分；内容比较完整全面，结合本项目实际情况，可实施性比较强得1分；内容存在缺陷得0.5分。 说明： 1.满足评审标准是指:内容逻辑混乱、描述清晰与项目特点匹配、要求的内容无遗漏等情形; 2.较满足评审标准是指:虽有内容但不完善、描述过于简单、要求的内容有遗漏、等情形; 3.缺陷是指内容存在不适用项目实际情况的情形只有标题没有实质性内容以及套用挪用其他项目内容等任意一种情形。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10.质量保障方案.docx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1.项目服务管理团队配置达到6人（含6人）以上得4分，5人得2分，4人得1分，未提供不得分（须提供本管理团队人员身份证复印件、学历证书、本单位投标前近3个月养老保险缴纳证明）； 2.高考学科专家：在本次采购需求的基础上每增加1人得2分，本项最多得4分; 3.AI技术培训讲师：在本次采购需求的基础上每增加1人得2分，本项最多得4分。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6.人员配置.docx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提供自2023年6月1日起，截至本项目递交响应文件之日起类似的业绩（以合同签订时间为准），每提供1个得2分，最高得6分。 评审标准：业绩证明材料（以磋商响应文件中提供的合同复印件为准，合同关键页复印件并加盖供应商公章，合同关键页内容须包含合同名称、签订双方名称、签订时间、主要服务内容、双方盖章页等）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满足磋商文件要求且最后报价最低的价格为评审基准价，其价格分为满分。其他供应商的价格分统一按照下列公式计算：最后报价得分=(评审基准价／最后报价)×价格权值×100。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详见附件：1.服务内容及服务要求应答表.docx</w:t>
      </w:r>
    </w:p>
    <w:p>
      <w:pPr>
        <w:pStyle w:val="null3"/>
        <w:ind w:firstLine="960"/>
      </w:pPr>
      <w:r>
        <w:rPr>
          <w:rFonts w:ascii="仿宋_GB2312" w:hAnsi="仿宋_GB2312" w:cs="仿宋_GB2312" w:eastAsia="仿宋_GB2312"/>
        </w:rPr>
        <w:t>详见附件：2.商务要求偏离表.docx</w:t>
      </w:r>
    </w:p>
    <w:p>
      <w:pPr>
        <w:pStyle w:val="null3"/>
        <w:ind w:firstLine="960"/>
      </w:pPr>
      <w:r>
        <w:rPr>
          <w:rFonts w:ascii="仿宋_GB2312" w:hAnsi="仿宋_GB2312" w:cs="仿宋_GB2312" w:eastAsia="仿宋_GB2312"/>
        </w:rPr>
        <w:t>详见附件：3.整体服务方案.docx</w:t>
      </w:r>
    </w:p>
    <w:p>
      <w:pPr>
        <w:pStyle w:val="null3"/>
        <w:ind w:firstLine="960"/>
      </w:pPr>
      <w:r>
        <w:rPr>
          <w:rFonts w:ascii="仿宋_GB2312" w:hAnsi="仿宋_GB2312" w:cs="仿宋_GB2312" w:eastAsia="仿宋_GB2312"/>
        </w:rPr>
        <w:t>详见附件：4.教学管理制度.docx</w:t>
      </w:r>
    </w:p>
    <w:p>
      <w:pPr>
        <w:pStyle w:val="null3"/>
        <w:ind w:firstLine="960"/>
      </w:pPr>
      <w:r>
        <w:rPr>
          <w:rFonts w:ascii="仿宋_GB2312" w:hAnsi="仿宋_GB2312" w:cs="仿宋_GB2312" w:eastAsia="仿宋_GB2312"/>
        </w:rPr>
        <w:t>详见附件：5.”走出去“考察方案.docx</w:t>
      </w:r>
    </w:p>
    <w:p>
      <w:pPr>
        <w:pStyle w:val="null3"/>
        <w:ind w:firstLine="960"/>
      </w:pPr>
      <w:r>
        <w:rPr>
          <w:rFonts w:ascii="仿宋_GB2312" w:hAnsi="仿宋_GB2312" w:cs="仿宋_GB2312" w:eastAsia="仿宋_GB2312"/>
        </w:rPr>
        <w:t>详见附件：6.人员配置.docx</w:t>
      </w:r>
    </w:p>
    <w:p>
      <w:pPr>
        <w:pStyle w:val="null3"/>
        <w:ind w:firstLine="960"/>
      </w:pPr>
      <w:r>
        <w:rPr>
          <w:rFonts w:ascii="仿宋_GB2312" w:hAnsi="仿宋_GB2312" w:cs="仿宋_GB2312" w:eastAsia="仿宋_GB2312"/>
        </w:rPr>
        <w:t>详见附件：7.助教人员工作方案.docx</w:t>
      </w:r>
    </w:p>
    <w:p>
      <w:pPr>
        <w:pStyle w:val="null3"/>
        <w:ind w:firstLine="960"/>
      </w:pPr>
      <w:r>
        <w:rPr>
          <w:rFonts w:ascii="仿宋_GB2312" w:hAnsi="仿宋_GB2312" w:cs="仿宋_GB2312" w:eastAsia="仿宋_GB2312"/>
        </w:rPr>
        <w:t>详见附件：8.应急管理方案.docx</w:t>
      </w:r>
    </w:p>
    <w:p>
      <w:pPr>
        <w:pStyle w:val="null3"/>
        <w:ind w:firstLine="960"/>
      </w:pPr>
      <w:r>
        <w:rPr>
          <w:rFonts w:ascii="仿宋_GB2312" w:hAnsi="仿宋_GB2312" w:cs="仿宋_GB2312" w:eastAsia="仿宋_GB2312"/>
        </w:rPr>
        <w:t>详见附件：9.项目实施进度计划.docx</w:t>
      </w:r>
    </w:p>
    <w:p>
      <w:pPr>
        <w:pStyle w:val="null3"/>
        <w:ind w:firstLine="960"/>
      </w:pPr>
      <w:r>
        <w:rPr>
          <w:rFonts w:ascii="仿宋_GB2312" w:hAnsi="仿宋_GB2312" w:cs="仿宋_GB2312" w:eastAsia="仿宋_GB2312"/>
        </w:rPr>
        <w:t>详见附件：10.质量保障方案.docx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详见附件：12.一般资格要求及特殊资格要求.docx</w:t>
      </w:r>
    </w:p>
    <w:p>
      <w:pPr>
        <w:pStyle w:val="null3"/>
        <w:ind w:firstLine="960"/>
      </w:pPr>
      <w:r>
        <w:rPr>
          <w:rFonts w:ascii="仿宋_GB2312" w:hAnsi="仿宋_GB2312" w:cs="仿宋_GB2312" w:eastAsia="仿宋_GB2312"/>
        </w:rPr>
        <w:t>详见附件：13.供应商廉洁自律承诺书.docx</w:t>
      </w:r>
    </w:p>
    <w:p>
      <w:pPr>
        <w:pStyle w:val="null3"/>
        <w:ind w:firstLine="960"/>
      </w:pPr>
      <w:r>
        <w:rPr>
          <w:rFonts w:ascii="仿宋_GB2312" w:hAnsi="仿宋_GB2312" w:cs="仿宋_GB2312" w:eastAsia="仿宋_GB2312"/>
        </w:rPr>
        <w:t>详见附件：14.供应商企业关系关联承诺书.docx</w:t>
      </w:r>
    </w:p>
    <w:p>
      <w:pPr>
        <w:pStyle w:val="null3"/>
        <w:ind w:firstLine="960"/>
      </w:pPr>
      <w:r>
        <w:rPr>
          <w:rFonts w:ascii="仿宋_GB2312" w:hAnsi="仿宋_GB2312" w:cs="仿宋_GB2312" w:eastAsia="仿宋_GB2312"/>
        </w:rPr>
        <w:t>详见附件：15.陕西省政府采购供应商拒绝政府采购领域商业贿赂承诺书.docx</w:t>
      </w:r>
    </w:p>
    <w:p>
      <w:pPr>
        <w:pStyle w:val="null3"/>
        <w:ind w:firstLine="960"/>
      </w:pPr>
      <w:r>
        <w:rPr>
          <w:rFonts w:ascii="仿宋_GB2312" w:hAnsi="仿宋_GB2312" w:cs="仿宋_GB2312" w:eastAsia="仿宋_GB2312"/>
        </w:rPr>
        <w:t>详见附件：16.其他材料及供应商认为有必要说明、阐述的事项.docx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