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版本号：RDX-ZB2026第016号.1B220260722001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未成年人保护社工服务(三次)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RDX-ZB2026第016号.1B2</w:t>
      </w:r>
      <w:r>
        <w:br/>
      </w:r>
      <w:r>
        <w:br/>
      </w:r>
      <w:r>
        <w:br/>
      </w:r>
    </w:p>
    <w:p>
      <w:pPr>
        <w:pStyle w:val="null3"/>
        <w:jc w:val="center"/>
        <w:outlineLvl w:val="2"/>
      </w:pPr>
      <w:r>
        <w:rPr>
          <w:rFonts w:ascii="仿宋_GB2312" w:hAnsi="仿宋_GB2312" w:cs="仿宋_GB2312" w:eastAsia="仿宋_GB2312"/>
          <w:sz w:val="28"/>
          <w:b/>
        </w:rPr>
        <w:t>汉中市救助管理站</w:t>
      </w:r>
    </w:p>
    <w:p>
      <w:pPr>
        <w:pStyle w:val="null3"/>
        <w:jc w:val="center"/>
        <w:outlineLvl w:val="2"/>
      </w:pPr>
      <w:r>
        <w:rPr>
          <w:rFonts w:ascii="仿宋_GB2312" w:hAnsi="仿宋_GB2312" w:cs="仿宋_GB2312" w:eastAsia="仿宋_GB2312"/>
          <w:sz w:val="28"/>
          <w:b/>
        </w:rPr>
        <w:t>陕西容德轩项目管理有限公司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陕西容德轩项目管理有限公司</w:t>
      </w:r>
      <w:r>
        <w:rPr>
          <w:rFonts w:ascii="仿宋_GB2312" w:hAnsi="仿宋_GB2312" w:cs="仿宋_GB2312" w:eastAsia="仿宋_GB2312"/>
        </w:rPr>
        <w:t>（以下简称“代理机构”）受</w:t>
      </w:r>
      <w:r>
        <w:rPr>
          <w:rFonts w:ascii="仿宋_GB2312" w:hAnsi="仿宋_GB2312" w:cs="仿宋_GB2312" w:eastAsia="仿宋_GB2312"/>
        </w:rPr>
        <w:t>汉中市救助管理站</w:t>
      </w:r>
      <w:r>
        <w:rPr>
          <w:rFonts w:ascii="仿宋_GB2312" w:hAnsi="仿宋_GB2312" w:cs="仿宋_GB2312" w:eastAsia="仿宋_GB2312"/>
        </w:rPr>
        <w:t>委托，拟对</w:t>
      </w:r>
      <w:r>
        <w:rPr>
          <w:rFonts w:ascii="仿宋_GB2312" w:hAnsi="仿宋_GB2312" w:cs="仿宋_GB2312" w:eastAsia="仿宋_GB2312"/>
        </w:rPr>
        <w:t>未成年人保护社工服务(三次)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RDX-ZB2026第016号.1B2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未成年人保护社工服务(三次)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 xml:space="preserve"> 1）采购内容：（一）“童护提质计划”—重点困境儿童监护质量提升；（二）“未保强基计划”—基层未保队伍赋能与标准化建设 ；（三）“童爱聚能计划”—困境儿童社会资源协同联动；2）主要功能或目标： 针对汉中市农村留守、困境（散居孤儿、事实无人抚养）儿童群体特点与救助需求，以市未成年人保护中心为依托，充分发挥市级未成年人保护平台作用，引进专业社会组织为其提供第三方社工服务，参与全市困境（散居孤儿、事实无人抚养）儿童动态评估，加强家庭监护服务和监督，构建基层未成年人保护网络和开展困境未成年人救助帮扶等各项工作环节，切实维护困境儿童合法权益，打造具有特色的儿童福利保障和关爱服务品牌，促进我市未成年人保护事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采购包1（未成年人保护社工服务）：属于专门面向中小企业采购。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p>
      <w:pPr>
        <w:pStyle w:val="null3"/>
      </w:pPr>
      <w:r>
        <w:rPr>
          <w:rFonts w:ascii="仿宋_GB2312" w:hAnsi="仿宋_GB2312" w:cs="仿宋_GB2312" w:eastAsia="仿宋_GB2312"/>
        </w:rPr>
        <w:t>2、法定代表人或单位负责人授权书：法定代表人参加投标须提供《法定代表人身份证明》及身份证复印件；法定代表人授权他人参加投标，须提供《法定代表人授权委托书》、法人身份证复印件及委托代理人身份证复印件；</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4、非联合体投标：本项目不接受联合体投标（提供非联合体声明函）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汉中市救助管理站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汉中市汉台区西一环路418号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曾姜汇泽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17691269179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陕西容德轩项目管理有限公司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陕西省汉中市汉台区陕西省汉中市汉台区南关正街汉上第一街12号楼23层09号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18149167567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开户名称：陕西容德轩项目管理有限公司</w:t>
            </w:r>
          </w:p>
          <w:p>
            <w:pPr>
              <w:pStyle w:val="null3"/>
            </w:pPr>
            <w:r>
              <w:rPr>
                <w:rFonts w:ascii="仿宋_GB2312" w:hAnsi="仿宋_GB2312" w:cs="仿宋_GB2312" w:eastAsia="仿宋_GB2312"/>
              </w:rPr>
              <w:t>开户银行：中国工商银行汉中汉江路分理处</w:t>
            </w:r>
          </w:p>
          <w:p>
            <w:pPr>
              <w:pStyle w:val="null3"/>
            </w:pPr>
            <w:r>
              <w:rPr>
                <w:rFonts w:ascii="仿宋_GB2312" w:hAnsi="仿宋_GB2312" w:cs="仿宋_GB2312" w:eastAsia="仿宋_GB2312"/>
              </w:rPr>
              <w:t>银行账号：2606 0221 0920 0040 966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代理服务费收费标准：参考《国家发展改革委关于降低部分建设项目收费标准规范收费行为等有关问题的通知》（发改价格[2011]534号）文件及采购代理合同收取。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汉中市救助管理站</w:t>
      </w:r>
      <w:r>
        <w:rPr>
          <w:rFonts w:ascii="仿宋_GB2312" w:hAnsi="仿宋_GB2312" w:cs="仿宋_GB2312" w:eastAsia="仿宋_GB2312"/>
        </w:rPr>
        <w:t>和</w:t>
      </w:r>
      <w:r>
        <w:rPr>
          <w:rFonts w:ascii="仿宋_GB2312" w:hAnsi="仿宋_GB2312" w:cs="仿宋_GB2312" w:eastAsia="仿宋_GB2312"/>
        </w:rPr>
        <w:t>陕西容德轩项目管理有限公司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汉中市救助管理站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陕西容德轩项目管理有限公司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汉中市救助管理站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陕西容德轩项目管理有限公司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陕西容德轩项目管理有限公司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联系电话：18149167567</w:t>
      </w:r>
    </w:p>
    <w:p>
      <w:pPr>
        <w:pStyle w:val="null3"/>
      </w:pPr>
      <w:r>
        <w:rPr>
          <w:rFonts w:ascii="仿宋_GB2312" w:hAnsi="仿宋_GB2312" w:cs="仿宋_GB2312" w:eastAsia="仿宋_GB2312"/>
        </w:rPr>
        <w:t>地址：陕西省汉中市汉台区南关正街汉上第一街12号楼23层招标代理部</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针对汉中市农村留守、困境（散居孤儿、事实无人抚养）儿童群体特点与救助需求，以市未成年人保护中心为依托，充分发挥市级未成年人保护平台作用，引进专业社会组织为其提供第三方社工服务，参与全市困境（散居孤儿、事实无人抚养）儿童动态评估，加强家庭监护服务和监督，构建基层未成年人保护网络和开展困境未成年人救助帮扶等各项工作环节，切实维护困境儿童合法权益，打造具有特色的儿童福利保障和关爱服务品牌，促进我市未成年人保护事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未成年人保护社工服务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标的名称：未成年人保护社工服务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5"/>
              </w:rPr>
              <w:t>一、项目基本情况</w:t>
            </w:r>
          </w:p>
          <w:p>
            <w:pPr>
              <w:pStyle w:val="null3"/>
            </w:pPr>
            <w:r>
              <w:rPr>
                <w:rFonts w:ascii="仿宋_GB2312" w:hAnsi="仿宋_GB2312" w:cs="仿宋_GB2312" w:eastAsia="仿宋_GB2312"/>
                <w:sz w:val="15"/>
              </w:rPr>
              <w:t>1.项目名称：未成年人保护社工服务</w:t>
            </w:r>
          </w:p>
          <w:p>
            <w:pPr>
              <w:pStyle w:val="null3"/>
            </w:pPr>
            <w:r>
              <w:rPr>
                <w:rFonts w:ascii="仿宋_GB2312" w:hAnsi="仿宋_GB2312" w:cs="仿宋_GB2312" w:eastAsia="仿宋_GB2312"/>
                <w:sz w:val="15"/>
              </w:rPr>
              <w:t>2.服务期限：自合同签订之日起一年</w:t>
            </w:r>
          </w:p>
          <w:p>
            <w:pPr>
              <w:pStyle w:val="null3"/>
            </w:pPr>
            <w:r>
              <w:rPr>
                <w:rFonts w:ascii="仿宋_GB2312" w:hAnsi="仿宋_GB2312" w:cs="仿宋_GB2312" w:eastAsia="仿宋_GB2312"/>
                <w:sz w:val="15"/>
              </w:rPr>
              <w:t>3.质量要求：严格规范专业社工服务，切实提升困境儿童关爱帮扶质量</w:t>
            </w:r>
          </w:p>
          <w:p>
            <w:pPr>
              <w:pStyle w:val="null3"/>
            </w:pPr>
            <w:r>
              <w:rPr>
                <w:rFonts w:ascii="仿宋_GB2312" w:hAnsi="仿宋_GB2312" w:cs="仿宋_GB2312" w:eastAsia="仿宋_GB2312"/>
                <w:sz w:val="15"/>
              </w:rPr>
              <w:t>二、采购内容及要求（以下为实质性要求、供应商必须响应并满足采购要求）</w:t>
            </w:r>
          </w:p>
          <w:p>
            <w:pPr>
              <w:pStyle w:val="null3"/>
              <w:ind w:firstLine="640"/>
              <w:jc w:val="both"/>
            </w:pPr>
            <w:r>
              <w:rPr>
                <w:rFonts w:ascii="仿宋_GB2312" w:hAnsi="仿宋_GB2312" w:cs="仿宋_GB2312" w:eastAsia="仿宋_GB2312"/>
                <w:sz w:val="15"/>
              </w:rPr>
              <w:t>1、工作目标</w:t>
            </w:r>
          </w:p>
          <w:p>
            <w:pPr>
              <w:pStyle w:val="null3"/>
              <w:ind w:firstLine="640"/>
              <w:jc w:val="both"/>
            </w:pPr>
            <w:r>
              <w:rPr>
                <w:rFonts w:ascii="仿宋_GB2312" w:hAnsi="仿宋_GB2312" w:cs="仿宋_GB2312" w:eastAsia="仿宋_GB2312"/>
                <w:sz w:val="15"/>
              </w:rPr>
              <w:t>针对汉中市农村留守、困境（散居孤儿、事实无人抚养）儿童群体特点与救助需求，以市未成年人保护中心为依托，充分发挥市级未成年人保护平台作用，引进专业社会组织为其提供第三方社工服务，参与全市困境（散居孤儿、事实无人抚养）儿童动态评估，加强家庭监护服务和监督，构建基层未成年人保护网络和开展困境未成年人救助帮扶等各项工作环节，切实维护困境儿童合法权益，打造具有特色的儿童福利保障和关爱服务品牌，促进我市未成年人保护事业高质量发展。</w:t>
            </w:r>
          </w:p>
          <w:p>
            <w:pPr>
              <w:pStyle w:val="null3"/>
              <w:ind w:firstLine="640"/>
              <w:jc w:val="both"/>
            </w:pPr>
            <w:r>
              <w:rPr>
                <w:rFonts w:ascii="仿宋_GB2312" w:hAnsi="仿宋_GB2312" w:cs="仿宋_GB2312" w:eastAsia="仿宋_GB2312"/>
                <w:sz w:val="15"/>
              </w:rPr>
              <w:t>2、项目实施地与受益群体</w:t>
            </w:r>
          </w:p>
          <w:p>
            <w:pPr>
              <w:pStyle w:val="null3"/>
              <w:ind w:firstLine="640"/>
              <w:jc w:val="both"/>
            </w:pPr>
            <w:r>
              <w:rPr>
                <w:rFonts w:ascii="仿宋_GB2312" w:hAnsi="仿宋_GB2312" w:cs="仿宋_GB2312" w:eastAsia="仿宋_GB2312"/>
                <w:sz w:val="15"/>
              </w:rPr>
              <w:t>（一）本项目实施地为汉中市</w:t>
            </w:r>
          </w:p>
          <w:p>
            <w:pPr>
              <w:pStyle w:val="null3"/>
              <w:ind w:firstLine="640"/>
              <w:jc w:val="both"/>
            </w:pPr>
            <w:r>
              <w:rPr>
                <w:rFonts w:ascii="仿宋_GB2312" w:hAnsi="仿宋_GB2312" w:cs="仿宋_GB2312" w:eastAsia="仿宋_GB2312"/>
                <w:sz w:val="15"/>
              </w:rPr>
              <w:t>（二）受益群体为由于自身、家庭和外界原因而陷入基本生存、发展的危机，需要帮助的困境未成年人。主要包括社会散居孤儿、流浪乞讨未成年人、打拐解救未成年人、事实无人抚养儿童、困境留守儿童和流动儿童、受侵害受虐待的未成年人、因家庭贫困难以顺利成长和其他有需要帮扶的未成年人。</w:t>
            </w:r>
          </w:p>
          <w:p>
            <w:pPr>
              <w:pStyle w:val="null3"/>
              <w:ind w:firstLine="640"/>
              <w:jc w:val="both"/>
            </w:pPr>
            <w:r>
              <w:rPr>
                <w:rFonts w:ascii="仿宋_GB2312" w:hAnsi="仿宋_GB2312" w:cs="仿宋_GB2312" w:eastAsia="仿宋_GB2312"/>
                <w:sz w:val="15"/>
              </w:rPr>
              <w:t>3、主要服务内容</w:t>
            </w:r>
          </w:p>
          <w:p>
            <w:pPr>
              <w:pStyle w:val="null3"/>
              <w:ind w:firstLine="640"/>
              <w:jc w:val="both"/>
            </w:pPr>
            <w:r>
              <w:rPr>
                <w:rFonts w:ascii="仿宋_GB2312" w:hAnsi="仿宋_GB2312" w:cs="仿宋_GB2312" w:eastAsia="仿宋_GB2312"/>
                <w:sz w:val="15"/>
              </w:rPr>
              <w:t>（一）“童护提质计划”——重点困境儿童监护质量提升</w:t>
            </w:r>
          </w:p>
          <w:p>
            <w:pPr>
              <w:pStyle w:val="null3"/>
              <w:ind w:firstLine="640"/>
              <w:jc w:val="left"/>
            </w:pPr>
            <w:r>
              <w:rPr>
                <w:rFonts w:ascii="仿宋_GB2312" w:hAnsi="仿宋_GB2312" w:cs="仿宋_GB2312" w:eastAsia="仿宋_GB2312"/>
                <w:sz w:val="15"/>
              </w:rPr>
              <w:t>按照进一步健全留守儿童和困境儿童关爱服务体系的相关工作要求做好以下工作：</w:t>
            </w:r>
            <w:r>
              <w:rPr>
                <w:rFonts w:ascii="仿宋_GB2312" w:hAnsi="仿宋_GB2312" w:cs="仿宋_GB2312" w:eastAsia="仿宋_GB2312"/>
                <w:sz w:val="15"/>
                <w:b/>
              </w:rPr>
              <w:t>一是</w:t>
            </w:r>
            <w:r>
              <w:rPr>
                <w:rFonts w:ascii="仿宋_GB2312" w:hAnsi="仿宋_GB2312" w:cs="仿宋_GB2312" w:eastAsia="仿宋_GB2312"/>
                <w:sz w:val="15"/>
              </w:rPr>
              <w:t>采取“线上发现预警+线下走访评估+线下跟踪督导”的方式对全市重点困境儿童（孤儿、事实无人抚养儿童）定期进行走访监测评估，协助开展新增困境儿童生活照料和监护责任落实情况评估，并按照“一人一档”的原则建立完善救助帮扶档案，优化问题发现、反馈、跟踪处置流程，将监测评估发现的问题及时书面报告市民政局和市未成年人保护中心并反馈县区处置。</w:t>
            </w:r>
            <w:r>
              <w:rPr>
                <w:rFonts w:ascii="仿宋_GB2312" w:hAnsi="仿宋_GB2312" w:cs="仿宋_GB2312" w:eastAsia="仿宋_GB2312"/>
                <w:sz w:val="15"/>
                <w:b/>
              </w:rPr>
              <w:t>二是</w:t>
            </w:r>
            <w:r>
              <w:rPr>
                <w:rFonts w:ascii="仿宋_GB2312" w:hAnsi="仿宋_GB2312" w:cs="仿宋_GB2312" w:eastAsia="仿宋_GB2312"/>
                <w:sz w:val="15"/>
              </w:rPr>
              <w:t>针对遭受严重家暴、监护缺失/失当、心理创伤严重、涉案涉法等重点疑难个案，组建专项帮扶小组，实行“一人一策”定制化帮扶方案，开展定期入户探访、心理干预、法律援助、教育支持、监护重建等全方位服务，每月形成个案进展报告持续开展结果跟踪。</w:t>
            </w:r>
            <w:r>
              <w:rPr>
                <w:rFonts w:ascii="仿宋_GB2312" w:hAnsi="仿宋_GB2312" w:cs="仿宋_GB2312" w:eastAsia="仿宋_GB2312"/>
                <w:sz w:val="15"/>
                <w:b/>
              </w:rPr>
              <w:t>三是</w:t>
            </w:r>
            <w:r>
              <w:rPr>
                <w:rFonts w:ascii="仿宋_GB2312" w:hAnsi="仿宋_GB2312" w:cs="仿宋_GB2312" w:eastAsia="仿宋_GB2312"/>
                <w:sz w:val="15"/>
              </w:rPr>
              <w:t>为中心内救助、临时监护的流浪、困境儿童（包括转介至儿童福利院儿童）。按照未成年人类别、风险等级，提供心理辅导、情绪疏导、家庭教育、行为纠正、跟踪关爱等专业服务，记录个案服务情况。</w:t>
            </w:r>
            <w:r>
              <w:rPr>
                <w:rFonts w:ascii="仿宋_GB2312" w:hAnsi="仿宋_GB2312" w:cs="仿宋_GB2312" w:eastAsia="仿宋_GB2312"/>
                <w:sz w:val="15"/>
                <w:b/>
              </w:rPr>
              <w:t>四是</w:t>
            </w:r>
            <w:r>
              <w:rPr>
                <w:rFonts w:ascii="仿宋_GB2312" w:hAnsi="仿宋_GB2312" w:cs="仿宋_GB2312" w:eastAsia="仿宋_GB2312"/>
                <w:sz w:val="15"/>
              </w:rPr>
              <w:t>负责接听汉中市未成年人保护热线电话（0916-2312355），及时按责转介有关部门和单位，加强政策衔接、工作对接，共同做好重点疑难个案的商议处置，推动家庭保护、学校保护、社会保护、网络保护、政府保护、司法保护有效落实。</w:t>
            </w:r>
            <w:r>
              <w:rPr>
                <w:rFonts w:ascii="仿宋_GB2312" w:hAnsi="仿宋_GB2312" w:cs="仿宋_GB2312" w:eastAsia="仿宋_GB2312"/>
                <w:sz w:val="15"/>
                <w:b/>
              </w:rPr>
              <w:t>五是</w:t>
            </w:r>
            <w:r>
              <w:rPr>
                <w:rFonts w:ascii="仿宋_GB2312" w:hAnsi="仿宋_GB2312" w:cs="仿宋_GB2312" w:eastAsia="仿宋_GB2312"/>
                <w:sz w:val="15"/>
              </w:rPr>
              <w:t>协助相关部门指导村（社区）、儿童主任、社会工作者等履行强制报告责任，发现未成年人疑似遭受侵害等情形，第一时间向公安部门及时报告，做好信息记录和报告登记。</w:t>
            </w:r>
          </w:p>
          <w:p>
            <w:pPr>
              <w:pStyle w:val="null3"/>
              <w:ind w:firstLine="640"/>
              <w:jc w:val="left"/>
            </w:pPr>
            <w:r>
              <w:rPr>
                <w:rFonts w:ascii="仿宋_GB2312" w:hAnsi="仿宋_GB2312" w:cs="仿宋_GB2312" w:eastAsia="仿宋_GB2312"/>
                <w:sz w:val="15"/>
              </w:rPr>
              <w:t>（二）“未保强基计划”——基层未保队伍赋能与标准化建设</w:t>
            </w:r>
          </w:p>
          <w:p>
            <w:pPr>
              <w:pStyle w:val="null3"/>
              <w:ind w:firstLine="643"/>
              <w:jc w:val="left"/>
            </w:pPr>
            <w:r>
              <w:rPr>
                <w:rFonts w:ascii="仿宋_GB2312" w:hAnsi="仿宋_GB2312" w:cs="仿宋_GB2312" w:eastAsia="仿宋_GB2312"/>
                <w:sz w:val="15"/>
                <w:b/>
              </w:rPr>
              <w:t>一是</w:t>
            </w:r>
            <w:r>
              <w:rPr>
                <w:rFonts w:ascii="仿宋_GB2312" w:hAnsi="仿宋_GB2312" w:cs="仿宋_GB2312" w:eastAsia="仿宋_GB2312"/>
                <w:sz w:val="15"/>
              </w:rPr>
              <w:t>负责开发儿童主任、儿童督导员培训教程，为全市未成年人保护工作队伍示范培训提供支持，并指导各县区完成对基层儿童督导员、儿童主任的轮训全覆盖，助力基层儿童福利与未成年人保护工作能力提升。</w:t>
            </w:r>
            <w:r>
              <w:rPr>
                <w:rFonts w:ascii="仿宋_GB2312" w:hAnsi="仿宋_GB2312" w:cs="仿宋_GB2312" w:eastAsia="仿宋_GB2312"/>
                <w:sz w:val="15"/>
                <w:b/>
              </w:rPr>
              <w:t>二是</w:t>
            </w:r>
            <w:r>
              <w:rPr>
                <w:rFonts w:ascii="仿宋_GB2312" w:hAnsi="仿宋_GB2312" w:cs="仿宋_GB2312" w:eastAsia="仿宋_GB2312"/>
                <w:sz w:val="15"/>
              </w:rPr>
              <w:t>依托儿童福利信息系统做好困境儿童监测预警，负责对儿童福利信息系统进行数据更新、维护，全面掌握本市全部困境未成年人底数及分布情况，重点聚焦困境儿童、农村留守儿童等特殊儿童群体，建立健全上下互动、左右协同的信息动态监测工作机制，实行监测、预警、发现、报告、处置一体化闭环管理。</w:t>
            </w:r>
            <w:r>
              <w:rPr>
                <w:rFonts w:ascii="仿宋_GB2312" w:hAnsi="仿宋_GB2312" w:cs="仿宋_GB2312" w:eastAsia="仿宋_GB2312"/>
                <w:sz w:val="15"/>
                <w:b/>
              </w:rPr>
              <w:t>三是</w:t>
            </w:r>
            <w:r>
              <w:rPr>
                <w:rFonts w:ascii="仿宋_GB2312" w:hAnsi="仿宋_GB2312" w:cs="仿宋_GB2312" w:eastAsia="仿宋_GB2312"/>
                <w:sz w:val="15"/>
              </w:rPr>
              <w:t>协助完善汉中市未成年人保护服务流程，联合推进汉中市未成年人保护工作标准化建设。指导县区未保中心完善服务功能，规范临时监护、个案处置、资源链接、队伍建设等工作流程。</w:t>
            </w:r>
          </w:p>
          <w:p>
            <w:pPr>
              <w:pStyle w:val="null3"/>
              <w:ind w:firstLine="640"/>
              <w:jc w:val="both"/>
            </w:pPr>
            <w:r>
              <w:rPr>
                <w:rFonts w:ascii="仿宋_GB2312" w:hAnsi="仿宋_GB2312" w:cs="仿宋_GB2312" w:eastAsia="仿宋_GB2312"/>
                <w:sz w:val="15"/>
              </w:rPr>
              <w:t>（三）“童爱聚能计划”——困境儿童社会资源协同联动</w:t>
            </w:r>
          </w:p>
          <w:p>
            <w:pPr>
              <w:pStyle w:val="null3"/>
              <w:ind w:firstLine="643"/>
              <w:jc w:val="both"/>
            </w:pPr>
            <w:r>
              <w:rPr>
                <w:rFonts w:ascii="仿宋_GB2312" w:hAnsi="仿宋_GB2312" w:cs="仿宋_GB2312" w:eastAsia="仿宋_GB2312"/>
                <w:sz w:val="15"/>
                <w:b/>
              </w:rPr>
              <w:t>一是</w:t>
            </w:r>
            <w:r>
              <w:rPr>
                <w:rFonts w:ascii="仿宋_GB2312" w:hAnsi="仿宋_GB2312" w:cs="仿宋_GB2312" w:eastAsia="仿宋_GB2312"/>
                <w:sz w:val="15"/>
              </w:rPr>
              <w:t>指导镇（办）未保站、社区（村）儿童之家发挥职能作用，积极链接公益慈善资源，加快儿童之家等服务阵地建设，为各类困境儿童及其家庭提供公益服务。</w:t>
            </w:r>
            <w:r>
              <w:rPr>
                <w:rFonts w:ascii="仿宋_GB2312" w:hAnsi="仿宋_GB2312" w:cs="仿宋_GB2312" w:eastAsia="仿宋_GB2312"/>
                <w:sz w:val="15"/>
                <w:b/>
              </w:rPr>
              <w:t>二是</w:t>
            </w:r>
            <w:r>
              <w:rPr>
                <w:rFonts w:ascii="仿宋_GB2312" w:hAnsi="仿宋_GB2312" w:cs="仿宋_GB2312" w:eastAsia="仿宋_GB2312"/>
                <w:sz w:val="15"/>
              </w:rPr>
              <w:t>依托市未保中心阵地建设，打造本地儿童关爱品牌服务，积极引导社会工作专业服务机构、公益慈善组织等社会力量根据儿童具体需求实施关爱服务项目，为各类困境儿童及其家庭提供专业服务开展以儿童安全、法制教育、心理关爱等为主题的困境儿童关爱示范活动，营造良好的社会氛围。</w:t>
            </w:r>
            <w:r>
              <w:rPr>
                <w:rFonts w:ascii="仿宋_GB2312" w:hAnsi="仿宋_GB2312" w:cs="仿宋_GB2312" w:eastAsia="仿宋_GB2312"/>
                <w:sz w:val="15"/>
                <w:b/>
              </w:rPr>
              <w:t>三是</w:t>
            </w:r>
            <w:r>
              <w:rPr>
                <w:rFonts w:ascii="仿宋_GB2312" w:hAnsi="仿宋_GB2312" w:cs="仿宋_GB2312" w:eastAsia="仿宋_GB2312"/>
                <w:sz w:val="15"/>
              </w:rPr>
              <w:t>在留守儿童、困境儿童相对集中的区域开展预防校园欺凌和预防性侵害安全教育系列课程，增强儿童的自我保护意识。开展社会力量广泛参与的有益于困境未成年人参加的团体辅导、文体娱乐活动、公益活动和社会实践活动，助力困境儿童健康成长。</w:t>
            </w:r>
            <w:r>
              <w:rPr>
                <w:rFonts w:ascii="仿宋_GB2312" w:hAnsi="仿宋_GB2312" w:cs="仿宋_GB2312" w:eastAsia="仿宋_GB2312"/>
                <w:sz w:val="15"/>
                <w:b/>
              </w:rPr>
              <w:t>四是</w:t>
            </w:r>
            <w:r>
              <w:rPr>
                <w:rFonts w:ascii="仿宋_GB2312" w:hAnsi="仿宋_GB2312" w:cs="仿宋_GB2312" w:eastAsia="仿宋_GB2312"/>
                <w:sz w:val="15"/>
              </w:rPr>
              <w:t>协助开展未成年人保护法律法规及儿童福利政策宣传、社会倡导活动，引导和鼓励社会各界从多方位、多层面、多渠道参与和支持困境儿童救助保护工作。</w:t>
            </w:r>
            <w:r>
              <w:rPr>
                <w:rFonts w:ascii="仿宋_GB2312" w:hAnsi="仿宋_GB2312" w:cs="仿宋_GB2312" w:eastAsia="仿宋_GB2312"/>
                <w:sz w:val="15"/>
                <w:b/>
              </w:rPr>
              <w:t>五是</w:t>
            </w:r>
            <w:r>
              <w:rPr>
                <w:rFonts w:ascii="仿宋_GB2312" w:hAnsi="仿宋_GB2312" w:cs="仿宋_GB2312" w:eastAsia="仿宋_GB2312"/>
                <w:sz w:val="15"/>
              </w:rPr>
              <w:t>定期总结提炼未保服务经验，提升服务影响力和示范性。</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人员配置满足本项目服务需求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设施设备配置满足本项目服务要求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符合国家法律法规及行业相关标准要求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进度款，在合同生效之日起 ，达到付款条件起10个工作日内，支付合同总金额的40.0%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进度款，在完成中期考核合格后 ，达到付款条件起10个工作日内，支付合同总金额的40.0%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在末期评估合格后拨付（末期评估结果为不合格，乙方根据评估意见进行整改，甲方认可整改结果后，拨付剩余购买服务经费；乙方未依约按时整改完毕，或甲方不认可整改结果的，第三笔购买服务经费暂缓支付，暂缓支付期间乙方应继续履行合同项下的服务义务，直至乙方按照甲方要求完成整改并经甲方书面认可整改结果后才予以支付第三笔服务经费） ，达到付款条件起10个工作日内，支付合同总金额的20.0%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非实质性偏离：非实质性偏差不影响投标文件的有效性。以下情况属于非实质性偏差：1.文字表述的内容含义不明确的；2.同类问题表述不一致的；3.有明显文字和计算错误的；4.提供的技术信息和资料不完整的；5.磋商小组认定的其他非实质性偏差。二、无效投标情形： 供应商或磋商响应文件存在下列情况之一的为无效投标： 1．供应商名称与注册证照名称不符的； 2．不具备磋商文件规定的资格条件或证明材料无效或不全的； 3．无投标有效期或投标有效期不足的； 4．执行标准明显低于采购需求的； 5．不能实质性响应磋商文件采购内容的； 6．报价明显低于其他合格投标供应商的报价，并在现场规定的时间内不能提供有效证明材料且经磋商小组认定形成不正当竞争的； 7．提供虚假证明，开具虚假资质，出现虚假应答或故意隐瞒行为的，除按无效投标处理外还按政府采购相关规定进行相应的处罚； 8．不符合法律、法规和磋商文件规定的其他无效情形。三、采用银行转账缴纳磋商保证金的供应商须备注项目名称；采用电子保函提交磋商保证金的供应商，须在投标响应文件提交截止时间前将电子保函发送至邮箱369655531@qq.com，代理机构收到保函后将由财务处出具保函接收凭证。四、成交供应商在领取成交通知书时，须提交纸质磋商响应文件正本壹份、副本贰份、电子版壹份（U盘壹份注明单位名称），内容和通过电子化交易平台提交的磋商响应文件一致；纸质投标文件正副本分别胶装成册，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事业法人应提供事业单位法人证、组织机构代码证等证明文件，其他组织应提供相应的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法定代表人参加投标须提供《法定代表人身份证明》及身份证复印件；法定代表人授权他人参加投标，须提供《法定代表人授权委托书》、法人身份证复印件及委托代理人身份证复印件；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本项目不接受联合体投标（提供非联合体声明函）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应符合投标响应文件的签署及盖章规定；</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其他证明材料.docx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1.报价未超过采购包最高限价且报价唯一； 2.报价货币符合招标文件要求。</w:t>
            </w:r>
          </w:p>
        </w:tc>
        <w:tc>
          <w:tcPr>
            <w:tcW w:type="dxa" w:w="1661"/>
          </w:tcPr>
          <w:p>
            <w:pPr>
              <w:pStyle w:val="null3"/>
            </w:pPr>
            <w:r>
              <w:rPr>
                <w:rFonts w:ascii="仿宋_GB2312" w:hAnsi="仿宋_GB2312" w:cs="仿宋_GB2312" w:eastAsia="仿宋_GB2312"/>
              </w:rPr>
              <w:t>标的清单 服务内容及服务要求应答表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其他证明材料.docx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一、评审内容：针对本项目提出适用于本项目的整体服务方案,方案包括： ①服务目标 ②服务计划 ③服务流程 ④服务进度安排⑤服务理念及特色 。二、评审标准（每一项）（1）方案完整、针对性强、可实施性高，得2.5分。 （2）方案基本完整、具有一定的针对性、可实施性，得1.5分。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12.5000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管理制度方案</w:t>
            </w:r>
          </w:p>
        </w:tc>
        <w:tc>
          <w:tcPr>
            <w:tcW w:type="dxa" w:w="2492"/>
          </w:tcPr>
          <w:p>
            <w:pPr>
              <w:pStyle w:val="null3"/>
            </w:pPr>
            <w:r>
              <w:rPr>
                <w:rFonts w:ascii="仿宋_GB2312" w:hAnsi="仿宋_GB2312" w:cs="仿宋_GB2312" w:eastAsia="仿宋_GB2312"/>
              </w:rPr>
              <w:t>一、评审内容：供应商针对本项目具有良好的管理制度，包含： ① 服务质量和现场管控 ② 内控制度：管理组织机构、问责机制、监督机制、自查制度 ③人员管理制度;具有员工日常管理办法、请销假制度、奖惩措施、 激励机制、仪容仪表制度。二、评审标准 （每一项） （1）方案完整、针对性强、可实施性高，得2.5分。 （2）方案基本完整、具有一定的针对性、可实施性，得1.5分。 （3）方案完整性较为全面、针对性、可实施性差，得0.5分。（4）缺乏针对性、可实施性、完整性，得0—0.5分。 （5）未提供的不得分。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一、评审内容：需提供针对本项目的应急措施： ①应急响应保障人员 ②应急响应保障方案③应急响应时效 ④应急响应方法。二、评审标准（每一项）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提供针对未成年人保护对象档案管理的建立，包含：① 档案归集与日常管理；②档案安全与保密管控；③档案动态维护与跟踪服务。二、评审标准 （每一项）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针对本项目提供完善的服务保障措施，包括: ①项目进度保障措施； ②服务期限及服务过程中的人员到岗情况； ③服务质量保障承诺。二、评审标准（每一项） （1）方案完整、针对性强、可实施性高，得2分。 （2）方案基本完整、具有一定的针对性、可实施性，得1分。 （3）方案完整性较为全面、针对性、可实施性差，得0.5分。 （4）缺乏针对性、可实施性、完整性，得0—0.5分。 （5）未提供的不得分。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拟派项目团队人员</w:t>
            </w:r>
          </w:p>
        </w:tc>
        <w:tc>
          <w:tcPr>
            <w:tcW w:type="dxa" w:w="2492"/>
          </w:tcPr>
          <w:p>
            <w:pPr>
              <w:pStyle w:val="null3"/>
            </w:pPr>
            <w:r>
              <w:rPr>
                <w:rFonts w:ascii="仿宋_GB2312" w:hAnsi="仿宋_GB2312" w:cs="仿宋_GB2312" w:eastAsia="仿宋_GB2312"/>
              </w:rPr>
              <w:t>① 拟投入本项目专业技术团队配置合理，配备完成本项目所须的相关专业人员，每配备1人得1.5分，最多得15分。 ②拟派项目负责人具有三年及以上类似工作经验得3分，三年以下二年及以上工作经验得2分，二年以下工作经验得1分。评审依据：以供应商提供的人员职称证或资格证书（社会工作者职业资格证/心理咨询职业资格证书/教师资格证等）、劳务合同等复印件并加盖单位公章，经验时间以项目负责人取得职称证或资格证书时间为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社会组织评估</w:t>
            </w:r>
          </w:p>
        </w:tc>
        <w:tc>
          <w:tcPr>
            <w:tcW w:type="dxa" w:w="2492"/>
          </w:tcPr>
          <w:p>
            <w:pPr>
              <w:pStyle w:val="null3"/>
            </w:pPr>
            <w:r>
              <w:rPr>
                <w:rFonts w:ascii="仿宋_GB2312" w:hAnsi="仿宋_GB2312" w:cs="仿宋_GB2312" w:eastAsia="仿宋_GB2312"/>
              </w:rPr>
              <w:t>投标供应商具有 3A 级以上评估等级证书的，得3分。 评审依据：以供应商提供的证书复印件并加盖单位公章为准。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 年 1 月 1 日起至今，具有类似项目业绩，每提供一份有效业绩证明材料得2.5分，最多得5分。（时间以合同签订或中标（成交）通知书日期为准，响应文件中附加盖公章的合同或中标（成交）通知书复印件，否则不作为评审依据）。</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工作用车保障</w:t>
            </w:r>
          </w:p>
        </w:tc>
        <w:tc>
          <w:tcPr>
            <w:tcW w:type="dxa" w:w="2492"/>
          </w:tcPr>
          <w:p>
            <w:pPr>
              <w:pStyle w:val="null3"/>
            </w:pPr>
            <w:r>
              <w:rPr>
                <w:rFonts w:ascii="仿宋_GB2312" w:hAnsi="仿宋_GB2312" w:cs="仿宋_GB2312" w:eastAsia="仿宋_GB2312"/>
              </w:rPr>
              <w:t>一、评审内容： 供应商结合项目实际情况提供车辆及驾驶人员相关证明材料，自有、租赁车辆均可，每提供1台符合要求的车辆得2分，最多得4分。 单台车辆需同时满足以下要求：1. 提供车辆行驶证，信息清晰可辨；2. 提供车辆审验合格证明，且在有效期内；3. 提供车辆保险单据，险种齐全且在保期内；4. 提供对应驾驶人员有效驾驶证，准驾车型和所驾车辆相符；5.租赁车辆需提供覆盖项目服务周期的租赁协议。 评审依据：以供应商提供并加盖单位公章的证明材料复印件为准，资料缺失、证件过期、信息不符或缺少任一材料的，该车辆不得分。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满足磋商文件要求且投标价格最低的投标报价为评标基准价，其价格分为满分。其他投标供应商的价格分统一按照下列公式计算：投标报价得分=(磋商基准价／磋商评审价 )×30%×100 。</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详见附件：其他证明材料.docx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