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091810">
      <w:pPr>
        <w:pStyle w:val="2"/>
        <w:bidi w:val="0"/>
        <w:ind w:firstLine="0" w:firstLineChars="0"/>
        <w:jc w:val="center"/>
        <w:rPr>
          <w:rFonts w:hint="eastAsia" w:ascii="宋体" w:hAnsi="宋体" w:eastAsia="宋体" w:cs="宋体"/>
          <w:b w:val="0"/>
          <w:color w:val="auto"/>
          <w:szCs w:val="32"/>
          <w:highlight w:val="none"/>
        </w:rPr>
      </w:pPr>
      <w:bookmarkStart w:id="0" w:name="_Toc17511"/>
      <w:bookmarkStart w:id="1" w:name="_Toc30038"/>
      <w:bookmarkStart w:id="2" w:name="_Toc771"/>
      <w:bookmarkStart w:id="3" w:name="_Toc6183"/>
      <w:r>
        <w:rPr>
          <w:rFonts w:hint="eastAsia"/>
          <w:color w:val="auto"/>
          <w:highlight w:val="none"/>
        </w:rPr>
        <w:t xml:space="preserve">第三章  </w:t>
      </w:r>
      <w:bookmarkEnd w:id="0"/>
      <w:r>
        <w:rPr>
          <w:rFonts w:hint="eastAsia"/>
          <w:color w:val="auto"/>
          <w:highlight w:val="none"/>
        </w:rPr>
        <w:t>技术标准与要求</w:t>
      </w:r>
      <w:bookmarkEnd w:id="1"/>
      <w:bookmarkEnd w:id="2"/>
      <w:bookmarkEnd w:id="3"/>
    </w:p>
    <w:p w14:paraId="392C4435">
      <w:pPr>
        <w:keepNext w:val="0"/>
        <w:keepLines w:val="0"/>
        <w:pageBreakBefore w:val="0"/>
        <w:numPr>
          <w:ilvl w:val="0"/>
          <w:numId w:val="0"/>
        </w:numPr>
        <w:kinsoku/>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一、</w:t>
      </w:r>
      <w:r>
        <w:rPr>
          <w:rFonts w:hint="eastAsia" w:ascii="宋体" w:hAnsi="宋体" w:eastAsia="宋体" w:cs="宋体"/>
          <w:b/>
          <w:bCs/>
          <w:color w:val="auto"/>
          <w:sz w:val="24"/>
          <w:szCs w:val="24"/>
          <w:highlight w:val="none"/>
          <w:lang w:val="en-US" w:eastAsia="zh-CN"/>
        </w:rPr>
        <w:t>项目概况</w:t>
      </w:r>
    </w:p>
    <w:p w14:paraId="2F2D39FB">
      <w:pPr>
        <w:keepNext w:val="0"/>
        <w:keepLines w:val="0"/>
        <w:pageBreakBefore w:val="0"/>
        <w:numPr>
          <w:ilvl w:val="0"/>
          <w:numId w:val="0"/>
        </w:numPr>
        <w:kinsoku/>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（一）主要工作内容：</w:t>
      </w:r>
    </w:p>
    <w:p w14:paraId="592D5453">
      <w:pPr>
        <w:keepNext w:val="0"/>
        <w:keepLines w:val="0"/>
        <w:pageBreakBefore w:val="0"/>
        <w:numPr>
          <w:ilvl w:val="0"/>
          <w:numId w:val="0"/>
        </w:numPr>
        <w:kinsoku/>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在园办市政公园及广场范围内已移交及待移交区域的环境秩序管理工作。包括公共财产保全、公共秩序维护、安全生产管理、</w:t>
      </w:r>
      <w:r>
        <w:rPr>
          <w:rFonts w:hint="eastAsia" w:ascii="宋体" w:hAnsi="宋体" w:eastAsia="宋体" w:cs="宋体"/>
          <w:color w:val="auto"/>
          <w:kern w:val="2"/>
          <w:sz w:val="24"/>
          <w:szCs w:val="24"/>
          <w:highlight w:val="none"/>
          <w:vertAlign w:val="baseline"/>
          <w:lang w:val="en-US" w:eastAsia="zh-CN" w:bidi="ar-SA"/>
        </w:rPr>
        <w:t>景区内保洁、绿化及设施巡查</w:t>
      </w:r>
      <w:r>
        <w:rPr>
          <w:rFonts w:hint="eastAsia" w:ascii="宋体" w:hAnsi="宋体" w:eastAsia="宋体" w:cs="宋体"/>
          <w:b w:val="0"/>
          <w:bCs w:val="0"/>
          <w:color w:val="auto"/>
          <w:sz w:val="24"/>
          <w:szCs w:val="24"/>
          <w:highlight w:val="none"/>
          <w:lang w:val="en-US" w:eastAsia="zh-CN"/>
        </w:rPr>
        <w:t>等工作，对项目范围内的各类紧急情况进行应急处置。</w:t>
      </w:r>
    </w:p>
    <w:p w14:paraId="07BC0EC5">
      <w:pPr>
        <w:keepNext w:val="0"/>
        <w:keepLines w:val="0"/>
        <w:pageBreakBefore w:val="0"/>
        <w:numPr>
          <w:ilvl w:val="0"/>
          <w:numId w:val="0"/>
        </w:numPr>
        <w:kinsoku/>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kern w:val="2"/>
          <w:sz w:val="24"/>
          <w:szCs w:val="24"/>
          <w:lang w:val="en-US" w:eastAsia="zh-CN" w:bidi="ar-SA"/>
        </w:rPr>
        <w:t>（二）</w:t>
      </w:r>
      <w:r>
        <w:rPr>
          <w:rFonts w:hint="eastAsia" w:ascii="宋体" w:hAnsi="宋体" w:eastAsia="宋体" w:cs="宋体"/>
          <w:b/>
          <w:bCs/>
          <w:color w:val="auto"/>
          <w:sz w:val="24"/>
          <w:szCs w:val="24"/>
          <w:highlight w:val="none"/>
          <w:lang w:val="en-US" w:eastAsia="zh-CN"/>
        </w:rPr>
        <w:t>服务量清单</w:t>
      </w:r>
    </w:p>
    <w:p w14:paraId="2D703E9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市政公园及广场安防岗位安排表</w:t>
      </w:r>
    </w:p>
    <w:tbl>
      <w:tblPr>
        <w:tblStyle w:val="6"/>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23"/>
        <w:gridCol w:w="719"/>
        <w:gridCol w:w="706"/>
        <w:gridCol w:w="729"/>
        <w:gridCol w:w="857"/>
        <w:gridCol w:w="735"/>
        <w:gridCol w:w="779"/>
        <w:gridCol w:w="672"/>
        <w:gridCol w:w="712"/>
        <w:gridCol w:w="629"/>
        <w:gridCol w:w="1570"/>
      </w:tblGrid>
      <w:tr w14:paraId="0959C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jc w:val="center"/>
        </w:trPr>
        <w:tc>
          <w:tcPr>
            <w:tcW w:w="746" w:type="pct"/>
            <w:vMerge w:val="restart"/>
            <w:noWrap w:val="0"/>
            <w:tcMar>
              <w:top w:w="15" w:type="dxa"/>
              <w:left w:w="15" w:type="dxa"/>
              <w:right w:w="15" w:type="dxa"/>
            </w:tcMar>
            <w:vAlign w:val="center"/>
          </w:tcPr>
          <w:p w14:paraId="2FB7BCE4">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区域</w:t>
            </w:r>
          </w:p>
        </w:tc>
        <w:tc>
          <w:tcPr>
            <w:tcW w:w="747" w:type="pct"/>
            <w:gridSpan w:val="2"/>
            <w:noWrap w:val="0"/>
            <w:tcMar>
              <w:top w:w="15" w:type="dxa"/>
              <w:left w:w="15" w:type="dxa"/>
              <w:right w:w="15" w:type="dxa"/>
            </w:tcMar>
            <w:vAlign w:val="center"/>
          </w:tcPr>
          <w:p w14:paraId="213404B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淡季</w:t>
            </w:r>
          </w:p>
          <w:p w14:paraId="5FD6FE6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11月-3月</w:t>
            </w:r>
            <w:r>
              <w:rPr>
                <w:rFonts w:hint="eastAsia" w:ascii="宋体" w:hAnsi="宋体" w:eastAsia="宋体" w:cs="宋体"/>
                <w:color w:val="auto"/>
                <w:sz w:val="24"/>
                <w:szCs w:val="24"/>
                <w:highlight w:val="none"/>
                <w:lang w:eastAsia="zh-CN"/>
              </w:rPr>
              <w:t>）</w:t>
            </w:r>
          </w:p>
        </w:tc>
        <w:tc>
          <w:tcPr>
            <w:tcW w:w="382" w:type="pct"/>
            <w:vMerge w:val="restart"/>
            <w:noWrap w:val="0"/>
            <w:tcMar>
              <w:top w:w="15" w:type="dxa"/>
              <w:left w:w="15" w:type="dxa"/>
              <w:right w:w="15" w:type="dxa"/>
            </w:tcMar>
            <w:vAlign w:val="center"/>
          </w:tcPr>
          <w:p w14:paraId="50C9AFA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449" w:type="pct"/>
            <w:vMerge w:val="restart"/>
            <w:noWrap w:val="0"/>
            <w:tcMar>
              <w:top w:w="15" w:type="dxa"/>
              <w:left w:w="15" w:type="dxa"/>
              <w:right w:w="15" w:type="dxa"/>
            </w:tcMar>
            <w:vAlign w:val="center"/>
          </w:tcPr>
          <w:p w14:paraId="4A5005F4">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总计</w:t>
            </w:r>
          </w:p>
        </w:tc>
        <w:tc>
          <w:tcPr>
            <w:tcW w:w="794" w:type="pct"/>
            <w:gridSpan w:val="2"/>
            <w:noWrap w:val="0"/>
            <w:tcMar>
              <w:top w:w="15" w:type="dxa"/>
              <w:left w:w="15" w:type="dxa"/>
              <w:right w:w="15" w:type="dxa"/>
            </w:tcMar>
            <w:vAlign w:val="center"/>
          </w:tcPr>
          <w:p w14:paraId="361F9CDB">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旺季</w:t>
            </w:r>
          </w:p>
          <w:p w14:paraId="36A850B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4月-10月</w:t>
            </w:r>
            <w:r>
              <w:rPr>
                <w:rFonts w:hint="eastAsia" w:ascii="宋体" w:hAnsi="宋体" w:eastAsia="宋体" w:cs="宋体"/>
                <w:color w:val="auto"/>
                <w:sz w:val="24"/>
                <w:szCs w:val="24"/>
                <w:highlight w:val="none"/>
                <w:lang w:eastAsia="zh-CN"/>
              </w:rPr>
              <w:t>）</w:t>
            </w:r>
          </w:p>
        </w:tc>
        <w:tc>
          <w:tcPr>
            <w:tcW w:w="352" w:type="pct"/>
            <w:vMerge w:val="restart"/>
            <w:noWrap w:val="0"/>
            <w:tcMar>
              <w:top w:w="15" w:type="dxa"/>
              <w:left w:w="15" w:type="dxa"/>
              <w:right w:w="15" w:type="dxa"/>
            </w:tcMar>
            <w:vAlign w:val="center"/>
          </w:tcPr>
          <w:p w14:paraId="5020DC3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373" w:type="pct"/>
            <w:vMerge w:val="restart"/>
            <w:noWrap w:val="0"/>
            <w:tcMar>
              <w:top w:w="15" w:type="dxa"/>
              <w:left w:w="15" w:type="dxa"/>
              <w:right w:w="15" w:type="dxa"/>
            </w:tcMar>
            <w:vAlign w:val="center"/>
          </w:tcPr>
          <w:p w14:paraId="608C053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总计</w:t>
            </w:r>
          </w:p>
        </w:tc>
        <w:tc>
          <w:tcPr>
            <w:tcW w:w="330" w:type="pct"/>
            <w:vMerge w:val="restart"/>
            <w:noWrap w:val="0"/>
            <w:tcMar>
              <w:top w:w="15" w:type="dxa"/>
              <w:left w:w="15" w:type="dxa"/>
              <w:right w:w="15" w:type="dxa"/>
            </w:tcMar>
            <w:vAlign w:val="center"/>
          </w:tcPr>
          <w:p w14:paraId="5DB609FE">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节假日增派</w:t>
            </w:r>
          </w:p>
        </w:tc>
        <w:tc>
          <w:tcPr>
            <w:tcW w:w="823" w:type="pct"/>
            <w:vMerge w:val="restart"/>
            <w:noWrap w:val="0"/>
            <w:tcMar>
              <w:top w:w="15" w:type="dxa"/>
              <w:left w:w="15" w:type="dxa"/>
              <w:right w:w="15" w:type="dxa"/>
            </w:tcMar>
            <w:vAlign w:val="center"/>
          </w:tcPr>
          <w:p w14:paraId="55D822E2">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r>
      <w:tr w14:paraId="41A81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87" w:hRule="atLeast"/>
          <w:jc w:val="center"/>
        </w:trPr>
        <w:tc>
          <w:tcPr>
            <w:tcW w:w="746" w:type="pct"/>
            <w:vMerge w:val="continue"/>
            <w:noWrap w:val="0"/>
            <w:tcMar>
              <w:top w:w="15" w:type="dxa"/>
              <w:left w:w="15" w:type="dxa"/>
              <w:right w:w="15" w:type="dxa"/>
            </w:tcMar>
            <w:vAlign w:val="center"/>
          </w:tcPr>
          <w:p w14:paraId="6945616E">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377" w:type="pct"/>
            <w:noWrap w:val="0"/>
            <w:tcMar>
              <w:top w:w="15" w:type="dxa"/>
              <w:left w:w="15" w:type="dxa"/>
              <w:right w:w="15" w:type="dxa"/>
            </w:tcMar>
            <w:vAlign w:val="center"/>
          </w:tcPr>
          <w:p w14:paraId="14ABB22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白班</w:t>
            </w:r>
          </w:p>
        </w:tc>
        <w:tc>
          <w:tcPr>
            <w:tcW w:w="370" w:type="pct"/>
            <w:noWrap w:val="0"/>
            <w:tcMar>
              <w:top w:w="15" w:type="dxa"/>
              <w:left w:w="15" w:type="dxa"/>
              <w:right w:w="15" w:type="dxa"/>
            </w:tcMar>
            <w:vAlign w:val="center"/>
          </w:tcPr>
          <w:p w14:paraId="1237CFB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夜班</w:t>
            </w:r>
          </w:p>
        </w:tc>
        <w:tc>
          <w:tcPr>
            <w:tcW w:w="382" w:type="pct"/>
            <w:vMerge w:val="continue"/>
            <w:noWrap w:val="0"/>
            <w:tcMar>
              <w:top w:w="15" w:type="dxa"/>
              <w:left w:w="15" w:type="dxa"/>
              <w:right w:w="15" w:type="dxa"/>
            </w:tcMar>
            <w:vAlign w:val="center"/>
          </w:tcPr>
          <w:p w14:paraId="0D4D3E46">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449" w:type="pct"/>
            <w:vMerge w:val="continue"/>
            <w:noWrap w:val="0"/>
            <w:tcMar>
              <w:top w:w="15" w:type="dxa"/>
              <w:left w:w="15" w:type="dxa"/>
              <w:right w:w="15" w:type="dxa"/>
            </w:tcMar>
            <w:vAlign w:val="center"/>
          </w:tcPr>
          <w:p w14:paraId="687BA6B9">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385" w:type="pct"/>
            <w:noWrap w:val="0"/>
            <w:tcMar>
              <w:top w:w="15" w:type="dxa"/>
              <w:left w:w="15" w:type="dxa"/>
              <w:right w:w="15" w:type="dxa"/>
            </w:tcMar>
            <w:vAlign w:val="center"/>
          </w:tcPr>
          <w:p w14:paraId="1935322E">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白班</w:t>
            </w:r>
          </w:p>
        </w:tc>
        <w:tc>
          <w:tcPr>
            <w:tcW w:w="408" w:type="pct"/>
            <w:noWrap w:val="0"/>
            <w:tcMar>
              <w:top w:w="15" w:type="dxa"/>
              <w:left w:w="15" w:type="dxa"/>
              <w:right w:w="15" w:type="dxa"/>
            </w:tcMar>
            <w:vAlign w:val="center"/>
          </w:tcPr>
          <w:p w14:paraId="745CE41A">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夜班</w:t>
            </w:r>
          </w:p>
        </w:tc>
        <w:tc>
          <w:tcPr>
            <w:tcW w:w="352" w:type="pct"/>
            <w:vMerge w:val="continue"/>
            <w:noWrap w:val="0"/>
            <w:tcMar>
              <w:top w:w="15" w:type="dxa"/>
              <w:left w:w="15" w:type="dxa"/>
              <w:right w:w="15" w:type="dxa"/>
            </w:tcMar>
            <w:vAlign w:val="center"/>
          </w:tcPr>
          <w:p w14:paraId="6F74EF5C">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373" w:type="pct"/>
            <w:vMerge w:val="continue"/>
            <w:noWrap w:val="0"/>
            <w:tcMar>
              <w:top w:w="15" w:type="dxa"/>
              <w:left w:w="15" w:type="dxa"/>
              <w:right w:w="15" w:type="dxa"/>
            </w:tcMar>
            <w:vAlign w:val="center"/>
          </w:tcPr>
          <w:p w14:paraId="3870FC82">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330" w:type="pct"/>
            <w:vMerge w:val="continue"/>
            <w:noWrap w:val="0"/>
            <w:tcMar>
              <w:top w:w="15" w:type="dxa"/>
              <w:left w:w="15" w:type="dxa"/>
              <w:right w:w="15" w:type="dxa"/>
            </w:tcMar>
            <w:vAlign w:val="center"/>
          </w:tcPr>
          <w:p w14:paraId="68935AF5">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823" w:type="pct"/>
            <w:vMerge w:val="continue"/>
            <w:noWrap w:val="0"/>
            <w:tcMar>
              <w:top w:w="15" w:type="dxa"/>
              <w:left w:w="15" w:type="dxa"/>
              <w:right w:w="15" w:type="dxa"/>
            </w:tcMar>
            <w:vAlign w:val="center"/>
          </w:tcPr>
          <w:p w14:paraId="12A24BD6">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r>
      <w:tr w14:paraId="3515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2" w:hRule="atLeast"/>
          <w:jc w:val="center"/>
        </w:trPr>
        <w:tc>
          <w:tcPr>
            <w:tcW w:w="746" w:type="pct"/>
            <w:noWrap w:val="0"/>
            <w:tcMar>
              <w:top w:w="15" w:type="dxa"/>
              <w:left w:w="15" w:type="dxa"/>
              <w:right w:w="15" w:type="dxa"/>
            </w:tcMar>
            <w:vAlign w:val="center"/>
          </w:tcPr>
          <w:p w14:paraId="3131106D">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渭河</w:t>
            </w:r>
          </w:p>
        </w:tc>
        <w:tc>
          <w:tcPr>
            <w:tcW w:w="377" w:type="pct"/>
            <w:noWrap w:val="0"/>
            <w:tcMar>
              <w:top w:w="15" w:type="dxa"/>
              <w:left w:w="15" w:type="dxa"/>
              <w:right w:w="15" w:type="dxa"/>
            </w:tcMar>
            <w:vAlign w:val="center"/>
          </w:tcPr>
          <w:p w14:paraId="3E81C9D0">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370" w:type="pct"/>
            <w:noWrap w:val="0"/>
            <w:tcMar>
              <w:top w:w="15" w:type="dxa"/>
              <w:left w:w="15" w:type="dxa"/>
              <w:right w:w="15" w:type="dxa"/>
            </w:tcMar>
            <w:vAlign w:val="center"/>
          </w:tcPr>
          <w:p w14:paraId="35D5690D">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382" w:type="pct"/>
            <w:noWrap w:val="0"/>
            <w:tcMar>
              <w:top w:w="15" w:type="dxa"/>
              <w:left w:w="15" w:type="dxa"/>
              <w:right w:w="15" w:type="dxa"/>
            </w:tcMar>
            <w:vAlign w:val="center"/>
          </w:tcPr>
          <w:p w14:paraId="729425E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449" w:type="pct"/>
            <w:vMerge w:val="restart"/>
            <w:noWrap w:val="0"/>
            <w:tcMar>
              <w:top w:w="15" w:type="dxa"/>
              <w:left w:w="15" w:type="dxa"/>
              <w:right w:w="15" w:type="dxa"/>
            </w:tcMar>
            <w:vAlign w:val="center"/>
          </w:tcPr>
          <w:p w14:paraId="3735B60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110</w:t>
            </w:r>
          </w:p>
        </w:tc>
        <w:tc>
          <w:tcPr>
            <w:tcW w:w="385" w:type="pct"/>
            <w:noWrap w:val="0"/>
            <w:tcMar>
              <w:top w:w="15" w:type="dxa"/>
              <w:left w:w="15" w:type="dxa"/>
              <w:right w:w="15" w:type="dxa"/>
            </w:tcMar>
            <w:vAlign w:val="center"/>
          </w:tcPr>
          <w:p w14:paraId="68AAEFB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408" w:type="pct"/>
            <w:noWrap w:val="0"/>
            <w:tcMar>
              <w:top w:w="15" w:type="dxa"/>
              <w:left w:w="15" w:type="dxa"/>
              <w:right w:w="15" w:type="dxa"/>
            </w:tcMar>
            <w:vAlign w:val="center"/>
          </w:tcPr>
          <w:p w14:paraId="7BB604F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352" w:type="pct"/>
            <w:noWrap w:val="0"/>
            <w:tcMar>
              <w:top w:w="15" w:type="dxa"/>
              <w:left w:w="15" w:type="dxa"/>
              <w:right w:w="15" w:type="dxa"/>
            </w:tcMar>
            <w:vAlign w:val="center"/>
          </w:tcPr>
          <w:p w14:paraId="3DF8C763">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373" w:type="pct"/>
            <w:vMerge w:val="restart"/>
            <w:noWrap w:val="0"/>
            <w:tcMar>
              <w:top w:w="15" w:type="dxa"/>
              <w:left w:w="15" w:type="dxa"/>
              <w:right w:w="15" w:type="dxa"/>
            </w:tcMar>
            <w:vAlign w:val="center"/>
          </w:tcPr>
          <w:p w14:paraId="00E7036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0</w:t>
            </w:r>
          </w:p>
        </w:tc>
        <w:tc>
          <w:tcPr>
            <w:tcW w:w="330" w:type="pct"/>
            <w:noWrap w:val="0"/>
            <w:tcMar>
              <w:top w:w="15" w:type="dxa"/>
              <w:left w:w="15" w:type="dxa"/>
              <w:right w:w="15" w:type="dxa"/>
            </w:tcMar>
            <w:vAlign w:val="center"/>
          </w:tcPr>
          <w:p w14:paraId="28BA945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823" w:type="pct"/>
            <w:vMerge w:val="restart"/>
            <w:noWrap w:val="0"/>
            <w:tcMar>
              <w:top w:w="15" w:type="dxa"/>
              <w:left w:w="15" w:type="dxa"/>
              <w:right w:w="15" w:type="dxa"/>
            </w:tcMar>
            <w:vAlign w:val="center"/>
          </w:tcPr>
          <w:p w14:paraId="39F385EB">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全年节假日</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450</w:t>
            </w:r>
          </w:p>
        </w:tc>
      </w:tr>
      <w:tr w14:paraId="3BB47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9" w:hRule="atLeast"/>
          <w:jc w:val="center"/>
        </w:trPr>
        <w:tc>
          <w:tcPr>
            <w:tcW w:w="746" w:type="pct"/>
            <w:noWrap w:val="0"/>
            <w:tcMar>
              <w:top w:w="15" w:type="dxa"/>
              <w:left w:w="15" w:type="dxa"/>
              <w:right w:w="15" w:type="dxa"/>
            </w:tcMar>
            <w:vAlign w:val="center"/>
          </w:tcPr>
          <w:p w14:paraId="33A64D4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沣河</w:t>
            </w:r>
          </w:p>
        </w:tc>
        <w:tc>
          <w:tcPr>
            <w:tcW w:w="377" w:type="pct"/>
            <w:noWrap w:val="0"/>
            <w:tcMar>
              <w:top w:w="15" w:type="dxa"/>
              <w:left w:w="15" w:type="dxa"/>
              <w:right w:w="15" w:type="dxa"/>
            </w:tcMar>
            <w:vAlign w:val="center"/>
          </w:tcPr>
          <w:p w14:paraId="6B0B718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370" w:type="pct"/>
            <w:noWrap w:val="0"/>
            <w:tcMar>
              <w:top w:w="15" w:type="dxa"/>
              <w:left w:w="15" w:type="dxa"/>
              <w:right w:w="15" w:type="dxa"/>
            </w:tcMar>
            <w:vAlign w:val="center"/>
          </w:tcPr>
          <w:p w14:paraId="16CDFD7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382" w:type="pct"/>
            <w:noWrap w:val="0"/>
            <w:tcMar>
              <w:top w:w="15" w:type="dxa"/>
              <w:left w:w="15" w:type="dxa"/>
              <w:right w:w="15" w:type="dxa"/>
            </w:tcMar>
            <w:vAlign w:val="center"/>
          </w:tcPr>
          <w:p w14:paraId="104AE4A4">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1</w:t>
            </w:r>
          </w:p>
        </w:tc>
        <w:tc>
          <w:tcPr>
            <w:tcW w:w="449" w:type="pct"/>
            <w:vMerge w:val="continue"/>
            <w:noWrap w:val="0"/>
            <w:tcMar>
              <w:top w:w="15" w:type="dxa"/>
              <w:left w:w="15" w:type="dxa"/>
              <w:right w:w="15" w:type="dxa"/>
            </w:tcMar>
            <w:vAlign w:val="center"/>
          </w:tcPr>
          <w:p w14:paraId="48510746">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385" w:type="pct"/>
            <w:noWrap w:val="0"/>
            <w:tcMar>
              <w:top w:w="15" w:type="dxa"/>
              <w:left w:w="15" w:type="dxa"/>
              <w:right w:w="15" w:type="dxa"/>
            </w:tcMar>
            <w:vAlign w:val="center"/>
          </w:tcPr>
          <w:p w14:paraId="3745DE4A">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c>
          <w:tcPr>
            <w:tcW w:w="408" w:type="pct"/>
            <w:noWrap w:val="0"/>
            <w:tcMar>
              <w:top w:w="15" w:type="dxa"/>
              <w:left w:w="15" w:type="dxa"/>
              <w:right w:w="15" w:type="dxa"/>
            </w:tcMar>
            <w:vAlign w:val="center"/>
          </w:tcPr>
          <w:p w14:paraId="45596BE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352" w:type="pct"/>
            <w:noWrap w:val="0"/>
            <w:tcMar>
              <w:top w:w="15" w:type="dxa"/>
              <w:left w:w="15" w:type="dxa"/>
              <w:right w:w="15" w:type="dxa"/>
            </w:tcMar>
            <w:vAlign w:val="center"/>
          </w:tcPr>
          <w:p w14:paraId="0B18293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w:t>
            </w:r>
          </w:p>
        </w:tc>
        <w:tc>
          <w:tcPr>
            <w:tcW w:w="373" w:type="pct"/>
            <w:vMerge w:val="continue"/>
            <w:noWrap w:val="0"/>
            <w:tcMar>
              <w:top w:w="15" w:type="dxa"/>
              <w:left w:w="15" w:type="dxa"/>
              <w:right w:w="15" w:type="dxa"/>
            </w:tcMar>
            <w:vAlign w:val="center"/>
          </w:tcPr>
          <w:p w14:paraId="4AAF0645">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330" w:type="pct"/>
            <w:noWrap w:val="0"/>
            <w:tcMar>
              <w:top w:w="15" w:type="dxa"/>
              <w:left w:w="15" w:type="dxa"/>
              <w:right w:w="15" w:type="dxa"/>
            </w:tcMar>
            <w:vAlign w:val="center"/>
          </w:tcPr>
          <w:p w14:paraId="0889EDAE">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823" w:type="pct"/>
            <w:vMerge w:val="continue"/>
            <w:noWrap w:val="0"/>
            <w:tcMar>
              <w:top w:w="15" w:type="dxa"/>
              <w:left w:w="15" w:type="dxa"/>
              <w:right w:w="15" w:type="dxa"/>
            </w:tcMar>
            <w:vAlign w:val="center"/>
          </w:tcPr>
          <w:p w14:paraId="5BDB9903">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r>
      <w:tr w14:paraId="1451A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6" w:type="pct"/>
            <w:noWrap w:val="0"/>
            <w:tcMar>
              <w:top w:w="15" w:type="dxa"/>
              <w:left w:w="15" w:type="dxa"/>
              <w:right w:w="15" w:type="dxa"/>
            </w:tcMar>
            <w:vAlign w:val="center"/>
          </w:tcPr>
          <w:p w14:paraId="36F329D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文教园沣</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沙</w:t>
            </w:r>
            <w:r>
              <w:rPr>
                <w:rFonts w:hint="eastAsia" w:ascii="宋体" w:hAnsi="宋体" w:eastAsia="宋体" w:cs="宋体"/>
                <w:color w:val="auto"/>
                <w:sz w:val="24"/>
                <w:szCs w:val="24"/>
                <w:highlight w:val="none"/>
              </w:rPr>
              <w:t>河</w:t>
            </w:r>
          </w:p>
        </w:tc>
        <w:tc>
          <w:tcPr>
            <w:tcW w:w="377" w:type="pct"/>
            <w:noWrap w:val="0"/>
            <w:tcMar>
              <w:top w:w="15" w:type="dxa"/>
              <w:left w:w="15" w:type="dxa"/>
              <w:right w:w="15" w:type="dxa"/>
            </w:tcMar>
            <w:vAlign w:val="center"/>
          </w:tcPr>
          <w:p w14:paraId="3BFAE574">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370" w:type="pct"/>
            <w:noWrap w:val="0"/>
            <w:tcMar>
              <w:top w:w="15" w:type="dxa"/>
              <w:left w:w="15" w:type="dxa"/>
              <w:right w:w="15" w:type="dxa"/>
            </w:tcMar>
            <w:vAlign w:val="center"/>
          </w:tcPr>
          <w:p w14:paraId="4863008A">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382" w:type="pct"/>
            <w:noWrap w:val="0"/>
            <w:tcMar>
              <w:top w:w="15" w:type="dxa"/>
              <w:left w:w="15" w:type="dxa"/>
              <w:right w:w="15" w:type="dxa"/>
            </w:tcMar>
            <w:vAlign w:val="center"/>
          </w:tcPr>
          <w:p w14:paraId="1FF00623">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p>
        </w:tc>
        <w:tc>
          <w:tcPr>
            <w:tcW w:w="449" w:type="pct"/>
            <w:vMerge w:val="continue"/>
            <w:noWrap w:val="0"/>
            <w:tcMar>
              <w:top w:w="15" w:type="dxa"/>
              <w:left w:w="15" w:type="dxa"/>
              <w:right w:w="15" w:type="dxa"/>
            </w:tcMar>
            <w:vAlign w:val="center"/>
          </w:tcPr>
          <w:p w14:paraId="40FDE7E6">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385" w:type="pct"/>
            <w:noWrap w:val="0"/>
            <w:tcMar>
              <w:top w:w="15" w:type="dxa"/>
              <w:left w:w="15" w:type="dxa"/>
              <w:right w:w="15" w:type="dxa"/>
            </w:tcMar>
            <w:vAlign w:val="center"/>
          </w:tcPr>
          <w:p w14:paraId="4F2EA4D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w:t>
            </w:r>
          </w:p>
        </w:tc>
        <w:tc>
          <w:tcPr>
            <w:tcW w:w="408" w:type="pct"/>
            <w:noWrap w:val="0"/>
            <w:tcMar>
              <w:top w:w="15" w:type="dxa"/>
              <w:left w:w="15" w:type="dxa"/>
              <w:right w:w="15" w:type="dxa"/>
            </w:tcMar>
            <w:vAlign w:val="center"/>
          </w:tcPr>
          <w:p w14:paraId="203792A0">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p>
        </w:tc>
        <w:tc>
          <w:tcPr>
            <w:tcW w:w="352" w:type="pct"/>
            <w:noWrap w:val="0"/>
            <w:tcMar>
              <w:top w:w="15" w:type="dxa"/>
              <w:left w:w="15" w:type="dxa"/>
              <w:right w:w="15" w:type="dxa"/>
            </w:tcMar>
            <w:vAlign w:val="center"/>
          </w:tcPr>
          <w:p w14:paraId="623A940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373" w:type="pct"/>
            <w:vMerge w:val="continue"/>
            <w:noWrap w:val="0"/>
            <w:tcMar>
              <w:top w:w="15" w:type="dxa"/>
              <w:left w:w="15" w:type="dxa"/>
              <w:right w:w="15" w:type="dxa"/>
            </w:tcMar>
            <w:vAlign w:val="center"/>
          </w:tcPr>
          <w:p w14:paraId="140AAFDB">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330" w:type="pct"/>
            <w:noWrap w:val="0"/>
            <w:tcMar>
              <w:top w:w="15" w:type="dxa"/>
              <w:left w:w="15" w:type="dxa"/>
              <w:right w:w="15" w:type="dxa"/>
            </w:tcMar>
            <w:vAlign w:val="center"/>
          </w:tcPr>
          <w:p w14:paraId="054CA1F2">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23" w:type="pct"/>
            <w:vMerge w:val="continue"/>
            <w:noWrap w:val="0"/>
            <w:tcMar>
              <w:top w:w="15" w:type="dxa"/>
              <w:left w:w="15" w:type="dxa"/>
              <w:right w:w="15" w:type="dxa"/>
            </w:tcMar>
            <w:vAlign w:val="center"/>
          </w:tcPr>
          <w:p w14:paraId="5AB0ECF4">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r>
      <w:tr w14:paraId="7DC50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46" w:type="pct"/>
            <w:noWrap w:val="0"/>
            <w:tcMar>
              <w:top w:w="15" w:type="dxa"/>
              <w:left w:w="15" w:type="dxa"/>
              <w:right w:w="15" w:type="dxa"/>
            </w:tcMar>
            <w:vAlign w:val="center"/>
          </w:tcPr>
          <w:p w14:paraId="10B45DE2">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森林公园</w:t>
            </w:r>
          </w:p>
        </w:tc>
        <w:tc>
          <w:tcPr>
            <w:tcW w:w="377" w:type="pct"/>
            <w:noWrap w:val="0"/>
            <w:tcMar>
              <w:top w:w="15" w:type="dxa"/>
              <w:left w:w="15" w:type="dxa"/>
              <w:right w:w="15" w:type="dxa"/>
            </w:tcMar>
            <w:vAlign w:val="center"/>
          </w:tcPr>
          <w:p w14:paraId="1A2EAE3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370" w:type="pct"/>
            <w:noWrap w:val="0"/>
            <w:tcMar>
              <w:top w:w="15" w:type="dxa"/>
              <w:left w:w="15" w:type="dxa"/>
              <w:right w:w="15" w:type="dxa"/>
            </w:tcMar>
            <w:vAlign w:val="center"/>
          </w:tcPr>
          <w:p w14:paraId="6917AAE4">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382" w:type="pct"/>
            <w:noWrap w:val="0"/>
            <w:tcMar>
              <w:top w:w="15" w:type="dxa"/>
              <w:left w:w="15" w:type="dxa"/>
              <w:right w:w="15" w:type="dxa"/>
            </w:tcMar>
            <w:vAlign w:val="center"/>
          </w:tcPr>
          <w:p w14:paraId="2E8F531F">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449" w:type="pct"/>
            <w:vMerge w:val="continue"/>
            <w:noWrap w:val="0"/>
            <w:tcMar>
              <w:top w:w="15" w:type="dxa"/>
              <w:left w:w="15" w:type="dxa"/>
              <w:right w:w="15" w:type="dxa"/>
            </w:tcMar>
            <w:vAlign w:val="center"/>
          </w:tcPr>
          <w:p w14:paraId="2A3129D2">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385" w:type="pct"/>
            <w:noWrap w:val="0"/>
            <w:tcMar>
              <w:top w:w="15" w:type="dxa"/>
              <w:left w:w="15" w:type="dxa"/>
              <w:right w:w="15" w:type="dxa"/>
            </w:tcMar>
            <w:vAlign w:val="center"/>
          </w:tcPr>
          <w:p w14:paraId="0C1B4DF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408" w:type="pct"/>
            <w:noWrap w:val="0"/>
            <w:tcMar>
              <w:top w:w="15" w:type="dxa"/>
              <w:left w:w="15" w:type="dxa"/>
              <w:right w:w="15" w:type="dxa"/>
            </w:tcMar>
            <w:vAlign w:val="center"/>
          </w:tcPr>
          <w:p w14:paraId="5250A50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352" w:type="pct"/>
            <w:noWrap w:val="0"/>
            <w:tcMar>
              <w:top w:w="15" w:type="dxa"/>
              <w:left w:w="15" w:type="dxa"/>
              <w:right w:w="15" w:type="dxa"/>
            </w:tcMar>
            <w:vAlign w:val="center"/>
          </w:tcPr>
          <w:p w14:paraId="06AF1DC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373" w:type="pct"/>
            <w:vMerge w:val="continue"/>
            <w:noWrap w:val="0"/>
            <w:tcMar>
              <w:top w:w="15" w:type="dxa"/>
              <w:left w:w="15" w:type="dxa"/>
              <w:right w:w="15" w:type="dxa"/>
            </w:tcMar>
            <w:vAlign w:val="center"/>
          </w:tcPr>
          <w:p w14:paraId="1B6230F4">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330" w:type="pct"/>
            <w:noWrap w:val="0"/>
            <w:tcMar>
              <w:top w:w="15" w:type="dxa"/>
              <w:left w:w="15" w:type="dxa"/>
              <w:right w:w="15" w:type="dxa"/>
            </w:tcMar>
            <w:vAlign w:val="center"/>
          </w:tcPr>
          <w:p w14:paraId="00DA1F1D">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823" w:type="pct"/>
            <w:vMerge w:val="continue"/>
            <w:noWrap w:val="0"/>
            <w:tcMar>
              <w:top w:w="15" w:type="dxa"/>
              <w:left w:w="15" w:type="dxa"/>
              <w:right w:w="15" w:type="dxa"/>
            </w:tcMar>
            <w:vAlign w:val="center"/>
          </w:tcPr>
          <w:p w14:paraId="1AB86AC7">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r>
      <w:tr w14:paraId="414A9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0" w:hRule="atLeast"/>
          <w:jc w:val="center"/>
        </w:trPr>
        <w:tc>
          <w:tcPr>
            <w:tcW w:w="746" w:type="pct"/>
            <w:noWrap w:val="0"/>
            <w:tcMar>
              <w:top w:w="15" w:type="dxa"/>
              <w:left w:w="15" w:type="dxa"/>
              <w:right w:w="15" w:type="dxa"/>
            </w:tcMar>
            <w:vAlign w:val="center"/>
          </w:tcPr>
          <w:p w14:paraId="0382605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公卫中心东侧公园</w:t>
            </w:r>
          </w:p>
        </w:tc>
        <w:tc>
          <w:tcPr>
            <w:tcW w:w="377" w:type="pct"/>
            <w:noWrap w:val="0"/>
            <w:tcMar>
              <w:top w:w="15" w:type="dxa"/>
              <w:left w:w="15" w:type="dxa"/>
              <w:right w:w="15" w:type="dxa"/>
            </w:tcMar>
            <w:vAlign w:val="center"/>
          </w:tcPr>
          <w:p w14:paraId="63F19DF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370" w:type="pct"/>
            <w:noWrap w:val="0"/>
            <w:tcMar>
              <w:top w:w="15" w:type="dxa"/>
              <w:left w:w="15" w:type="dxa"/>
              <w:right w:w="15" w:type="dxa"/>
            </w:tcMar>
            <w:vAlign w:val="center"/>
          </w:tcPr>
          <w:p w14:paraId="1DD6E9D3">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382" w:type="pct"/>
            <w:noWrap w:val="0"/>
            <w:tcMar>
              <w:top w:w="15" w:type="dxa"/>
              <w:left w:w="15" w:type="dxa"/>
              <w:right w:w="15" w:type="dxa"/>
            </w:tcMar>
            <w:vAlign w:val="center"/>
          </w:tcPr>
          <w:p w14:paraId="545BFD1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449" w:type="pct"/>
            <w:vMerge w:val="continue"/>
            <w:noWrap w:val="0"/>
            <w:tcMar>
              <w:top w:w="15" w:type="dxa"/>
              <w:left w:w="15" w:type="dxa"/>
              <w:right w:w="15" w:type="dxa"/>
            </w:tcMar>
            <w:vAlign w:val="center"/>
          </w:tcPr>
          <w:p w14:paraId="5A604FE6">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385" w:type="pct"/>
            <w:noWrap w:val="0"/>
            <w:tcMar>
              <w:top w:w="15" w:type="dxa"/>
              <w:left w:w="15" w:type="dxa"/>
              <w:right w:w="15" w:type="dxa"/>
            </w:tcMar>
            <w:vAlign w:val="center"/>
          </w:tcPr>
          <w:p w14:paraId="4C6CF07E">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408" w:type="pct"/>
            <w:noWrap w:val="0"/>
            <w:tcMar>
              <w:top w:w="15" w:type="dxa"/>
              <w:left w:w="15" w:type="dxa"/>
              <w:right w:w="15" w:type="dxa"/>
            </w:tcMar>
            <w:vAlign w:val="center"/>
          </w:tcPr>
          <w:p w14:paraId="5674429E">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352" w:type="pct"/>
            <w:noWrap w:val="0"/>
            <w:tcMar>
              <w:top w:w="15" w:type="dxa"/>
              <w:left w:w="15" w:type="dxa"/>
              <w:right w:w="15" w:type="dxa"/>
            </w:tcMar>
            <w:vAlign w:val="center"/>
          </w:tcPr>
          <w:p w14:paraId="2F0C757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373" w:type="pct"/>
            <w:vMerge w:val="continue"/>
            <w:noWrap w:val="0"/>
            <w:tcMar>
              <w:top w:w="15" w:type="dxa"/>
              <w:left w:w="15" w:type="dxa"/>
              <w:right w:w="15" w:type="dxa"/>
            </w:tcMar>
            <w:vAlign w:val="center"/>
          </w:tcPr>
          <w:p w14:paraId="50AF9966">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330" w:type="pct"/>
            <w:noWrap w:val="0"/>
            <w:tcMar>
              <w:top w:w="15" w:type="dxa"/>
              <w:left w:w="15" w:type="dxa"/>
              <w:right w:w="15" w:type="dxa"/>
            </w:tcMar>
            <w:vAlign w:val="center"/>
          </w:tcPr>
          <w:p w14:paraId="559425F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823" w:type="pct"/>
            <w:noWrap w:val="0"/>
            <w:tcMar>
              <w:top w:w="15" w:type="dxa"/>
              <w:left w:w="15" w:type="dxa"/>
              <w:right w:w="15" w:type="dxa"/>
            </w:tcMar>
            <w:vAlign w:val="center"/>
          </w:tcPr>
          <w:p w14:paraId="60EAB99B">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r>
      <w:tr w14:paraId="29700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746" w:type="pct"/>
            <w:noWrap w:val="0"/>
            <w:tcMar>
              <w:top w:w="15" w:type="dxa"/>
              <w:left w:w="15" w:type="dxa"/>
              <w:right w:w="15" w:type="dxa"/>
            </w:tcMar>
            <w:vAlign w:val="center"/>
          </w:tcPr>
          <w:p w14:paraId="27976EF4">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南北绿廊</w:t>
            </w:r>
          </w:p>
        </w:tc>
        <w:tc>
          <w:tcPr>
            <w:tcW w:w="377" w:type="pct"/>
            <w:noWrap w:val="0"/>
            <w:tcMar>
              <w:top w:w="15" w:type="dxa"/>
              <w:left w:w="15" w:type="dxa"/>
              <w:right w:w="15" w:type="dxa"/>
            </w:tcMar>
            <w:vAlign w:val="center"/>
          </w:tcPr>
          <w:p w14:paraId="742E5F4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370" w:type="pct"/>
            <w:noWrap w:val="0"/>
            <w:tcMar>
              <w:top w:w="15" w:type="dxa"/>
              <w:left w:w="15" w:type="dxa"/>
              <w:right w:w="15" w:type="dxa"/>
            </w:tcMar>
            <w:vAlign w:val="center"/>
          </w:tcPr>
          <w:p w14:paraId="6E95B2E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382" w:type="pct"/>
            <w:noWrap w:val="0"/>
            <w:tcMar>
              <w:top w:w="15" w:type="dxa"/>
              <w:left w:w="15" w:type="dxa"/>
              <w:right w:w="15" w:type="dxa"/>
            </w:tcMar>
            <w:vAlign w:val="center"/>
          </w:tcPr>
          <w:p w14:paraId="77E4236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449" w:type="pct"/>
            <w:vMerge w:val="continue"/>
            <w:noWrap w:val="0"/>
            <w:tcMar>
              <w:top w:w="15" w:type="dxa"/>
              <w:left w:w="15" w:type="dxa"/>
              <w:right w:w="15" w:type="dxa"/>
            </w:tcMar>
            <w:vAlign w:val="center"/>
          </w:tcPr>
          <w:p w14:paraId="7EFEEAD9">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385" w:type="pct"/>
            <w:noWrap w:val="0"/>
            <w:tcMar>
              <w:top w:w="15" w:type="dxa"/>
              <w:left w:w="15" w:type="dxa"/>
              <w:right w:w="15" w:type="dxa"/>
            </w:tcMar>
            <w:vAlign w:val="center"/>
          </w:tcPr>
          <w:p w14:paraId="4914F1A4">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408" w:type="pct"/>
            <w:noWrap w:val="0"/>
            <w:tcMar>
              <w:top w:w="15" w:type="dxa"/>
              <w:left w:w="15" w:type="dxa"/>
              <w:right w:w="15" w:type="dxa"/>
            </w:tcMar>
            <w:vAlign w:val="center"/>
          </w:tcPr>
          <w:p w14:paraId="686A8EA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352" w:type="pct"/>
            <w:noWrap w:val="0"/>
            <w:tcMar>
              <w:top w:w="15" w:type="dxa"/>
              <w:left w:w="15" w:type="dxa"/>
              <w:right w:w="15" w:type="dxa"/>
            </w:tcMar>
            <w:vAlign w:val="center"/>
          </w:tcPr>
          <w:p w14:paraId="0A6A83D9">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373" w:type="pct"/>
            <w:vMerge w:val="continue"/>
            <w:noWrap w:val="0"/>
            <w:tcMar>
              <w:top w:w="15" w:type="dxa"/>
              <w:left w:w="15" w:type="dxa"/>
              <w:right w:w="15" w:type="dxa"/>
            </w:tcMar>
            <w:vAlign w:val="center"/>
          </w:tcPr>
          <w:p w14:paraId="4CD7AE0E">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c>
          <w:tcPr>
            <w:tcW w:w="330" w:type="pct"/>
            <w:noWrap w:val="0"/>
            <w:tcMar>
              <w:top w:w="15" w:type="dxa"/>
              <w:left w:w="15" w:type="dxa"/>
              <w:right w:w="15" w:type="dxa"/>
            </w:tcMar>
            <w:vAlign w:val="center"/>
          </w:tcPr>
          <w:p w14:paraId="3032977B">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823" w:type="pct"/>
            <w:noWrap w:val="0"/>
            <w:tcMar>
              <w:top w:w="15" w:type="dxa"/>
              <w:left w:w="15" w:type="dxa"/>
              <w:right w:w="15" w:type="dxa"/>
            </w:tcMar>
            <w:vAlign w:val="center"/>
          </w:tcPr>
          <w:p w14:paraId="5650F98C">
            <w:pPr>
              <w:keepNext w:val="0"/>
              <w:keepLines w:val="0"/>
              <w:pageBreakBefore w:val="0"/>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eastAsia" w:ascii="宋体" w:hAnsi="宋体" w:eastAsia="宋体" w:cs="宋体"/>
                <w:color w:val="auto"/>
                <w:sz w:val="24"/>
                <w:szCs w:val="24"/>
                <w:highlight w:val="none"/>
              </w:rPr>
            </w:pPr>
          </w:p>
        </w:tc>
      </w:tr>
    </w:tbl>
    <w:p w14:paraId="7F67F9B4">
      <w:pPr>
        <w:pStyle w:val="4"/>
        <w:keepNext w:val="0"/>
        <w:keepLines w:val="0"/>
        <w:pageBreakBefore w:val="0"/>
        <w:widowControl w:val="0"/>
        <w:numPr>
          <w:ilvl w:val="0"/>
          <w:numId w:val="0"/>
        </w:numPr>
        <w:kinsoku/>
        <w:wordWrap/>
        <w:overflowPunct/>
        <w:topLinePunct w:val="0"/>
        <w:autoSpaceDE/>
        <w:autoSpaceDN/>
        <w:bidi w:val="0"/>
        <w:adjustRightInd/>
        <w:spacing w:line="360" w:lineRule="auto"/>
        <w:ind w:firstLine="0" w:firstLineChars="0"/>
        <w:textAlignment w:val="auto"/>
        <w:rPr>
          <w:rFonts w:hint="eastAsia" w:ascii="宋体" w:hAnsi="宋体" w:eastAsia="宋体" w:cs="宋体"/>
          <w:b w:val="0"/>
          <w:bCs w:val="0"/>
          <w:color w:val="auto"/>
          <w:kern w:val="2"/>
          <w:sz w:val="24"/>
          <w:szCs w:val="24"/>
          <w:highlight w:val="none"/>
          <w:lang w:val="en-US" w:eastAsia="zh-CN" w:bidi="ar-SA"/>
        </w:rPr>
      </w:pPr>
    </w:p>
    <w:p w14:paraId="35E1D0A1">
      <w:pPr>
        <w:pStyle w:val="4"/>
        <w:keepNext w:val="0"/>
        <w:keepLines w:val="0"/>
        <w:pageBreakBefore w:val="0"/>
        <w:widowControl w:val="0"/>
        <w:numPr>
          <w:ilvl w:val="0"/>
          <w:numId w:val="0"/>
        </w:numPr>
        <w:kinsoku/>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br w:type="page"/>
      </w:r>
      <w:r>
        <w:rPr>
          <w:rFonts w:hint="eastAsia" w:ascii="宋体" w:hAnsi="宋体" w:eastAsia="宋体" w:cs="宋体"/>
          <w:b w:val="0"/>
          <w:bCs w:val="0"/>
          <w:color w:val="auto"/>
          <w:kern w:val="2"/>
          <w:sz w:val="24"/>
          <w:szCs w:val="24"/>
          <w:lang w:val="en-US" w:eastAsia="zh-CN" w:bidi="ar-SA"/>
        </w:rPr>
        <w:drawing>
          <wp:inline distT="0" distB="0" distL="114300" distR="114300">
            <wp:extent cx="6000115" cy="8571865"/>
            <wp:effectExtent l="0" t="0" r="635" b="635"/>
            <wp:docPr id="2" name="图片 1" descr="23fc1bc701ba4c191ea5428db5000b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23fc1bc701ba4c191ea5428db5000bf1"/>
                    <pic:cNvPicPr>
                      <a:picLocks noChangeAspect="1"/>
                    </pic:cNvPicPr>
                  </pic:nvPicPr>
                  <pic:blipFill>
                    <a:blip r:embed="rId10"/>
                    <a:stretch>
                      <a:fillRect/>
                    </a:stretch>
                  </pic:blipFill>
                  <pic:spPr>
                    <a:xfrm>
                      <a:off x="0" y="0"/>
                      <a:ext cx="6000115" cy="8571865"/>
                    </a:xfrm>
                    <a:prstGeom prst="rect">
                      <a:avLst/>
                    </a:prstGeom>
                    <a:noFill/>
                    <a:ln>
                      <a:noFill/>
                    </a:ln>
                  </pic:spPr>
                </pic:pic>
              </a:graphicData>
            </a:graphic>
          </wp:inline>
        </w:drawing>
      </w:r>
      <w:r>
        <w:rPr>
          <w:rFonts w:hint="eastAsia" w:ascii="宋体" w:hAnsi="宋体" w:eastAsia="宋体" w:cs="宋体"/>
          <w:b w:val="0"/>
          <w:bCs w:val="0"/>
          <w:color w:val="auto"/>
          <w:kern w:val="2"/>
          <w:sz w:val="24"/>
          <w:szCs w:val="24"/>
          <w:lang w:val="en-US" w:eastAsia="zh-CN" w:bidi="ar-SA"/>
        </w:rPr>
        <w:drawing>
          <wp:inline distT="0" distB="0" distL="114300" distR="114300">
            <wp:extent cx="6021705" cy="4198620"/>
            <wp:effectExtent l="0" t="0" r="17145" b="11430"/>
            <wp:docPr id="1" name="图片 2" descr="eca955dc1f3bc1691db7ba172c2d6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eca955dc1f3bc1691db7ba172c2d6941"/>
                    <pic:cNvPicPr>
                      <a:picLocks noChangeAspect="1"/>
                    </pic:cNvPicPr>
                  </pic:nvPicPr>
                  <pic:blipFill>
                    <a:blip r:embed="rId11"/>
                    <a:stretch>
                      <a:fillRect/>
                    </a:stretch>
                  </pic:blipFill>
                  <pic:spPr>
                    <a:xfrm>
                      <a:off x="0" y="0"/>
                      <a:ext cx="6021705" cy="4198620"/>
                    </a:xfrm>
                    <a:prstGeom prst="rect">
                      <a:avLst/>
                    </a:prstGeom>
                    <a:noFill/>
                    <a:ln>
                      <a:noFill/>
                    </a:ln>
                  </pic:spPr>
                </pic:pic>
              </a:graphicData>
            </a:graphic>
          </wp:inline>
        </w:drawing>
      </w:r>
    </w:p>
    <w:p w14:paraId="6D840968">
      <w:pPr>
        <w:pStyle w:val="4"/>
        <w:keepNext w:val="0"/>
        <w:keepLines w:val="0"/>
        <w:pageBreakBefore w:val="0"/>
        <w:widowControl w:val="0"/>
        <w:numPr>
          <w:ilvl w:val="0"/>
          <w:numId w:val="0"/>
        </w:numPr>
        <w:kinsoku/>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lang w:val="en-US" w:eastAsia="zh-CN" w:bidi="ar-SA"/>
        </w:rPr>
        <w:t>（三）</w:t>
      </w:r>
      <w:r>
        <w:rPr>
          <w:rFonts w:hint="eastAsia" w:ascii="宋体" w:hAnsi="宋体" w:eastAsia="宋体" w:cs="宋体"/>
          <w:b/>
          <w:bCs/>
          <w:color w:val="auto"/>
          <w:kern w:val="2"/>
          <w:sz w:val="24"/>
          <w:szCs w:val="24"/>
          <w:highlight w:val="none"/>
          <w:lang w:val="en-US" w:eastAsia="zh-CN" w:bidi="ar-SA"/>
        </w:rPr>
        <w:t>人员要求：</w:t>
      </w:r>
      <w:r>
        <w:rPr>
          <w:rFonts w:hint="eastAsia" w:ascii="宋体" w:hAnsi="宋体" w:eastAsia="宋体" w:cs="宋体"/>
          <w:b w:val="0"/>
          <w:bCs w:val="0"/>
          <w:color w:val="auto"/>
          <w:kern w:val="2"/>
          <w:sz w:val="24"/>
          <w:szCs w:val="24"/>
          <w:highlight w:val="none"/>
          <w:lang w:val="en-US" w:eastAsia="zh-CN" w:bidi="ar-SA"/>
        </w:rPr>
        <w:t>投标人所配备安保人员，男性，总安保人数70％以上要求年龄为18-50岁之间，其他人员要求年龄18-60岁人员。</w:t>
      </w:r>
    </w:p>
    <w:p w14:paraId="25CC708D">
      <w:pPr>
        <w:pStyle w:val="4"/>
        <w:keepNext w:val="0"/>
        <w:keepLines w:val="0"/>
        <w:pageBreakBefore w:val="0"/>
        <w:widowControl w:val="0"/>
        <w:numPr>
          <w:ilvl w:val="0"/>
          <w:numId w:val="0"/>
        </w:numPr>
        <w:kinsoku/>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kern w:val="2"/>
          <w:sz w:val="24"/>
          <w:szCs w:val="24"/>
          <w:lang w:val="en-US" w:eastAsia="zh-CN" w:bidi="ar-SA"/>
        </w:rPr>
        <w:sectPr>
          <w:footerReference r:id="rId8" w:type="first"/>
          <w:headerReference r:id="rId5" w:type="default"/>
          <w:footerReference r:id="rId6" w:type="default"/>
          <w:footerReference r:id="rId7" w:type="even"/>
          <w:pgSz w:w="11962" w:h="16877"/>
          <w:pgMar w:top="1440" w:right="1083" w:bottom="1440" w:left="1083" w:header="1304" w:footer="1304" w:gutter="283"/>
          <w:pgNumType w:fmt="decimal" w:start="1"/>
          <w:cols w:space="720" w:num="1"/>
          <w:titlePg/>
          <w:rtlGutter w:val="0"/>
          <w:docGrid w:linePitch="0" w:charSpace="0"/>
        </w:sectPr>
      </w:pPr>
    </w:p>
    <w:p w14:paraId="6FA2DFC5">
      <w:pPr>
        <w:pStyle w:val="4"/>
        <w:keepNext w:val="0"/>
        <w:keepLines w:val="0"/>
        <w:pageBreakBefore w:val="0"/>
        <w:widowControl w:val="0"/>
        <w:numPr>
          <w:ilvl w:val="0"/>
          <w:numId w:val="0"/>
        </w:numPr>
        <w:kinsoku/>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lang w:val="en-US" w:eastAsia="zh-CN" w:bidi="ar-SA"/>
        </w:rPr>
        <w:t>（四）</w:t>
      </w:r>
      <w:r>
        <w:rPr>
          <w:rFonts w:hint="eastAsia" w:ascii="宋体" w:hAnsi="宋体" w:cs="宋体"/>
          <w:b/>
          <w:bCs/>
          <w:color w:val="auto"/>
          <w:kern w:val="2"/>
          <w:sz w:val="24"/>
          <w:szCs w:val="24"/>
          <w:lang w:val="en-US" w:eastAsia="zh-CN" w:bidi="ar-SA"/>
        </w:rPr>
        <w:t>清单及</w:t>
      </w:r>
      <w:r>
        <w:rPr>
          <w:rFonts w:hint="eastAsia" w:ascii="宋体" w:hAnsi="宋体" w:eastAsia="宋体" w:cs="宋体"/>
          <w:b/>
          <w:bCs/>
          <w:color w:val="auto"/>
          <w:kern w:val="2"/>
          <w:sz w:val="24"/>
          <w:szCs w:val="24"/>
          <w:highlight w:val="none"/>
          <w:lang w:val="en-US" w:eastAsia="zh-CN" w:bidi="ar-SA"/>
        </w:rPr>
        <w:t>最高限价</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6"/>
        <w:gridCol w:w="6701"/>
        <w:gridCol w:w="1176"/>
        <w:gridCol w:w="1176"/>
        <w:gridCol w:w="1416"/>
        <w:gridCol w:w="1176"/>
        <w:gridCol w:w="1416"/>
        <w:gridCol w:w="448"/>
      </w:tblGrid>
      <w:tr w14:paraId="12857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2" w:hRule="atLeast"/>
        </w:trPr>
        <w:tc>
          <w:tcPr>
            <w:tcW w:w="14205" w:type="dxa"/>
            <w:gridSpan w:val="8"/>
            <w:tcBorders>
              <w:top w:val="nil"/>
              <w:left w:val="nil"/>
              <w:bottom w:val="single" w:color="000000" w:sz="4" w:space="0"/>
              <w:right w:val="nil"/>
            </w:tcBorders>
            <w:noWrap w:val="0"/>
            <w:vAlign w:val="center"/>
          </w:tcPr>
          <w:p w14:paraId="6170998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2026-2027年西咸新区能源金贸区市政公园安防服务</w:t>
            </w:r>
          </w:p>
        </w:tc>
      </w:tr>
      <w:tr w14:paraId="79AF7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696" w:type="dxa"/>
            <w:tcBorders>
              <w:top w:val="single" w:color="000000" w:sz="4" w:space="0"/>
              <w:left w:val="single" w:color="000000" w:sz="4" w:space="0"/>
              <w:bottom w:val="single" w:color="000000" w:sz="4" w:space="0"/>
              <w:right w:val="single" w:color="000000" w:sz="4" w:space="0"/>
            </w:tcBorders>
            <w:noWrap/>
            <w:vAlign w:val="center"/>
          </w:tcPr>
          <w:p w14:paraId="7CD5E9E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6701" w:type="dxa"/>
            <w:tcBorders>
              <w:top w:val="single" w:color="000000" w:sz="4" w:space="0"/>
              <w:left w:val="single" w:color="000000" w:sz="4" w:space="0"/>
              <w:bottom w:val="single" w:color="000000" w:sz="4" w:space="0"/>
              <w:right w:val="single" w:color="000000" w:sz="4" w:space="0"/>
            </w:tcBorders>
            <w:noWrap w:val="0"/>
            <w:vAlign w:val="center"/>
          </w:tcPr>
          <w:p w14:paraId="08B0AC1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工作内容</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377B8C4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服务数量</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189B062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计量单位</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79E8D4F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全费用单价</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074DF7A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计价单位</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78DEFEF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合价（元）</w:t>
            </w:r>
          </w:p>
        </w:tc>
        <w:tc>
          <w:tcPr>
            <w:tcW w:w="285" w:type="dxa"/>
            <w:tcBorders>
              <w:top w:val="single" w:color="000000" w:sz="4" w:space="0"/>
              <w:left w:val="single" w:color="000000" w:sz="4" w:space="0"/>
              <w:bottom w:val="single" w:color="000000" w:sz="4" w:space="0"/>
              <w:right w:val="single" w:color="000000" w:sz="4" w:space="0"/>
            </w:tcBorders>
            <w:noWrap/>
            <w:vAlign w:val="center"/>
          </w:tcPr>
          <w:p w14:paraId="6088EF6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3AE54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696" w:type="dxa"/>
            <w:tcBorders>
              <w:top w:val="single" w:color="000000" w:sz="4" w:space="0"/>
              <w:left w:val="single" w:color="000000" w:sz="4" w:space="0"/>
              <w:bottom w:val="single" w:color="000000" w:sz="4" w:space="0"/>
              <w:right w:val="single" w:color="000000" w:sz="4" w:space="0"/>
            </w:tcBorders>
            <w:noWrap/>
            <w:vAlign w:val="center"/>
          </w:tcPr>
          <w:p w14:paraId="3AE4A76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701" w:type="dxa"/>
            <w:tcBorders>
              <w:top w:val="single" w:color="000000" w:sz="4" w:space="0"/>
              <w:left w:val="single" w:color="000000" w:sz="4" w:space="0"/>
              <w:bottom w:val="single" w:color="000000" w:sz="4" w:space="0"/>
              <w:right w:val="single" w:color="000000" w:sz="4" w:space="0"/>
            </w:tcBorders>
            <w:noWrap w:val="0"/>
            <w:vAlign w:val="bottom"/>
          </w:tcPr>
          <w:p w14:paraId="10AECB7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公园旺季安全巡查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[服务说明]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1.部位:沣、渭河综合治理项目、沣、沙河生态修复项目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2.期限:旺季（4月-10月）共计7个月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3.负责：公共财产保全管理、公共秩序维护管理、交通与停车秩序管理、消防安全管理、商业及宣传秩序管理、水域安全管理、重要接待及大型活动秩序维护，安保需做好解释及劝导等工作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4.配备巡逻车辆及安全巡查防护装备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5.国家规定的津贴、保险等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6.具体详见实施方案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1.保洁、绿化及设施巡查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2.水面巡视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3.防火巡视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4.治安巡视</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1F8D58E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33F5E0E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岗</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1CED489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4473</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64A8F38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元/岗/月</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210E2B7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3444210</w:t>
            </w:r>
          </w:p>
        </w:tc>
        <w:tc>
          <w:tcPr>
            <w:tcW w:w="285" w:type="dxa"/>
            <w:tcBorders>
              <w:top w:val="single" w:color="000000" w:sz="4" w:space="0"/>
              <w:left w:val="single" w:color="000000" w:sz="4" w:space="0"/>
              <w:bottom w:val="single" w:color="000000" w:sz="4" w:space="0"/>
              <w:right w:val="single" w:color="000000" w:sz="4" w:space="0"/>
            </w:tcBorders>
            <w:noWrap/>
            <w:vAlign w:val="center"/>
          </w:tcPr>
          <w:p w14:paraId="5440BB8F">
            <w:pPr>
              <w:keepNext w:val="0"/>
              <w:keepLines w:val="0"/>
              <w:pageBreakBefore w:val="0"/>
              <w:widowControl/>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r>
      <w:tr w14:paraId="38ACC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696" w:type="dxa"/>
            <w:tcBorders>
              <w:top w:val="single" w:color="000000" w:sz="4" w:space="0"/>
              <w:left w:val="single" w:color="000000" w:sz="4" w:space="0"/>
              <w:bottom w:val="single" w:color="000000" w:sz="4" w:space="0"/>
              <w:right w:val="single" w:color="000000" w:sz="4" w:space="0"/>
            </w:tcBorders>
            <w:noWrap/>
            <w:vAlign w:val="center"/>
          </w:tcPr>
          <w:p w14:paraId="37863E6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701" w:type="dxa"/>
            <w:tcBorders>
              <w:top w:val="single" w:color="000000" w:sz="4" w:space="0"/>
              <w:left w:val="single" w:color="000000" w:sz="4" w:space="0"/>
              <w:bottom w:val="single" w:color="000000" w:sz="4" w:space="0"/>
              <w:right w:val="single" w:color="000000" w:sz="4" w:space="0"/>
            </w:tcBorders>
            <w:noWrap w:val="0"/>
            <w:vAlign w:val="bottom"/>
          </w:tcPr>
          <w:p w14:paraId="1F6E8CB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公园淡季安全巡查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[服务说明]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1.部位:沣、渭河综合治理项目、沣、沙河生态修复项目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2.期限:淡季（11月-次年3月）共计5个月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3.负责：公共财产保全管理、公共秩序维护管理、交通与停车秩序管理、消防安全管理、商业及宣传秩序管理、水域安全管理、重要接待及大型活动秩序维护，安保需做好解释及劝导等工作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4.配备巡逻车辆及安全巡查防护装备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5.国家规定的津贴、保险等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6.具体详见实施方案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1.保洁、绿化及设施巡查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2.水面巡视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3.防火巡视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4.治安巡视</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1FEBD52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70BA572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岗</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1A8553B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4473</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1E7DFF1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元/岗/月</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3384DA8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2012850</w:t>
            </w:r>
          </w:p>
        </w:tc>
        <w:tc>
          <w:tcPr>
            <w:tcW w:w="285" w:type="dxa"/>
            <w:tcBorders>
              <w:top w:val="single" w:color="000000" w:sz="4" w:space="0"/>
              <w:left w:val="single" w:color="000000" w:sz="4" w:space="0"/>
              <w:bottom w:val="single" w:color="000000" w:sz="4" w:space="0"/>
              <w:right w:val="single" w:color="000000" w:sz="4" w:space="0"/>
            </w:tcBorders>
            <w:noWrap/>
            <w:vAlign w:val="center"/>
          </w:tcPr>
          <w:p w14:paraId="5FEE4774">
            <w:pPr>
              <w:keepNext w:val="0"/>
              <w:keepLines w:val="0"/>
              <w:pageBreakBefore w:val="0"/>
              <w:widowControl/>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r>
      <w:tr w14:paraId="4DBB2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696" w:type="dxa"/>
            <w:tcBorders>
              <w:top w:val="single" w:color="000000" w:sz="4" w:space="0"/>
              <w:left w:val="single" w:color="000000" w:sz="4" w:space="0"/>
              <w:bottom w:val="single" w:color="000000" w:sz="4" w:space="0"/>
              <w:right w:val="single" w:color="000000" w:sz="4" w:space="0"/>
            </w:tcBorders>
            <w:noWrap/>
            <w:vAlign w:val="center"/>
          </w:tcPr>
          <w:p w14:paraId="2E5E119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701" w:type="dxa"/>
            <w:tcBorders>
              <w:top w:val="single" w:color="000000" w:sz="4" w:space="0"/>
              <w:left w:val="single" w:color="000000" w:sz="4" w:space="0"/>
              <w:bottom w:val="single" w:color="000000" w:sz="4" w:space="0"/>
              <w:right w:val="single" w:color="000000" w:sz="4" w:space="0"/>
            </w:tcBorders>
            <w:noWrap w:val="0"/>
            <w:vAlign w:val="bottom"/>
          </w:tcPr>
          <w:p w14:paraId="0AF49CA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森林公园安全巡查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[服务说明]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1.部位:森林公园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2.期限:12个月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3.负责：公共财产保全管理、公共秩序维护管理、交通与停车秩序管理、消防安全管理、商业及宣传秩序管理、重要接待及大型活动秩序维护，安保需做好解释及劝导等工作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4.配备巡逻车辆及安全巡查防护装备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5.国家规定的津贴、保险等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6.具体详见实施方案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1.保洁、绿化及设施巡查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2.防火巡视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3.治安巡视</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7C33FA2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0D7AEE1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岗</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0858D2A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4473</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3849B2D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元/岗/月</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4140D00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429408</w:t>
            </w:r>
          </w:p>
        </w:tc>
        <w:tc>
          <w:tcPr>
            <w:tcW w:w="285" w:type="dxa"/>
            <w:tcBorders>
              <w:top w:val="single" w:color="000000" w:sz="4" w:space="0"/>
              <w:left w:val="single" w:color="000000" w:sz="4" w:space="0"/>
              <w:bottom w:val="single" w:color="000000" w:sz="4" w:space="0"/>
              <w:right w:val="single" w:color="000000" w:sz="4" w:space="0"/>
            </w:tcBorders>
            <w:noWrap/>
            <w:vAlign w:val="center"/>
          </w:tcPr>
          <w:p w14:paraId="397553C5">
            <w:pPr>
              <w:keepNext w:val="0"/>
              <w:keepLines w:val="0"/>
              <w:pageBreakBefore w:val="0"/>
              <w:widowControl/>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r>
      <w:tr w14:paraId="52B3F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696" w:type="dxa"/>
            <w:tcBorders>
              <w:top w:val="single" w:color="000000" w:sz="4" w:space="0"/>
              <w:left w:val="single" w:color="000000" w:sz="4" w:space="0"/>
              <w:bottom w:val="single" w:color="000000" w:sz="4" w:space="0"/>
              <w:right w:val="single" w:color="000000" w:sz="4" w:space="0"/>
            </w:tcBorders>
            <w:noWrap/>
            <w:vAlign w:val="center"/>
          </w:tcPr>
          <w:p w14:paraId="034E88A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701" w:type="dxa"/>
            <w:tcBorders>
              <w:top w:val="single" w:color="000000" w:sz="4" w:space="0"/>
              <w:left w:val="single" w:color="000000" w:sz="4" w:space="0"/>
              <w:bottom w:val="single" w:color="000000" w:sz="4" w:space="0"/>
              <w:right w:val="single" w:color="000000" w:sz="4" w:space="0"/>
            </w:tcBorders>
            <w:noWrap w:val="0"/>
            <w:vAlign w:val="bottom"/>
          </w:tcPr>
          <w:p w14:paraId="4B4A926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公卫中心东侧公园安全巡查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[服务说明]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1.部位:公卫中心东侧公园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2.期限:12个月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3.负责：公共财产保全管理、公共秩序维护管理、交通与停车秩序管理、消防安全管理、商业及宣传秩序管理、重要接待及大型活动秩序维护，安保需做好解释及劝导等工作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4.配备巡逻车辆及安全巡查防护装备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5.国家规定的津贴、保险等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6.具体详见实施方案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1.保洁、绿化及设施巡查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2.防火巡视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3.治安巡视</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0D58D3E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2D96D56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岗</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5BFC31A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4473</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5EBEACF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元/岗/月</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0286183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214704</w:t>
            </w:r>
          </w:p>
        </w:tc>
        <w:tc>
          <w:tcPr>
            <w:tcW w:w="285" w:type="dxa"/>
            <w:tcBorders>
              <w:top w:val="single" w:color="000000" w:sz="4" w:space="0"/>
              <w:left w:val="single" w:color="000000" w:sz="4" w:space="0"/>
              <w:bottom w:val="single" w:color="000000" w:sz="4" w:space="0"/>
              <w:right w:val="single" w:color="000000" w:sz="4" w:space="0"/>
            </w:tcBorders>
            <w:noWrap/>
            <w:vAlign w:val="center"/>
          </w:tcPr>
          <w:p w14:paraId="21D594E7">
            <w:pPr>
              <w:keepNext w:val="0"/>
              <w:keepLines w:val="0"/>
              <w:pageBreakBefore w:val="0"/>
              <w:widowControl/>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r>
      <w:tr w14:paraId="41CF9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696" w:type="dxa"/>
            <w:tcBorders>
              <w:top w:val="single" w:color="000000" w:sz="4" w:space="0"/>
              <w:left w:val="single" w:color="000000" w:sz="4" w:space="0"/>
              <w:bottom w:val="single" w:color="000000" w:sz="4" w:space="0"/>
              <w:right w:val="single" w:color="000000" w:sz="4" w:space="0"/>
            </w:tcBorders>
            <w:noWrap/>
            <w:vAlign w:val="center"/>
          </w:tcPr>
          <w:p w14:paraId="4D91830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701" w:type="dxa"/>
            <w:tcBorders>
              <w:top w:val="single" w:color="000000" w:sz="4" w:space="0"/>
              <w:left w:val="single" w:color="000000" w:sz="4" w:space="0"/>
              <w:bottom w:val="single" w:color="000000" w:sz="4" w:space="0"/>
              <w:right w:val="single" w:color="000000" w:sz="4" w:space="0"/>
            </w:tcBorders>
            <w:noWrap w:val="0"/>
            <w:vAlign w:val="bottom"/>
          </w:tcPr>
          <w:p w14:paraId="0EF5683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南北绿廊安全巡查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[服务说明]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1.部位:南北绿廊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2.期限:12个月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3.负责：公共财产保全管理、公共秩序维护管理、交通与停车秩序管理、消防安全管理、商业及宣传秩序管理、重要接待及大型活动秩序维护，安保需做好解释及劝导等工作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4.配备巡逻车辆及安全巡查防护装备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5.国家规定的津贴、保险等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6.具体详见实施方案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1.保洁、绿化及设施巡查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2.防火巡视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3.治安巡视</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24E5DBF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13D2D0B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岗</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72916E8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4473</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034D9A2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元/岗/月</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671C24A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429408</w:t>
            </w:r>
          </w:p>
        </w:tc>
        <w:tc>
          <w:tcPr>
            <w:tcW w:w="285" w:type="dxa"/>
            <w:tcBorders>
              <w:top w:val="single" w:color="000000" w:sz="4" w:space="0"/>
              <w:left w:val="single" w:color="000000" w:sz="4" w:space="0"/>
              <w:bottom w:val="single" w:color="000000" w:sz="4" w:space="0"/>
              <w:right w:val="single" w:color="000000" w:sz="4" w:space="0"/>
            </w:tcBorders>
            <w:noWrap/>
            <w:vAlign w:val="center"/>
          </w:tcPr>
          <w:p w14:paraId="68A26E85">
            <w:pPr>
              <w:keepNext w:val="0"/>
              <w:keepLines w:val="0"/>
              <w:pageBreakBefore w:val="0"/>
              <w:widowControl/>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r>
      <w:tr w14:paraId="07094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696" w:type="dxa"/>
            <w:tcBorders>
              <w:top w:val="single" w:color="000000" w:sz="4" w:space="0"/>
              <w:left w:val="single" w:color="000000" w:sz="4" w:space="0"/>
              <w:bottom w:val="single" w:color="000000" w:sz="4" w:space="0"/>
              <w:right w:val="single" w:color="000000" w:sz="4" w:space="0"/>
            </w:tcBorders>
            <w:noWrap/>
            <w:vAlign w:val="center"/>
          </w:tcPr>
          <w:p w14:paraId="17BF559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701" w:type="dxa"/>
            <w:tcBorders>
              <w:top w:val="single" w:color="000000" w:sz="4" w:space="0"/>
              <w:left w:val="single" w:color="000000" w:sz="4" w:space="0"/>
              <w:bottom w:val="single" w:color="000000" w:sz="4" w:space="0"/>
              <w:right w:val="single" w:color="000000" w:sz="4" w:space="0"/>
            </w:tcBorders>
            <w:noWrap w:val="0"/>
            <w:vAlign w:val="bottom"/>
          </w:tcPr>
          <w:p w14:paraId="7FFCC7B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安全巡查（节假日临时增派）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[服务说明]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1.部位:每日临时增派安保力量15岗（能源金贸片区沣河、渭河、森林公园共10岗，文教园沣河、沙河区域5岗）工作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2.期限:全年节假日（清明、端午、五一、中秋、国庆、春节）预计30日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3.负责：公共财产保全管理、公共秩序维护管理、交通与停车秩序管理、消防安全管理、商业及宣传秩序管理、水域安全管理、重要接待及大型活动秩序维护，安保需做好解释及劝导等工作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4.配备巡逻车辆及安全巡查防护装备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5.国家规定的津贴、保险等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6.具体详见实施方案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1.保洁、绿化及设施巡查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2.水面巡视</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08B0543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02DE57D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岗</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3D93CDA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170</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183C8D3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元/岗/日</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5D0833E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76500</w:t>
            </w:r>
          </w:p>
        </w:tc>
        <w:tc>
          <w:tcPr>
            <w:tcW w:w="285" w:type="dxa"/>
            <w:tcBorders>
              <w:top w:val="single" w:color="000000" w:sz="4" w:space="0"/>
              <w:left w:val="single" w:color="000000" w:sz="4" w:space="0"/>
              <w:bottom w:val="single" w:color="000000" w:sz="4" w:space="0"/>
              <w:right w:val="single" w:color="000000" w:sz="4" w:space="0"/>
            </w:tcBorders>
            <w:noWrap/>
            <w:vAlign w:val="center"/>
          </w:tcPr>
          <w:p w14:paraId="682488D8">
            <w:pPr>
              <w:keepNext w:val="0"/>
              <w:keepLines w:val="0"/>
              <w:pageBreakBefore w:val="0"/>
              <w:widowControl/>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r>
      <w:tr w14:paraId="47CFD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696" w:type="dxa"/>
            <w:tcBorders>
              <w:top w:val="single" w:color="000000" w:sz="4" w:space="0"/>
              <w:left w:val="single" w:color="000000" w:sz="4" w:space="0"/>
              <w:bottom w:val="single" w:color="000000" w:sz="4" w:space="0"/>
              <w:right w:val="single" w:color="000000" w:sz="4" w:space="0"/>
            </w:tcBorders>
            <w:noWrap/>
            <w:vAlign w:val="center"/>
          </w:tcPr>
          <w:p w14:paraId="57871CC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6701" w:type="dxa"/>
            <w:tcBorders>
              <w:top w:val="single" w:color="000000" w:sz="4" w:space="0"/>
              <w:left w:val="single" w:color="000000" w:sz="4" w:space="0"/>
              <w:bottom w:val="single" w:color="000000" w:sz="4" w:space="0"/>
              <w:right w:val="single" w:color="000000" w:sz="4" w:space="0"/>
            </w:tcBorders>
            <w:noWrap/>
            <w:vAlign w:val="center"/>
          </w:tcPr>
          <w:p w14:paraId="4E734F2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暂列服务金</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4065B7A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6ACB065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48A9F92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76" w:type="dxa"/>
            <w:tcBorders>
              <w:top w:val="single" w:color="000000" w:sz="4" w:space="0"/>
              <w:left w:val="single" w:color="000000" w:sz="4" w:space="0"/>
              <w:bottom w:val="single" w:color="000000" w:sz="4" w:space="0"/>
              <w:right w:val="single" w:color="000000" w:sz="4" w:space="0"/>
            </w:tcBorders>
            <w:noWrap/>
            <w:vAlign w:val="center"/>
          </w:tcPr>
          <w:p w14:paraId="2FC8063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3ADE8EC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500000</w:t>
            </w:r>
          </w:p>
        </w:tc>
        <w:tc>
          <w:tcPr>
            <w:tcW w:w="285" w:type="dxa"/>
            <w:tcBorders>
              <w:top w:val="single" w:color="000000" w:sz="4" w:space="0"/>
              <w:left w:val="single" w:color="000000" w:sz="4" w:space="0"/>
              <w:bottom w:val="single" w:color="000000" w:sz="4" w:space="0"/>
              <w:right w:val="single" w:color="000000" w:sz="4" w:space="0"/>
            </w:tcBorders>
            <w:noWrap/>
            <w:vAlign w:val="center"/>
          </w:tcPr>
          <w:p w14:paraId="3E3720F0">
            <w:pPr>
              <w:keepNext w:val="0"/>
              <w:keepLines w:val="0"/>
              <w:pageBreakBefore w:val="0"/>
              <w:widowControl/>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r>
      <w:tr w14:paraId="1D633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2341" w:type="dxa"/>
            <w:gridSpan w:val="6"/>
            <w:tcBorders>
              <w:top w:val="single" w:color="000000" w:sz="4" w:space="0"/>
              <w:left w:val="single" w:color="000000" w:sz="4" w:space="0"/>
              <w:bottom w:val="single" w:color="000000" w:sz="4" w:space="0"/>
              <w:right w:val="single" w:color="000000" w:sz="4" w:space="0"/>
            </w:tcBorders>
            <w:noWrap w:val="0"/>
            <w:vAlign w:val="center"/>
          </w:tcPr>
          <w:p w14:paraId="0FCABF6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2F94961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7107080</w:t>
            </w:r>
          </w:p>
        </w:tc>
        <w:tc>
          <w:tcPr>
            <w:tcW w:w="285" w:type="dxa"/>
            <w:tcBorders>
              <w:top w:val="single" w:color="000000" w:sz="4" w:space="0"/>
              <w:left w:val="single" w:color="000000" w:sz="4" w:space="0"/>
              <w:bottom w:val="single" w:color="000000" w:sz="4" w:space="0"/>
              <w:right w:val="single" w:color="000000" w:sz="4" w:space="0"/>
            </w:tcBorders>
            <w:noWrap/>
            <w:vAlign w:val="center"/>
          </w:tcPr>
          <w:p w14:paraId="20B6A7E9">
            <w:pPr>
              <w:keepNext w:val="0"/>
              <w:keepLines w:val="0"/>
              <w:pageBreakBefore w:val="0"/>
              <w:widowControl/>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r>
      <w:tr w14:paraId="2E79F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4205" w:type="dxa"/>
            <w:gridSpan w:val="8"/>
            <w:tcBorders>
              <w:top w:val="nil"/>
              <w:left w:val="nil"/>
              <w:bottom w:val="nil"/>
              <w:right w:val="nil"/>
            </w:tcBorders>
            <w:noWrap/>
            <w:vAlign w:val="bottom"/>
          </w:tcPr>
          <w:p w14:paraId="03B721A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全费用单价包含人</w:t>
            </w:r>
            <w:r>
              <w:rPr>
                <w:rFonts w:hint="eastAsia" w:ascii="宋体" w:hAnsi="宋体" w:eastAsia="宋体" w:cs="宋体"/>
                <w:color w:val="auto"/>
                <w:kern w:val="0"/>
                <w:sz w:val="24"/>
                <w:szCs w:val="24"/>
                <w:highlight w:val="none"/>
                <w:lang w:val="en-US" w:eastAsia="zh-CN"/>
              </w:rPr>
              <w:t>工费</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保险、</w:t>
            </w:r>
            <w:r>
              <w:rPr>
                <w:rFonts w:hint="eastAsia" w:ascii="宋体" w:hAnsi="宋体" w:eastAsia="宋体" w:cs="宋体"/>
                <w:color w:val="auto"/>
                <w:kern w:val="0"/>
                <w:sz w:val="24"/>
                <w:szCs w:val="24"/>
                <w:highlight w:val="none"/>
                <w:lang w:val="en-US" w:eastAsia="zh-CN"/>
              </w:rPr>
              <w:t>服装</w:t>
            </w:r>
            <w:r>
              <w:rPr>
                <w:rFonts w:hint="eastAsia" w:ascii="宋体" w:hAnsi="宋体" w:eastAsia="宋体" w:cs="宋体"/>
                <w:color w:val="auto"/>
                <w:kern w:val="0"/>
                <w:sz w:val="24"/>
                <w:szCs w:val="24"/>
                <w:highlight w:val="none"/>
              </w:rPr>
              <w:t>费、巡查车辆、巡查装备、管理费、利润、税金</w:t>
            </w:r>
            <w:r>
              <w:rPr>
                <w:rFonts w:hint="eastAsia" w:ascii="宋体" w:hAnsi="宋体" w:eastAsia="宋体" w:cs="宋体"/>
                <w:i w:val="0"/>
                <w:iCs w:val="0"/>
                <w:color w:val="auto"/>
                <w:kern w:val="0"/>
                <w:sz w:val="24"/>
                <w:szCs w:val="24"/>
                <w:u w:val="none"/>
                <w:lang w:val="en-US" w:eastAsia="zh-CN" w:bidi="ar"/>
              </w:rPr>
              <w:t>等为完成所对应清单服务项服务</w:t>
            </w:r>
            <w:r>
              <w:rPr>
                <w:rStyle w:val="8"/>
                <w:rFonts w:hint="eastAsia" w:ascii="宋体" w:hAnsi="宋体" w:eastAsia="宋体" w:cs="宋体"/>
                <w:color w:val="auto"/>
                <w:sz w:val="24"/>
                <w:szCs w:val="24"/>
                <w:lang w:val="en-US" w:eastAsia="zh-CN" w:bidi="ar"/>
              </w:rPr>
              <w:t>所发生</w:t>
            </w:r>
            <w:r>
              <w:rPr>
                <w:rStyle w:val="8"/>
                <w:rFonts w:hint="eastAsia" w:ascii="宋体" w:hAnsi="宋体" w:eastAsia="宋体" w:cs="宋体"/>
                <w:sz w:val="24"/>
                <w:szCs w:val="24"/>
                <w:lang w:val="en-US" w:eastAsia="zh-CN" w:bidi="ar"/>
              </w:rPr>
              <w:t>的一切费用。</w:t>
            </w:r>
          </w:p>
        </w:tc>
      </w:tr>
    </w:tbl>
    <w:p w14:paraId="40C78279">
      <w:pPr>
        <w:pStyle w:val="4"/>
        <w:keepNext w:val="0"/>
        <w:keepLines w:val="0"/>
        <w:pageBreakBefore w:val="0"/>
        <w:widowControl w:val="0"/>
        <w:numPr>
          <w:ilvl w:val="0"/>
          <w:numId w:val="0"/>
        </w:numPr>
        <w:kinsoku/>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kern w:val="2"/>
          <w:sz w:val="24"/>
          <w:szCs w:val="24"/>
          <w:highlight w:val="none"/>
          <w:lang w:val="en-US" w:eastAsia="zh-CN" w:bidi="ar-SA"/>
        </w:rPr>
      </w:pPr>
    </w:p>
    <w:p w14:paraId="2FECF067">
      <w:pPr>
        <w:pStyle w:val="4"/>
        <w:keepNext w:val="0"/>
        <w:keepLines w:val="0"/>
        <w:pageBreakBefore w:val="0"/>
        <w:widowControl w:val="0"/>
        <w:numPr>
          <w:ilvl w:val="0"/>
          <w:numId w:val="0"/>
        </w:numPr>
        <w:kinsoku/>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kern w:val="2"/>
          <w:sz w:val="24"/>
          <w:szCs w:val="24"/>
          <w:highlight w:val="none"/>
          <w:lang w:val="en-US" w:eastAsia="zh-CN" w:bidi="ar-SA"/>
        </w:rPr>
      </w:pPr>
    </w:p>
    <w:p w14:paraId="5278810D">
      <w:pPr>
        <w:pStyle w:val="9"/>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kern w:val="2"/>
          <w:sz w:val="24"/>
          <w:szCs w:val="24"/>
          <w:highlight w:val="none"/>
          <w:lang w:val="en-US" w:eastAsia="zh-CN" w:bidi="ar-SA"/>
        </w:rPr>
        <w:sectPr>
          <w:pgSz w:w="16877" w:h="11962" w:orient="landscape"/>
          <w:pgMar w:top="1083" w:right="1440" w:bottom="1083" w:left="1440" w:header="1304" w:footer="1304" w:gutter="283"/>
          <w:pgNumType w:fmt="decimal" w:start="1"/>
          <w:cols w:space="720" w:num="1"/>
          <w:titlePg/>
          <w:rtlGutter w:val="0"/>
          <w:docGrid w:linePitch="0" w:charSpace="0"/>
        </w:sectPr>
      </w:pPr>
    </w:p>
    <w:p w14:paraId="324957D5">
      <w:pPr>
        <w:pStyle w:val="9"/>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kern w:val="2"/>
          <w:sz w:val="24"/>
          <w:szCs w:val="24"/>
          <w:highlight w:val="none"/>
          <w:lang w:val="en-US" w:eastAsia="zh-CN" w:bidi="ar-SA"/>
        </w:rPr>
        <w:t>安防服务标准及要求</w:t>
      </w:r>
    </w:p>
    <w:p w14:paraId="5A2681B0">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outlineLvl w:val="3"/>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安全巡查管理：在日常检查过程中，安全巡查员负责项目范围内的公共财产保全、公共秩序维护、安全生产管理、景区内保洁、绿化及设施巡查等工作，配合保障重大接待、重大活动，对项目范围内的各类紧急情况进行应急处置。有效防范化解安全风险，充分发挥了安全防范的第一道防线的作用，确保安全生产形势稳中向好，为经济社会发展筑牢了安全防线。</w:t>
      </w:r>
    </w:p>
    <w:p w14:paraId="17CF4C33">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auto"/>
        <w:outlineLvl w:val="3"/>
        <w:rPr>
          <w:rFonts w:hint="eastAsia" w:ascii="宋体" w:hAnsi="宋体" w:eastAsia="宋体" w:cs="宋体"/>
          <w:b/>
          <w:bCs/>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1.公共财产保全管理</w:t>
      </w:r>
    </w:p>
    <w:p w14:paraId="16CEA942">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对区域内公共财产以及要求进行财产保全的其他财产进行24小时看护，及时发现、上报并有效制止盗抢、破坏公共财产的行为。对区域内的各项安全设施进行24小时看护，并进行日常维护，及时发现和有效制止破坏设施设备的行为，发现损坏及时上报；有效保障工作人员人身安全。</w:t>
      </w:r>
    </w:p>
    <w:p w14:paraId="517D6ECF">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auto"/>
        <w:outlineLvl w:val="3"/>
        <w:rPr>
          <w:rFonts w:hint="eastAsia" w:ascii="宋体" w:hAnsi="宋体" w:eastAsia="宋体" w:cs="宋体"/>
          <w:b/>
          <w:bCs/>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2.公共秩序维护管理</w:t>
      </w:r>
    </w:p>
    <w:p w14:paraId="78B64B20">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outlineLvl w:val="4"/>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（1）禁止动用明火等行为；</w:t>
      </w:r>
    </w:p>
    <w:p w14:paraId="2AF24386">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（2）制止折损及攀爬树木、采花、摘果、采挖野菜破坏地表、放牧禽畜等行为；</w:t>
      </w:r>
    </w:p>
    <w:p w14:paraId="6E65C6C5">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（3）制止破坏公共设施设备，不准在树木和园区设施上刻划、涂抹、张贴标语等行为；</w:t>
      </w:r>
    </w:p>
    <w:p w14:paraId="7434C9AB">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（4）禁止燃放烟花爆竹，携带易燃易爆、有毒等危险物品；</w:t>
      </w:r>
    </w:p>
    <w:p w14:paraId="157914E3">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（5）禁止张贴、涂抹、散发广告和宣传品；</w:t>
      </w:r>
    </w:p>
    <w:p w14:paraId="72EE1542">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（6）禁止乞讨、赌博、色情、赤膊等不文明行为；</w:t>
      </w:r>
    </w:p>
    <w:p w14:paraId="312897CC">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（7）禁止使用高音喇叭等制造噪声影响他人的行为；</w:t>
      </w:r>
    </w:p>
    <w:p w14:paraId="15E4B80B">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（8）禁止甩鞭、打陀螺等影响他人安全的行为；</w:t>
      </w:r>
    </w:p>
    <w:p w14:paraId="2EA408FC">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（9）禁止寻衅斗殴、结伙滋事等违法违规行为；</w:t>
      </w:r>
    </w:p>
    <w:p w14:paraId="5FCC091A">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 xml:space="preserve">（10）禁止传播危害国家公共安全的信息及散布谣言； </w:t>
      </w:r>
    </w:p>
    <w:p w14:paraId="48995776">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（11）禁止排放污水污染水域，禁止倾倒垃圾；</w:t>
      </w:r>
    </w:p>
    <w:p w14:paraId="5BF67331">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（12）禁止放生对生态有危害的物种；</w:t>
      </w:r>
    </w:p>
    <w:p w14:paraId="6F6E9332">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（13）禁止捕捉野生动物，射杀鸟类；</w:t>
      </w:r>
    </w:p>
    <w:p w14:paraId="696E82A6">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（14）禁止自带皮筏、船只进入水域；</w:t>
      </w:r>
    </w:p>
    <w:p w14:paraId="5B70346A">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（15）禁止拥挤、堵塞道路及入口；</w:t>
      </w:r>
    </w:p>
    <w:p w14:paraId="796C0CF9">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（16）禁止取用河水、公厕水源、喷灌水源等洗车。</w:t>
      </w:r>
    </w:p>
    <w:p w14:paraId="333930EB">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（17）未经允许禁止在管控区域举办集会、展览等集体活动；</w:t>
      </w:r>
    </w:p>
    <w:p w14:paraId="0120B93D">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（18）未经允许禁止在管控区域设摊、布点售卖；</w:t>
      </w:r>
    </w:p>
    <w:p w14:paraId="75E0713F">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（19）未经允许禁止在管控区域范围内使用无人机或拍摄宣传片、电视、电影等；</w:t>
      </w:r>
    </w:p>
    <w:p w14:paraId="0C9B793C">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auto"/>
        <w:outlineLvl w:val="3"/>
        <w:rPr>
          <w:rFonts w:hint="eastAsia" w:ascii="宋体" w:hAnsi="宋体" w:eastAsia="宋体" w:cs="宋体"/>
          <w:b/>
          <w:bCs/>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3.交通通行与停车秩序管理</w:t>
      </w:r>
    </w:p>
    <w:p w14:paraId="3ADD55C1">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做好项目范围内各类车辆行驶及行人的交通安全管理，自觉清理各类未经允许而进入管理区域的车辆，及时有效制止其他各类违反项目管理相关规定的行为。禁止电动车、自行车在公共绿地、草坪上行驶或停放，清理各类车辆乱停乱放的现象，按要求规范停放。</w:t>
      </w:r>
    </w:p>
    <w:p w14:paraId="3025F99C">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outlineLvl w:val="4"/>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（1）未开放区域无通行证机动车不得入内。</w:t>
      </w:r>
    </w:p>
    <w:p w14:paraId="2B49EE4C">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（2）施工作业车辆进入园区需在岗亭处登记，不得占用一级园路阻碍交通。</w:t>
      </w:r>
    </w:p>
    <w:p w14:paraId="5D4A8B39">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（3）电动车不得进入一级管控区，电动车停放应在指定位置。</w:t>
      </w:r>
    </w:p>
    <w:p w14:paraId="059D1E40">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（4）警车、救护车，救火车等执行公务的车辆进入应快速放行。</w:t>
      </w:r>
    </w:p>
    <w:p w14:paraId="3C77806F">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（5）禁止自行车、电瓶车、摩托车、机动车进入临河游步道；非机动车可在三河一山绿道通行。</w:t>
      </w:r>
    </w:p>
    <w:p w14:paraId="15A63678">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（6）禁止摩托车、机动车进入一级管控区域（除应急救援及作业车辆）；</w:t>
      </w:r>
    </w:p>
    <w:p w14:paraId="6815CCAF">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（7）残障人士等特殊人员设备进入园区，应有监护人陪同并规范放置，不得占压公共绿地。</w:t>
      </w:r>
    </w:p>
    <w:p w14:paraId="5B3990C2">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（8）进入园区，猫、狗等宠物需配备牵引绳，并且配备清理宠物粪便的工具。</w:t>
      </w:r>
    </w:p>
    <w:p w14:paraId="6431257F">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auto"/>
        <w:outlineLvl w:val="3"/>
        <w:rPr>
          <w:rFonts w:hint="eastAsia" w:ascii="宋体" w:hAnsi="宋体" w:eastAsia="宋体" w:cs="宋体"/>
          <w:b/>
          <w:bCs/>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4.消防安全管理</w:t>
      </w:r>
    </w:p>
    <w:p w14:paraId="6B1FFD58">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定期检查消防设施设备，确保各类设施设备有效；检查各消防通道，保证畅通；普及和宣传消防知识，定期组织消防演习、培训等活动。</w:t>
      </w:r>
    </w:p>
    <w:p w14:paraId="7D1A9B90">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auto"/>
        <w:outlineLvl w:val="3"/>
        <w:rPr>
          <w:rFonts w:hint="eastAsia" w:ascii="宋体" w:hAnsi="宋体" w:eastAsia="宋体" w:cs="宋体"/>
          <w:b/>
          <w:bCs/>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5.商业及宣传秩序管理</w:t>
      </w:r>
    </w:p>
    <w:p w14:paraId="5A7212D0">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及时发现、劝阻项目范围内开展售卖活动的游商小贩。及时发现、劝阻出店经营、超范围经营、使用高音喇叭宣传等行为。</w:t>
      </w:r>
    </w:p>
    <w:p w14:paraId="43A2161A">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auto"/>
        <w:outlineLvl w:val="3"/>
        <w:rPr>
          <w:rFonts w:hint="eastAsia" w:ascii="宋体" w:hAnsi="宋体" w:eastAsia="宋体" w:cs="宋体"/>
          <w:b/>
          <w:bCs/>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6.水域安全管理</w:t>
      </w:r>
    </w:p>
    <w:p w14:paraId="2B714BF3">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对项目范围内各类涉水活动进行规范，保障包括游客及工作人员在内的各类涉水人员人身安全，及时发现和制止各类危险亲水行为，及时发现和营救落水人员，对水上船只的动力设备、消防设备等进行检查，确保水域财产安全和消防安全，及时发现和有效制止各类破坏、污染水域环境的行为。</w:t>
      </w:r>
    </w:p>
    <w:p w14:paraId="05C51E21">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①及时劝离项目范围内的野泳、野炊、野钓行为，禁止捕鱼、下网、射鱼。</w:t>
      </w:r>
    </w:p>
    <w:p w14:paraId="32B74A45">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②监视河道水面情况，未经允许，禁止任何人、船艇、竹筏子等进入水域。</w:t>
      </w:r>
    </w:p>
    <w:p w14:paraId="7E448B33">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③按照河道管理部门要求做好汛期、排水期的清滩工作。</w:t>
      </w:r>
    </w:p>
    <w:p w14:paraId="5F453D0C">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auto"/>
        <w:rPr>
          <w:rFonts w:hint="eastAsia" w:ascii="宋体" w:hAnsi="宋体" w:eastAsia="宋体" w:cs="宋体"/>
          <w:b/>
          <w:bCs/>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7. 景观区及公园广场区内保洁、绿化及设施巡查</w:t>
      </w:r>
    </w:p>
    <w:p w14:paraId="1C5589E4">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1.保洁巡查</w:t>
      </w:r>
    </w:p>
    <w:p w14:paraId="0042AA3A">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全域巡查主次干道、步道、广场、垃圾桶点位及时清理散落垃圾、杂物、烟头、白色垃圾。</w:t>
      </w:r>
    </w:p>
    <w:p w14:paraId="7BE625B2">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检查垃圾桶满溢、破损、异味情况。</w:t>
      </w:r>
    </w:p>
    <w:p w14:paraId="43FC8EF0">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重点巡查河边、绿化带边角、桥下、隐蔽角落卫生死角，做到无积存垃圾、无杂草杂物。</w:t>
      </w:r>
    </w:p>
    <w:p w14:paraId="189C11B9">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巡查水面保洁，清理漂浮物、落叶、杂物，保持水域干净整洁。</w:t>
      </w:r>
    </w:p>
    <w:p w14:paraId="35811E54">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2.绿化巡查</w:t>
      </w:r>
    </w:p>
    <w:p w14:paraId="28F72857">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巡查乔木、灌木、草坪长势，排查枯枝、断枝、病虫害、枯萎死亡植株。</w:t>
      </w:r>
    </w:p>
    <w:p w14:paraId="36D2A83B">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巡查绿化浇灌、喷淋设施完好性，查看有无绿植缺水、积水涝害问题。</w:t>
      </w:r>
    </w:p>
    <w:p w14:paraId="3A7D76E3">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3.设施巡查</w:t>
      </w:r>
    </w:p>
    <w:p w14:paraId="2AE1E4A3">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公共设施：座椅、凉亭、标识牌、导览牌、路灯、监控、健身娱乐设施，检查有无破损、松动、掉漆、缺失。</w:t>
      </w:r>
    </w:p>
    <w:p w14:paraId="0F961F48">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安防及围挡：防护栏杆、围墙、警示标识、隔离设施，查看是否松动、破损、缺失等问题。</w:t>
      </w:r>
    </w:p>
    <w:p w14:paraId="67264C7B">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路面步道：检查地砖破损、塌陷、裂缝、松动等隐患问题。</w:t>
      </w:r>
    </w:p>
    <w:p w14:paraId="434428BA">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4.巡查工作要求</w:t>
      </w:r>
    </w:p>
    <w:p w14:paraId="425564B1">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常态化巡检，做好巡查台账记录，问题分类登记并按照甲方要求上报。</w:t>
      </w:r>
    </w:p>
    <w:p w14:paraId="4FA089C1">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发现安全隐患、设施损坏、大面积垃圾堆积、绿化严重病虫害，第一时间上报。</w:t>
      </w:r>
    </w:p>
    <w:p w14:paraId="65084102">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auto"/>
        <w:outlineLvl w:val="3"/>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7.重要接待及大型活动秩序维护</w:t>
      </w:r>
    </w:p>
    <w:p w14:paraId="47B7B3EC">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对区域内各类接待及活动的现场、沿线及停留区域进行安全布防，确保参加各类接待及活动的相关人员的人身和财产安全，疏导交通安全管理，及时发现和制止影响各类接待及活动顺利进行的行为，确保区域内进行的各类接待及活动顺利安全开展。</w:t>
      </w:r>
    </w:p>
    <w:p w14:paraId="1BEB6CCA">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auto"/>
        <w:outlineLvl w:val="3"/>
        <w:rPr>
          <w:rFonts w:hint="eastAsia" w:ascii="宋体" w:hAnsi="宋体" w:eastAsia="宋体" w:cs="宋体"/>
          <w:b/>
          <w:bCs/>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8.监控室值守和管理</w:t>
      </w:r>
    </w:p>
    <w:p w14:paraId="19971F3E">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yellow"/>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按照规定的时间范围，严密观察监控，根据其他岗位提供的情况及从屏幕中观察到的可疑情况，定时、定位、定人及时录像，对发现的治安、刑事案件、火灾、事故等迅速按照工作程序上报处理。</w:t>
      </w:r>
    </w:p>
    <w:p w14:paraId="32649FBD">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auto"/>
        <w:outlineLvl w:val="3"/>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9.自然灾害和突发事件的应急处置</w:t>
      </w:r>
    </w:p>
    <w:p w14:paraId="06C656D6">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对火灾、大风、大雨、大雪等极端天气或灾害以及上访、非法集会、封门堵路等突发事件制定合理有效的应急预案，及时发现并积极应对，按预定程序上报。</w:t>
      </w:r>
    </w:p>
    <w:p w14:paraId="015530E2">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auto"/>
        <w:outlineLvl w:val="3"/>
        <w:rPr>
          <w:rFonts w:hint="eastAsia" w:ascii="宋体" w:hAnsi="宋体" w:eastAsia="宋体" w:cs="宋体"/>
          <w:b/>
          <w:bCs/>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10.安全巡查人员服务要求：</w:t>
      </w:r>
    </w:p>
    <w:p w14:paraId="4F270831">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安全巡查计量单位为“岗”，即按岗计费，保证每岗每班均有人在岗，不计休假，旺季合计安全巡查人员每日130岗，淡季合计安全巡查人员每日110岗，白夜班轮换保证24小时有人在岗，具体时间节点为淡季早班9点-21点，夜班21点-次日9点；旺季10点-22点，夜班22点-次日10点。</w:t>
      </w:r>
    </w:p>
    <w:p w14:paraId="1CE4CD13">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（4）安全巡查（节假日临时增派）</w:t>
      </w:r>
    </w:p>
    <w:p w14:paraId="49063D7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每日临时增派安保力量15岗（能源金贸片区沣河、渭河、森林公园共10岗，文教园沣河、沙河区域5岗），共450岗。</w:t>
      </w:r>
    </w:p>
    <w:p w14:paraId="5F4F1E90">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lang w:val="en-US" w:eastAsia="zh-CN" w:bidi="ar"/>
        </w:rPr>
        <w:t>（5）</w:t>
      </w:r>
      <w:r>
        <w:rPr>
          <w:rFonts w:hint="eastAsia" w:ascii="宋体" w:hAnsi="宋体" w:eastAsia="宋体" w:cs="宋体"/>
          <w:i w:val="0"/>
          <w:iCs w:val="0"/>
          <w:color w:val="auto"/>
          <w:kern w:val="0"/>
          <w:sz w:val="24"/>
          <w:szCs w:val="24"/>
          <w:highlight w:val="none"/>
          <w:u w:val="none"/>
          <w:lang w:val="en-US" w:eastAsia="zh-CN" w:bidi="ar"/>
        </w:rPr>
        <w:t>甲方临时指派任务保障，费用来源项目用暂列金，岗费用同临勤，方式以甲方派工为主，据实结算。</w:t>
      </w:r>
    </w:p>
    <w:p w14:paraId="5533B64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（6）加岗人员职责：</w:t>
      </w:r>
    </w:p>
    <w:p w14:paraId="774934D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1、安全巡查人员应保障巡逻范围内的设施和游客安全，熟悉巡逻范围内各种物品和设备的存放位置，发现异常，要立即查明情况，并向有关领导报告。</w:t>
      </w:r>
    </w:p>
    <w:p w14:paraId="6B1EB8C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2、检查电线线路有无损坏，如有可能出现火灾，要立即报告有关人员作出妥善处理。</w:t>
      </w:r>
    </w:p>
    <w:p w14:paraId="733B3D7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outlineLvl w:val="3"/>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3、巡逻途中如闻到异味，听到怪声，要立即查明情况。</w:t>
      </w:r>
    </w:p>
    <w:p w14:paraId="58B8743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4、注意观察来往人员的情况及携带的物品，发现可疑的人员和物品，应在适当的位置上监视并立即报告。</w:t>
      </w:r>
    </w:p>
    <w:p w14:paraId="00797FA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5、发现偷盗、流氓、打架、闹事等情况，应立即设法制止。如抓获犯罪分子，移交公安机关处理。</w:t>
      </w:r>
    </w:p>
    <w:p w14:paraId="75AA333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6、发现火警，立即采取扑救措施，并向消防部门报警（火警电话119）。</w:t>
      </w:r>
    </w:p>
    <w:p w14:paraId="2206263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7、在安全巡查值勤范围内，要注意每个角落是否有来历不明的物品，并查明情况。如属危险爆炸物，要在报告主管部门后按有关规定及时进行安全处理，事后写出书面处理报告。</w:t>
      </w:r>
    </w:p>
    <w:p w14:paraId="1B03730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8、在巡逻中如发现有歹徒袭击，每个队员都应该果断制止，积极采取正当防卫措施。</w:t>
      </w:r>
    </w:p>
    <w:p w14:paraId="2E65000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9、巡逻方式要灵活多变，要固定巡逻线路与不固定巡逻线路相结合，潜伏和明巡相结合，不给罪犯以可乘之机。</w:t>
      </w:r>
    </w:p>
    <w:p w14:paraId="30A234E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outlineLvl w:val="3"/>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10、火灾或重大刑事案件发生后，须及时向主管领导报告。</w:t>
      </w:r>
    </w:p>
    <w:p w14:paraId="58A33DB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11、根据季节加强河道巡查、亲水游客、搭建吊床游客、明火烧烤游客、野钓游客、野泳游客、乱停乱放车辆等不文明行为劝离。</w:t>
      </w:r>
    </w:p>
    <w:p w14:paraId="73AC980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（7）设备保障要求：</w:t>
      </w:r>
    </w:p>
    <w:p w14:paraId="4EF15F5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乙方需为现场服务人员提供必要的劳动防护用品，必备的服装、器械、照明电筒、通讯器材和交通工具等。</w:t>
      </w:r>
    </w:p>
    <w:p w14:paraId="18C19EF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auto"/>
        <w:rPr>
          <w:rFonts w:hint="eastAsia" w:ascii="宋体" w:hAnsi="宋体" w:eastAsia="宋体" w:cs="宋体"/>
          <w:b/>
          <w:bCs/>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巡查车辆要求：配备巡查车辆应能源金贸片区沣河两轮巡查车不少于12辆、渭河两轮巡查车不少于6辆，森林公园两轮巡查车不少于2辆，6座以上景区巡查车不少于1辆；文教园片区沣河两轮电动车不少于5辆，6座以上景区巡查车不少于1辆，文教园沙河公园两轮巡查车不少于2辆。</w:t>
      </w:r>
    </w:p>
    <w:p w14:paraId="651D5BA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auto"/>
        <w:rPr>
          <w:rFonts w:hint="eastAsia" w:ascii="宋体" w:hAnsi="宋体" w:eastAsia="宋体" w:cs="宋体"/>
          <w:b/>
          <w:bCs/>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三、商务要求</w:t>
      </w:r>
    </w:p>
    <w:p w14:paraId="46A07AE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auto"/>
        <w:rPr>
          <w:rFonts w:hint="eastAsia" w:ascii="宋体" w:hAnsi="宋体" w:eastAsia="宋体" w:cs="宋体"/>
          <w:b/>
          <w:bCs/>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（一）服务期：1年（2026年09月26日-2027年09月25日）</w:t>
      </w:r>
    </w:p>
    <w:p w14:paraId="01B8B9B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82" w:firstLineChars="200"/>
        <w:jc w:val="both"/>
        <w:textAlignment w:val="auto"/>
        <w:rPr>
          <w:rFonts w:hint="eastAsia" w:ascii="宋体" w:hAnsi="宋体" w:eastAsia="宋体" w:cs="宋体"/>
          <w:b/>
          <w:bCs/>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（二）服务地点：采购人指定地点</w:t>
      </w:r>
    </w:p>
    <w:p w14:paraId="6F007B98">
      <w:bookmarkStart w:id="4" w:name="_GoBack"/>
      <w:bookmarkEnd w:id="4"/>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88654">
    <w:pPr>
      <w:spacing w:line="260" w:lineRule="exact"/>
      <w:ind w:left="3510"/>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DF9A12F">
                          <w:pPr>
                            <w:pStyle w:val="4"/>
                          </w:pPr>
                          <w:r>
                            <w:fldChar w:fldCharType="begin"/>
                          </w:r>
                          <w:r>
                            <w:instrText xml:space="preserve"> PAGE  \* MERGEFORMAT </w:instrText>
                          </w:r>
                          <w:r>
                            <w:fldChar w:fldCharType="separate"/>
                          </w:r>
                          <w:r>
                            <w:t>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KLKOTSAQAAowMAAA4AAABkcnMvZTJvRG9jLnhtbK1TS27bMBDd&#10;F+gdCO5rKUb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oso5NIBAACjAwAADgAAAAAAAAABACAAAAAi&#10;AQAAZHJzL2Uyb0RvYy54bWxQSwUGAAAAAAYABgBZAQAAZgUAAAAA&#10;">
              <v:path/>
              <v:fill on="f" focussize="0,0"/>
              <v:stroke on="f" weight="1.25pt"/>
              <v:imagedata o:title=""/>
              <o:lock v:ext="edit" aspectratio="f"/>
              <v:textbox inset="0mm,0mm,0mm,0mm" style="mso-fit-shape-to-text:t;">
                <w:txbxContent>
                  <w:p w14:paraId="3DF9A12F">
                    <w:pPr>
                      <w:pStyle w:val="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3D54F">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E9FF598">
                          <w:pPr>
                            <w:pStyle w:val="4"/>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e76mr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V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97vqatIBAACjAwAADgAAAAAAAAABACAAAAAi&#10;AQAAZHJzL2Uyb0RvYy54bWxQSwUGAAAAAAYABgBZAQAAZgUAAAAA&#10;">
              <v:path/>
              <v:fill on="f" focussize="0,0"/>
              <v:stroke on="f" weight="1.25pt"/>
              <v:imagedata o:title=""/>
              <o:lock v:ext="edit" aspectratio="f"/>
              <v:textbox inset="0mm,0mm,0mm,0mm" style="mso-fit-shape-to-text:t;">
                <w:txbxContent>
                  <w:p w14:paraId="6E9FF598">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8E8F9">
    <w:pPr>
      <w:pStyle w:val="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2B7F5A8">
                          <w:pPr>
                            <w:pStyle w:val="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path/>
              <v:fill on="f" focussize="0,0"/>
              <v:stroke on="f" weight="1.25pt"/>
              <v:imagedata o:title=""/>
              <o:lock v:ext="edit" aspectratio="f"/>
              <v:textbox inset="0mm,0mm,0mm,0mm" style="mso-fit-shape-to-text:t;">
                <w:txbxContent>
                  <w:p w14:paraId="72B7F5A8">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50878">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AC6D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643" w:firstLineChars="200"/>
      <w:jc w:val="both"/>
    </w:pPr>
    <w:rPr>
      <w:rFonts w:ascii="Times New Roman" w:hAnsi="Times New Roman" w:eastAsia="宋体" w:cs="Times New Roman"/>
      <w:kern w:val="2"/>
      <w:sz w:val="24"/>
      <w:lang w:val="en-US" w:eastAsia="zh-CN" w:bidi="ar-SA"/>
    </w:rPr>
  </w:style>
  <w:style w:type="paragraph" w:styleId="2">
    <w:name w:val="heading 1"/>
    <w:basedOn w:val="1"/>
    <w:next w:val="1"/>
    <w:qFormat/>
    <w:uiPriority w:val="0"/>
    <w:pPr>
      <w:keepNext/>
      <w:spacing w:before="120" w:after="120"/>
      <w:jc w:val="center"/>
      <w:outlineLvl w:val="0"/>
    </w:pPr>
    <w:rPr>
      <w:rFonts w:ascii="黑体" w:hAnsi="黑体"/>
      <w:b/>
      <w:sz w:val="36"/>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Normal Indent"/>
    <w:basedOn w:val="1"/>
    <w:qFormat/>
    <w:uiPriority w:val="0"/>
    <w:pPr>
      <w:ind w:firstLine="420"/>
    </w:pPr>
  </w:style>
  <w:style w:type="paragraph" w:styleId="4">
    <w:name w:val="footer"/>
    <w:basedOn w:val="1"/>
    <w:qFormat/>
    <w:uiPriority w:val="99"/>
    <w:pPr>
      <w:tabs>
        <w:tab w:val="center" w:pos="4153"/>
        <w:tab w:val="right" w:pos="8306"/>
      </w:tabs>
      <w:snapToGrid w:val="0"/>
      <w:jc w:val="left"/>
    </w:pPr>
    <w:rPr>
      <w:sz w:val="18"/>
    </w:rPr>
  </w:style>
  <w:style w:type="paragraph" w:styleId="5">
    <w:name w:val="Normal (Web)"/>
    <w:basedOn w:val="1"/>
    <w:uiPriority w:val="0"/>
    <w:pPr>
      <w:widowControl/>
      <w:spacing w:before="100" w:beforeAutospacing="1" w:after="100" w:afterAutospacing="1"/>
      <w:jc w:val="left"/>
    </w:pPr>
    <w:rPr>
      <w:rFonts w:ascii="宋体" w:hAnsi="宋体" w:cs="宋体"/>
      <w:kern w:val="0"/>
      <w:sz w:val="24"/>
      <w:szCs w:val="24"/>
    </w:rPr>
  </w:style>
  <w:style w:type="character" w:customStyle="1" w:styleId="8">
    <w:name w:val="font01"/>
    <w:basedOn w:val="7"/>
    <w:qFormat/>
    <w:uiPriority w:val="0"/>
    <w:rPr>
      <w:rFonts w:hint="eastAsia" w:ascii="等线" w:hAnsi="等线" w:eastAsia="等线" w:cs="等线"/>
      <w:color w:val="000000"/>
      <w:sz w:val="22"/>
      <w:szCs w:val="22"/>
      <w:u w:val="none"/>
    </w:rPr>
  </w:style>
  <w:style w:type="paragraph" w:customStyle="1" w:styleId="9">
    <w:name w:val="样式 首行缩进:  2 字符"/>
    <w:basedOn w:val="1"/>
    <w:qFormat/>
    <w:uiPriority w:val="0"/>
    <w:pPr>
      <w:spacing w:line="400" w:lineRule="exact"/>
      <w:ind w:firstLine="200" w:firstLineChars="200"/>
    </w:pPr>
    <w:rPr>
      <w:rFonts w:cs="宋体"/>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2026-08-11T05:14:35Z</dcterms:created>
  <dc:creator>陕西海佳</dc:creator>
  <cp:lastModifiedBy>MM</cp:lastModifiedBy>
  <dcterms:modified xsi:type="dcterms:W3CDTF">2026-08-11T05:18:49Z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eyJoZGlkIjoiY2M1NWZjOTI0MzZlNzdjZTNiMGIwOWFhODBmMDVjOTciLCJ1c2VySWQiOiIxMjgwNjI5MzYxIn0=</vt:lpwstr>
  </property>
  <property fmtid="{D5CDD505-2E9C-101B-9397-08002B2CF9AE}" pid="4" name="ICV">
    <vt:lpwstr>C07DE95F4BC340DFB8C15D0DBA8AA042_12</vt:lpwstr>
  </property>
</Properties>
</file>