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39A1A3">
      <w:pPr>
        <w:spacing w:line="360" w:lineRule="auto"/>
        <w:jc w:val="center"/>
        <w:rPr>
          <w:rFonts w:hint="eastAsia" w:ascii="仿宋" w:hAnsi="仿宋" w:eastAsia="仿宋" w:cs="仿宋"/>
          <w:b/>
          <w:sz w:val="56"/>
          <w:szCs w:val="56"/>
          <w:highlight w:val="none"/>
        </w:rPr>
      </w:pPr>
      <w:r>
        <w:rPr>
          <w:rFonts w:hint="eastAsia" w:ascii="仿宋" w:hAnsi="仿宋" w:eastAsia="仿宋" w:cs="仿宋"/>
          <w:b/>
          <w:sz w:val="56"/>
          <w:szCs w:val="56"/>
          <w:highlight w:val="none"/>
          <w:lang w:eastAsia="zh-CN"/>
        </w:rPr>
        <w:t>西安市公安局交警支队浐灞国际港大队执勤二中队物业服务</w:t>
      </w:r>
      <w:r>
        <w:rPr>
          <w:rFonts w:hint="eastAsia" w:ascii="仿宋" w:hAnsi="仿宋" w:eastAsia="仿宋" w:cs="仿宋"/>
          <w:b/>
          <w:sz w:val="56"/>
          <w:szCs w:val="56"/>
          <w:highlight w:val="none"/>
        </w:rPr>
        <w:t>合同</w:t>
      </w:r>
    </w:p>
    <w:p w14:paraId="53C84057">
      <w:pPr>
        <w:widowControl w:val="0"/>
        <w:spacing w:line="360" w:lineRule="auto"/>
        <w:ind w:firstLine="420"/>
        <w:jc w:val="both"/>
        <w:rPr>
          <w:rFonts w:hint="eastAsia" w:ascii="仿宋" w:hAnsi="仿宋" w:eastAsia="仿宋" w:cs="仿宋"/>
          <w:b/>
          <w:bCs/>
          <w:kern w:val="2"/>
          <w:sz w:val="24"/>
          <w:szCs w:val="24"/>
          <w:highlight w:val="none"/>
          <w:lang w:val="en-US" w:eastAsia="zh-CN" w:bidi="ar-SA"/>
        </w:rPr>
      </w:pPr>
      <w:r>
        <w:rPr>
          <w:rFonts w:hint="eastAsia" w:ascii="仿宋" w:hAnsi="仿宋" w:eastAsia="仿宋" w:cs="仿宋"/>
          <w:b/>
          <w:bCs/>
          <w:kern w:val="2"/>
          <w:sz w:val="24"/>
          <w:szCs w:val="24"/>
          <w:highlight w:val="none"/>
          <w:lang w:val="en-US" w:eastAsia="zh-CN" w:bidi="ar-SA"/>
        </w:rPr>
        <w:t>（本格式条款供双方签订合同参考，采购人可根据项目的实际情况增加条款和内容）</w:t>
      </w:r>
    </w:p>
    <w:p w14:paraId="4BD1D278">
      <w:pPr>
        <w:spacing w:line="360" w:lineRule="auto"/>
        <w:jc w:val="center"/>
        <w:rPr>
          <w:rFonts w:hint="eastAsia" w:ascii="仿宋" w:hAnsi="仿宋" w:eastAsia="仿宋" w:cs="仿宋"/>
          <w:b/>
          <w:sz w:val="48"/>
          <w:szCs w:val="48"/>
          <w:highlight w:val="none"/>
        </w:rPr>
      </w:pPr>
    </w:p>
    <w:p w14:paraId="00754689">
      <w:pPr>
        <w:spacing w:line="360" w:lineRule="auto"/>
        <w:ind w:firstLine="2240" w:firstLineChars="700"/>
        <w:rPr>
          <w:rFonts w:hint="eastAsia" w:ascii="仿宋" w:hAnsi="仿宋" w:eastAsia="仿宋" w:cs="仿宋"/>
          <w:sz w:val="32"/>
          <w:szCs w:val="32"/>
          <w:highlight w:val="none"/>
        </w:rPr>
      </w:pPr>
    </w:p>
    <w:p w14:paraId="70FA0D0C">
      <w:pPr>
        <w:spacing w:line="360" w:lineRule="auto"/>
        <w:ind w:left="1469" w:hanging="1469" w:hangingChars="400"/>
        <w:jc w:val="center"/>
        <w:rPr>
          <w:rFonts w:hint="eastAsia" w:ascii="仿宋" w:hAnsi="仿宋" w:eastAsia="仿宋" w:cs="仿宋"/>
          <w:b/>
          <w:spacing w:val="23"/>
          <w:sz w:val="32"/>
          <w:szCs w:val="32"/>
          <w:highlight w:val="none"/>
        </w:rPr>
      </w:pPr>
    </w:p>
    <w:p w14:paraId="7FB638E3">
      <w:pPr>
        <w:spacing w:line="360" w:lineRule="auto"/>
        <w:ind w:left="1469" w:hanging="1469" w:hangingChars="400"/>
        <w:jc w:val="center"/>
        <w:rPr>
          <w:rFonts w:hint="eastAsia" w:ascii="仿宋" w:hAnsi="仿宋" w:eastAsia="仿宋" w:cs="仿宋"/>
          <w:b/>
          <w:spacing w:val="23"/>
          <w:sz w:val="32"/>
          <w:szCs w:val="32"/>
          <w:highlight w:val="none"/>
        </w:rPr>
      </w:pPr>
    </w:p>
    <w:p w14:paraId="0974110F">
      <w:pPr>
        <w:spacing w:line="360" w:lineRule="auto"/>
        <w:ind w:left="1469" w:hanging="1469" w:hangingChars="400"/>
        <w:jc w:val="center"/>
        <w:rPr>
          <w:rFonts w:hint="eastAsia" w:ascii="仿宋" w:hAnsi="仿宋" w:eastAsia="仿宋" w:cs="仿宋"/>
          <w:b/>
          <w:spacing w:val="23"/>
          <w:sz w:val="32"/>
          <w:szCs w:val="32"/>
          <w:highlight w:val="none"/>
        </w:rPr>
      </w:pPr>
    </w:p>
    <w:p w14:paraId="3DB2925A">
      <w:pPr>
        <w:widowControl w:val="0"/>
        <w:spacing w:line="360" w:lineRule="auto"/>
        <w:jc w:val="both"/>
        <w:rPr>
          <w:rFonts w:hint="eastAsia" w:ascii="仿宋" w:hAnsi="仿宋" w:eastAsia="仿宋" w:cs="仿宋"/>
          <w:kern w:val="2"/>
          <w:sz w:val="21"/>
          <w:szCs w:val="24"/>
          <w:highlight w:val="none"/>
          <w:lang w:val="en-US" w:eastAsia="zh-CN" w:bidi="ar-SA"/>
        </w:rPr>
      </w:pPr>
    </w:p>
    <w:p w14:paraId="6269EDE4">
      <w:pPr>
        <w:spacing w:line="360" w:lineRule="auto"/>
        <w:ind w:left="1469" w:hanging="1469" w:hangingChars="400"/>
        <w:jc w:val="center"/>
        <w:rPr>
          <w:rFonts w:hint="eastAsia" w:ascii="仿宋" w:hAnsi="仿宋" w:eastAsia="仿宋" w:cs="仿宋"/>
          <w:b/>
          <w:spacing w:val="23"/>
          <w:sz w:val="32"/>
          <w:szCs w:val="32"/>
          <w:highlight w:val="none"/>
        </w:rPr>
      </w:pPr>
    </w:p>
    <w:p w14:paraId="07360303">
      <w:pPr>
        <w:spacing w:line="360" w:lineRule="auto"/>
        <w:ind w:left="1469" w:hanging="1469" w:hangingChars="400"/>
        <w:jc w:val="center"/>
        <w:rPr>
          <w:rFonts w:hint="eastAsia" w:ascii="仿宋" w:hAnsi="仿宋" w:eastAsia="仿宋" w:cs="仿宋"/>
          <w:b/>
          <w:spacing w:val="23"/>
          <w:sz w:val="32"/>
          <w:szCs w:val="32"/>
          <w:highlight w:val="none"/>
        </w:rPr>
      </w:pPr>
      <w:r>
        <w:rPr>
          <w:rFonts w:hint="eastAsia" w:ascii="仿宋" w:hAnsi="仿宋" w:eastAsia="仿宋" w:cs="仿宋"/>
          <w:b/>
          <w:spacing w:val="23"/>
          <w:sz w:val="32"/>
          <w:szCs w:val="32"/>
          <w:highlight w:val="none"/>
        </w:rPr>
        <w:t>甲方(</w:t>
      </w:r>
      <w:r>
        <w:rPr>
          <w:rFonts w:hint="eastAsia" w:ascii="仿宋" w:hAnsi="仿宋" w:eastAsia="仿宋" w:cs="仿宋"/>
          <w:highlight w:val="none"/>
          <w:u w:val="none"/>
        </w:rPr>
        <w:fldChar w:fldCharType="begin"/>
      </w:r>
      <w:r>
        <w:rPr>
          <w:rFonts w:hint="eastAsia" w:ascii="仿宋" w:hAnsi="仿宋" w:eastAsia="仿宋" w:cs="仿宋"/>
          <w:highlight w:val="none"/>
          <w:u w:val="none"/>
        </w:rPr>
        <w:instrText xml:space="preserve"> HYPERLINK "http://set2.mail.qq.com/cgi-bin/mail_spam?action=check_link&amp;spam=0&amp;url=http://www.baidu.com/s?wd=%E9%87%87%E8%B4%AD%E5%8D%95&amp;hl_tag=textlink&amp;tn=SE_hldp01350_v6v6zkg6" </w:instrText>
      </w:r>
      <w:r>
        <w:rPr>
          <w:rFonts w:hint="eastAsia" w:ascii="仿宋" w:hAnsi="仿宋" w:eastAsia="仿宋" w:cs="仿宋"/>
          <w:highlight w:val="none"/>
          <w:u w:val="none"/>
        </w:rPr>
        <w:fldChar w:fldCharType="separate"/>
      </w:r>
      <w:r>
        <w:rPr>
          <w:rFonts w:hint="eastAsia" w:ascii="仿宋" w:hAnsi="仿宋" w:eastAsia="仿宋" w:cs="仿宋"/>
          <w:b/>
          <w:spacing w:val="23"/>
          <w:sz w:val="32"/>
          <w:szCs w:val="32"/>
          <w:highlight w:val="none"/>
          <w:lang w:val="en-US" w:eastAsia="zh-CN"/>
        </w:rPr>
        <w:t>委托方</w:t>
      </w:r>
      <w:r>
        <w:rPr>
          <w:rFonts w:hint="eastAsia" w:ascii="仿宋" w:hAnsi="仿宋" w:eastAsia="仿宋" w:cs="仿宋"/>
          <w:b/>
          <w:spacing w:val="23"/>
          <w:sz w:val="32"/>
          <w:szCs w:val="32"/>
          <w:highlight w:val="none"/>
          <w:u w:val="none"/>
        </w:rPr>
        <w:fldChar w:fldCharType="end"/>
      </w:r>
      <w:r>
        <w:rPr>
          <w:rFonts w:hint="eastAsia" w:ascii="仿宋" w:hAnsi="仿宋" w:eastAsia="仿宋" w:cs="仿宋"/>
          <w:b/>
          <w:spacing w:val="23"/>
          <w:sz w:val="32"/>
          <w:szCs w:val="32"/>
          <w:highlight w:val="none"/>
        </w:rPr>
        <w:t>)：</w:t>
      </w:r>
      <w:r>
        <w:rPr>
          <w:rFonts w:hint="eastAsia" w:ascii="仿宋" w:hAnsi="仿宋" w:eastAsia="仿宋" w:cs="仿宋"/>
          <w:spacing w:val="23"/>
          <w:sz w:val="28"/>
          <w:szCs w:val="28"/>
          <w:highlight w:val="none"/>
          <w:u w:val="single"/>
        </w:rPr>
        <w:t> </w:t>
      </w:r>
    </w:p>
    <w:p w14:paraId="280F6E75">
      <w:pPr>
        <w:spacing w:line="360" w:lineRule="auto"/>
        <w:ind w:left="1285" w:hanging="840" w:hangingChars="400"/>
        <w:jc w:val="center"/>
        <w:rPr>
          <w:rFonts w:hint="eastAsia" w:ascii="仿宋" w:hAnsi="仿宋" w:eastAsia="仿宋" w:cs="仿宋"/>
          <w:spacing w:val="23"/>
          <w:sz w:val="28"/>
          <w:szCs w:val="28"/>
          <w:highlight w:val="none"/>
          <w:u w:val="single"/>
        </w:rPr>
      </w:pPr>
      <w:r>
        <w:rPr>
          <w:rFonts w:ascii="Calibri" w:hAnsi="Calibri" w:eastAsia="宋体" w:cs="Times New Roman"/>
          <w:highlight w:val="none"/>
        </w:rPr>
        <w:fldChar w:fldCharType="begin"/>
      </w:r>
      <w:r>
        <w:rPr>
          <w:rFonts w:ascii="Calibri" w:hAnsi="Calibri" w:eastAsia="宋体" w:cs="Times New Roman"/>
          <w:highlight w:val="none"/>
        </w:rPr>
        <w:instrText xml:space="preserve"> HYPERLINK "http://set2.mail.qq.com/cgi-bin/mail_spam?action=check_link&amp;spam=0&amp;url=http%3A%2F%2Fwww%2Ebaidu%2Ecom%2Fs%3Fwd%3D%25E4%25B9%2599%25E6%2596%25B9%26hl_tag%3Dtextlink%26tn%3DSE_hldp01350_v6v6zkg6" </w:instrText>
      </w:r>
      <w:r>
        <w:rPr>
          <w:rFonts w:ascii="Calibri" w:hAnsi="Calibri" w:eastAsia="宋体" w:cs="Times New Roman"/>
          <w:highlight w:val="none"/>
        </w:rPr>
        <w:fldChar w:fldCharType="separate"/>
      </w:r>
      <w:r>
        <w:rPr>
          <w:rFonts w:hint="eastAsia" w:ascii="仿宋" w:hAnsi="仿宋" w:eastAsia="仿宋" w:cs="仿宋"/>
          <w:b/>
          <w:spacing w:val="23"/>
          <w:sz w:val="32"/>
          <w:szCs w:val="32"/>
          <w:highlight w:val="none"/>
        </w:rPr>
        <w:t>乙方</w:t>
      </w:r>
      <w:r>
        <w:rPr>
          <w:rFonts w:hint="eastAsia" w:ascii="仿宋" w:hAnsi="仿宋" w:eastAsia="仿宋" w:cs="仿宋"/>
          <w:b/>
          <w:spacing w:val="23"/>
          <w:sz w:val="32"/>
          <w:szCs w:val="32"/>
          <w:highlight w:val="none"/>
        </w:rPr>
        <w:fldChar w:fldCharType="end"/>
      </w:r>
      <w:r>
        <w:rPr>
          <w:rFonts w:hint="eastAsia" w:ascii="仿宋" w:hAnsi="仿宋" w:eastAsia="仿宋" w:cs="仿宋"/>
          <w:b/>
          <w:spacing w:val="23"/>
          <w:sz w:val="32"/>
          <w:szCs w:val="32"/>
          <w:highlight w:val="none"/>
        </w:rPr>
        <w:t>(</w:t>
      </w:r>
      <w:r>
        <w:rPr>
          <w:rFonts w:hint="eastAsia" w:ascii="仿宋" w:hAnsi="仿宋" w:eastAsia="仿宋" w:cs="仿宋"/>
          <w:b/>
          <w:spacing w:val="23"/>
          <w:sz w:val="32"/>
          <w:szCs w:val="32"/>
          <w:highlight w:val="none"/>
          <w:lang w:val="en-US" w:eastAsia="zh-CN"/>
        </w:rPr>
        <w:t>受托方</w:t>
      </w:r>
      <w:r>
        <w:rPr>
          <w:rFonts w:hint="eastAsia" w:ascii="仿宋" w:hAnsi="仿宋" w:eastAsia="仿宋" w:cs="仿宋"/>
          <w:b/>
          <w:spacing w:val="23"/>
          <w:sz w:val="32"/>
          <w:szCs w:val="32"/>
          <w:highlight w:val="none"/>
        </w:rPr>
        <w:t>)：</w:t>
      </w:r>
      <w:r>
        <w:rPr>
          <w:rFonts w:hint="eastAsia" w:ascii="仿宋" w:hAnsi="仿宋" w:eastAsia="仿宋" w:cs="仿宋"/>
          <w:spacing w:val="23"/>
          <w:sz w:val="28"/>
          <w:szCs w:val="28"/>
          <w:highlight w:val="none"/>
          <w:u w:val="single"/>
        </w:rPr>
        <w:t> </w:t>
      </w:r>
    </w:p>
    <w:p w14:paraId="7E6EA8B6">
      <w:pPr>
        <w:spacing w:line="360" w:lineRule="auto"/>
        <w:ind w:firstLine="2204" w:firstLineChars="600"/>
        <w:rPr>
          <w:rFonts w:hint="eastAsia" w:ascii="仿宋" w:hAnsi="仿宋" w:eastAsia="仿宋" w:cs="仿宋"/>
          <w:b/>
          <w:bCs/>
          <w:sz w:val="40"/>
          <w:szCs w:val="40"/>
          <w:highlight w:val="none"/>
        </w:rPr>
      </w:pPr>
      <w:r>
        <w:rPr>
          <w:rFonts w:hint="eastAsia" w:ascii="仿宋" w:hAnsi="仿宋" w:eastAsia="仿宋" w:cs="仿宋"/>
          <w:b/>
          <w:spacing w:val="23"/>
          <w:sz w:val="32"/>
          <w:szCs w:val="32"/>
          <w:highlight w:val="none"/>
        </w:rPr>
        <w:t>签 订 时 间：</w:t>
      </w:r>
      <w:r>
        <w:rPr>
          <w:rFonts w:hint="eastAsia" w:ascii="仿宋" w:hAnsi="仿宋" w:eastAsia="仿宋" w:cs="仿宋"/>
          <w:spacing w:val="23"/>
          <w:sz w:val="28"/>
          <w:szCs w:val="28"/>
          <w:highlight w:val="none"/>
          <w:u w:val="single"/>
        </w:rPr>
        <w:t xml:space="preserve">  </w:t>
      </w:r>
      <w:r>
        <w:rPr>
          <w:rFonts w:hint="eastAsia" w:ascii="仿宋" w:hAnsi="仿宋" w:eastAsia="仿宋" w:cs="仿宋"/>
          <w:b/>
          <w:spacing w:val="23"/>
          <w:sz w:val="32"/>
          <w:szCs w:val="32"/>
          <w:highlight w:val="none"/>
        </w:rPr>
        <w:t>年</w:t>
      </w:r>
      <w:r>
        <w:rPr>
          <w:rFonts w:hint="eastAsia" w:ascii="仿宋" w:hAnsi="仿宋" w:eastAsia="仿宋" w:cs="仿宋"/>
          <w:spacing w:val="23"/>
          <w:sz w:val="28"/>
          <w:szCs w:val="28"/>
          <w:highlight w:val="none"/>
          <w:u w:val="single"/>
        </w:rPr>
        <w:t xml:space="preserve">  </w:t>
      </w:r>
      <w:r>
        <w:rPr>
          <w:rFonts w:hint="eastAsia" w:ascii="仿宋" w:hAnsi="仿宋" w:eastAsia="仿宋" w:cs="仿宋"/>
          <w:b/>
          <w:spacing w:val="23"/>
          <w:sz w:val="32"/>
          <w:szCs w:val="32"/>
          <w:highlight w:val="none"/>
        </w:rPr>
        <w:t>月</w:t>
      </w:r>
      <w:r>
        <w:rPr>
          <w:rFonts w:hint="eastAsia" w:ascii="仿宋" w:hAnsi="仿宋" w:eastAsia="仿宋" w:cs="仿宋"/>
          <w:spacing w:val="23"/>
          <w:sz w:val="28"/>
          <w:szCs w:val="28"/>
          <w:highlight w:val="none"/>
          <w:u w:val="single"/>
        </w:rPr>
        <w:t xml:space="preserve">  </w:t>
      </w:r>
      <w:r>
        <w:rPr>
          <w:rFonts w:hint="eastAsia" w:ascii="仿宋" w:hAnsi="仿宋" w:eastAsia="仿宋" w:cs="仿宋"/>
          <w:b/>
          <w:spacing w:val="23"/>
          <w:sz w:val="32"/>
          <w:szCs w:val="32"/>
          <w:highlight w:val="none"/>
        </w:rPr>
        <w:t>日</w:t>
      </w:r>
    </w:p>
    <w:p w14:paraId="05A2BF11">
      <w:pPr>
        <w:spacing w:line="360" w:lineRule="auto"/>
        <w:ind w:firstLine="2240" w:firstLineChars="700"/>
        <w:rPr>
          <w:rFonts w:hint="eastAsia" w:ascii="仿宋" w:hAnsi="仿宋" w:eastAsia="仿宋" w:cs="仿宋"/>
          <w:sz w:val="32"/>
          <w:szCs w:val="32"/>
          <w:highlight w:val="none"/>
        </w:rPr>
        <w:sectPr>
          <w:headerReference r:id="rId3" w:type="default"/>
          <w:pgSz w:w="11906" w:h="16838"/>
          <w:pgMar w:top="1247" w:right="1134" w:bottom="1247" w:left="1134" w:header="851" w:footer="992" w:gutter="0"/>
          <w:pgBorders>
            <w:top w:val="none" w:sz="0" w:space="0"/>
            <w:left w:val="none" w:sz="0" w:space="0"/>
            <w:bottom w:val="none" w:sz="0" w:space="0"/>
            <w:right w:val="none" w:sz="0" w:space="0"/>
          </w:pgBorders>
          <w:cols w:space="0" w:num="1"/>
          <w:docGrid w:type="lines" w:linePitch="312" w:charSpace="0"/>
        </w:sectPr>
      </w:pPr>
    </w:p>
    <w:p w14:paraId="3ED70ECF">
      <w:pPr>
        <w:spacing w:line="360" w:lineRule="auto"/>
        <w:jc w:val="left"/>
        <w:rPr>
          <w:rFonts w:hint="eastAsia" w:ascii="仿宋" w:hAnsi="仿宋" w:eastAsia="仿宋" w:cs="仿宋"/>
          <w:b/>
          <w:spacing w:val="23"/>
          <w:sz w:val="24"/>
          <w:highlight w:val="none"/>
        </w:rPr>
      </w:pPr>
      <w:r>
        <w:rPr>
          <w:rFonts w:hint="eastAsia" w:ascii="仿宋" w:hAnsi="仿宋" w:eastAsia="仿宋" w:cs="仿宋"/>
          <w:b/>
          <w:spacing w:val="23"/>
          <w:sz w:val="24"/>
          <w:highlight w:val="none"/>
        </w:rPr>
        <w:t>甲方(</w:t>
      </w:r>
      <w:r>
        <w:rPr>
          <w:rFonts w:hint="eastAsia" w:ascii="仿宋" w:hAnsi="仿宋" w:eastAsia="仿宋" w:cs="仿宋"/>
          <w:b/>
          <w:spacing w:val="23"/>
          <w:sz w:val="24"/>
          <w:highlight w:val="none"/>
        </w:rPr>
        <w:fldChar w:fldCharType="begin"/>
      </w:r>
      <w:r>
        <w:rPr>
          <w:rFonts w:hint="eastAsia" w:ascii="仿宋" w:hAnsi="仿宋" w:eastAsia="仿宋" w:cs="仿宋"/>
          <w:b/>
          <w:spacing w:val="23"/>
          <w:sz w:val="24"/>
          <w:highlight w:val="none"/>
        </w:rPr>
        <w:instrText xml:space="preserve"> HYPERLINK "http://set2.mail.qq.com/cgi-bin/mail_spam?action=check_link&amp;spam=0&amp;url=http://www.baidu.com/s?wd=%E9%87%87%E8%B4%AD%E5%8D%95&amp;hl_tag=textlink&amp;tn=SE_hldp01350_v6v6zkg6" </w:instrText>
      </w:r>
      <w:r>
        <w:rPr>
          <w:rFonts w:hint="eastAsia" w:ascii="仿宋" w:hAnsi="仿宋" w:eastAsia="仿宋" w:cs="仿宋"/>
          <w:b/>
          <w:spacing w:val="23"/>
          <w:sz w:val="24"/>
          <w:highlight w:val="none"/>
        </w:rPr>
        <w:fldChar w:fldCharType="separate"/>
      </w:r>
      <w:r>
        <w:rPr>
          <w:rFonts w:hint="eastAsia" w:ascii="仿宋" w:hAnsi="仿宋" w:eastAsia="仿宋" w:cs="仿宋"/>
          <w:b/>
          <w:spacing w:val="23"/>
          <w:sz w:val="24"/>
          <w:highlight w:val="none"/>
          <w:lang w:val="en-US" w:eastAsia="zh-CN"/>
        </w:rPr>
        <w:t>委托方</w:t>
      </w:r>
      <w:r>
        <w:rPr>
          <w:rFonts w:hint="eastAsia" w:ascii="仿宋" w:hAnsi="仿宋" w:eastAsia="仿宋" w:cs="仿宋"/>
          <w:b/>
          <w:spacing w:val="23"/>
          <w:sz w:val="24"/>
          <w:highlight w:val="none"/>
        </w:rPr>
        <w:fldChar w:fldCharType="end"/>
      </w:r>
      <w:r>
        <w:rPr>
          <w:rFonts w:hint="eastAsia" w:ascii="仿宋" w:hAnsi="仿宋" w:eastAsia="仿宋" w:cs="仿宋"/>
          <w:b/>
          <w:spacing w:val="23"/>
          <w:sz w:val="24"/>
          <w:highlight w:val="none"/>
        </w:rPr>
        <w:t>)：</w:t>
      </w:r>
      <w:r>
        <w:rPr>
          <w:rFonts w:hint="eastAsia" w:ascii="仿宋" w:hAnsi="仿宋" w:eastAsia="仿宋" w:cs="仿宋"/>
          <w:spacing w:val="23"/>
          <w:sz w:val="22"/>
          <w:szCs w:val="22"/>
          <w:highlight w:val="none"/>
          <w:u w:val="single"/>
        </w:rPr>
        <w:t> </w:t>
      </w:r>
    </w:p>
    <w:p w14:paraId="5CFB42AB">
      <w:pPr>
        <w:spacing w:line="360" w:lineRule="auto"/>
        <w:ind w:left="964" w:hanging="840" w:hangingChars="400"/>
        <w:jc w:val="left"/>
        <w:rPr>
          <w:rFonts w:hint="eastAsia" w:ascii="仿宋" w:hAnsi="仿宋" w:eastAsia="仿宋" w:cs="仿宋"/>
          <w:sz w:val="24"/>
          <w:highlight w:val="none"/>
        </w:rPr>
      </w:pPr>
      <w:r>
        <w:rPr>
          <w:rFonts w:ascii="Calibri" w:hAnsi="Calibri" w:eastAsia="宋体" w:cs="Times New Roman"/>
          <w:highlight w:val="none"/>
        </w:rPr>
        <w:fldChar w:fldCharType="begin"/>
      </w:r>
      <w:r>
        <w:rPr>
          <w:rFonts w:ascii="Calibri" w:hAnsi="Calibri" w:eastAsia="宋体" w:cs="Times New Roman"/>
          <w:highlight w:val="none"/>
        </w:rPr>
        <w:instrText xml:space="preserve"> HYPERLINK "http://set2.mail.qq.com/cgi-bin/mail_spam?action=check_link&amp;spam=0&amp;url=http%3A%2F%2Fwww%2Ebaidu%2Ecom%2Fs%3Fwd%3D%25E4%25B9%2599%25E6%2596%25B9%26hl_tag%3Dtextlink%26tn%3DSE_hldp01350_v6v6zkg6" </w:instrText>
      </w:r>
      <w:r>
        <w:rPr>
          <w:rFonts w:ascii="Calibri" w:hAnsi="Calibri" w:eastAsia="宋体" w:cs="Times New Roman"/>
          <w:highlight w:val="none"/>
        </w:rPr>
        <w:fldChar w:fldCharType="separate"/>
      </w:r>
      <w:r>
        <w:rPr>
          <w:rFonts w:hint="eastAsia" w:ascii="仿宋" w:hAnsi="仿宋" w:eastAsia="仿宋" w:cs="仿宋"/>
          <w:b/>
          <w:spacing w:val="23"/>
          <w:sz w:val="24"/>
          <w:highlight w:val="none"/>
        </w:rPr>
        <w:t>乙方</w:t>
      </w:r>
      <w:r>
        <w:rPr>
          <w:rFonts w:hint="eastAsia" w:ascii="仿宋" w:hAnsi="仿宋" w:eastAsia="仿宋" w:cs="仿宋"/>
          <w:b/>
          <w:spacing w:val="23"/>
          <w:sz w:val="24"/>
          <w:highlight w:val="none"/>
        </w:rPr>
        <w:fldChar w:fldCharType="end"/>
      </w:r>
      <w:r>
        <w:rPr>
          <w:rFonts w:hint="eastAsia" w:ascii="仿宋" w:hAnsi="仿宋" w:eastAsia="仿宋" w:cs="仿宋"/>
          <w:b/>
          <w:spacing w:val="23"/>
          <w:sz w:val="24"/>
          <w:highlight w:val="none"/>
        </w:rPr>
        <w:t>(</w:t>
      </w:r>
      <w:r>
        <w:rPr>
          <w:rFonts w:hint="eastAsia" w:ascii="仿宋" w:hAnsi="仿宋" w:eastAsia="仿宋" w:cs="仿宋"/>
          <w:b/>
          <w:spacing w:val="23"/>
          <w:sz w:val="24"/>
          <w:highlight w:val="none"/>
          <w:lang w:val="en-US" w:eastAsia="zh-CN"/>
        </w:rPr>
        <w:t>受托方</w:t>
      </w:r>
      <w:r>
        <w:rPr>
          <w:rFonts w:hint="eastAsia" w:ascii="仿宋" w:hAnsi="仿宋" w:eastAsia="仿宋" w:cs="仿宋"/>
          <w:b/>
          <w:spacing w:val="23"/>
          <w:sz w:val="24"/>
          <w:highlight w:val="none"/>
        </w:rPr>
        <w:t>)：</w:t>
      </w:r>
      <w:r>
        <w:rPr>
          <w:rFonts w:hint="eastAsia" w:ascii="仿宋" w:hAnsi="仿宋" w:eastAsia="仿宋" w:cs="仿宋"/>
          <w:spacing w:val="23"/>
          <w:sz w:val="22"/>
          <w:szCs w:val="22"/>
          <w:highlight w:val="none"/>
          <w:u w:val="single"/>
        </w:rPr>
        <w:t> </w:t>
      </w:r>
      <w:r>
        <w:rPr>
          <w:rFonts w:hint="eastAsia" w:ascii="仿宋" w:hAnsi="仿宋" w:eastAsia="仿宋" w:cs="仿宋"/>
          <w:szCs w:val="21"/>
          <w:highlight w:val="none"/>
        </w:rPr>
        <w:t xml:space="preserve">   </w:t>
      </w:r>
      <w:r>
        <w:rPr>
          <w:rFonts w:hint="eastAsia" w:ascii="仿宋" w:hAnsi="仿宋" w:eastAsia="仿宋" w:cs="仿宋"/>
          <w:sz w:val="24"/>
          <w:highlight w:val="none"/>
        </w:rPr>
        <w:t xml:space="preserve">     </w:t>
      </w:r>
    </w:p>
    <w:p w14:paraId="7BFEC124">
      <w:pPr>
        <w:adjustRightInd w:val="0"/>
        <w:snapToGrid w:val="0"/>
        <w:spacing w:before="156" w:beforeLines="50" w:after="156" w:afterLines="50"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根据《中华人民共和国民法典》、国务院《物业管理条例</w:t>
      </w:r>
      <w:r>
        <w:rPr>
          <w:rFonts w:hint="eastAsia" w:ascii="仿宋" w:hAnsi="仿宋" w:eastAsia="仿宋" w:cs="仿宋"/>
          <w:bCs/>
          <w:sz w:val="24"/>
          <w:highlight w:val="none"/>
          <w:lang w:eastAsia="zh-CN"/>
        </w:rPr>
        <w:t>》《</w:t>
      </w:r>
      <w:r>
        <w:rPr>
          <w:rFonts w:hint="eastAsia" w:ascii="仿宋" w:hAnsi="仿宋" w:eastAsia="仿宋" w:cs="仿宋"/>
          <w:bCs/>
          <w:sz w:val="24"/>
          <w:highlight w:val="none"/>
        </w:rPr>
        <w:t>陕西省物业管理条例</w:t>
      </w:r>
      <w:r>
        <w:rPr>
          <w:rFonts w:hint="eastAsia" w:ascii="仿宋" w:hAnsi="仿宋" w:eastAsia="仿宋" w:cs="仿宋"/>
          <w:bCs/>
          <w:sz w:val="24"/>
          <w:highlight w:val="none"/>
          <w:lang w:eastAsia="zh-CN"/>
        </w:rPr>
        <w:t>》《</w:t>
      </w:r>
      <w:r>
        <w:rPr>
          <w:rFonts w:hint="eastAsia" w:ascii="仿宋" w:hAnsi="仿宋" w:eastAsia="仿宋" w:cs="仿宋"/>
          <w:bCs/>
          <w:sz w:val="24"/>
          <w:highlight w:val="none"/>
        </w:rPr>
        <w:t>中华人民共和国政府采购法》及实施条例等法律法规，等法律法规，在平等、自愿、友好协商一致的基础上，就甲方、委托乙方开展物业服务相关工作事宜，双方达成本合同，以资共同信守：</w:t>
      </w:r>
    </w:p>
    <w:p w14:paraId="278630D6">
      <w:pPr>
        <w:adjustRightInd w:val="0"/>
        <w:snapToGrid w:val="0"/>
        <w:spacing w:line="360" w:lineRule="auto"/>
        <w:ind w:firstLine="482" w:firstLineChars="200"/>
        <w:rPr>
          <w:rFonts w:hint="eastAsia" w:ascii="仿宋" w:hAnsi="仿宋" w:eastAsia="仿宋" w:cs="仿宋"/>
          <w:sz w:val="24"/>
          <w:highlight w:val="none"/>
        </w:rPr>
      </w:pPr>
      <w:r>
        <w:rPr>
          <w:rFonts w:hint="eastAsia" w:ascii="仿宋" w:hAnsi="仿宋" w:eastAsia="仿宋" w:cs="仿宋"/>
          <w:b/>
          <w:bCs/>
          <w:color w:val="000000"/>
          <w:sz w:val="24"/>
          <w:szCs w:val="24"/>
          <w:highlight w:val="none"/>
        </w:rPr>
        <w:t>第一条</w:t>
      </w:r>
      <w:r>
        <w:rPr>
          <w:rFonts w:hint="eastAsia" w:ascii="仿宋" w:hAnsi="仿宋" w:eastAsia="仿宋" w:cs="仿宋"/>
          <w:sz w:val="24"/>
          <w:highlight w:val="none"/>
        </w:rPr>
        <w:t xml:space="preserve"> 乙方接受甲方委托，开展本合同约定范围内的物业服务工作</w:t>
      </w:r>
      <w:r>
        <w:rPr>
          <w:rFonts w:hint="eastAsia" w:ascii="Calibri" w:hAnsi="Calibri" w:eastAsia="宋体" w:cs="Times New Roman"/>
          <w:highlight w:val="none"/>
          <w:lang w:eastAsia="zh-CN"/>
        </w:rPr>
        <w:t>，</w:t>
      </w:r>
      <w:r>
        <w:rPr>
          <w:rFonts w:hint="eastAsia" w:ascii="仿宋" w:hAnsi="仿宋" w:eastAsia="仿宋" w:cs="仿宋"/>
          <w:sz w:val="24"/>
          <w:highlight w:val="none"/>
          <w:lang w:val="en-US" w:eastAsia="zh-CN"/>
        </w:rPr>
        <w:t>详见附件一</w:t>
      </w:r>
      <w:r>
        <w:rPr>
          <w:rFonts w:hint="eastAsia" w:ascii="仿宋" w:hAnsi="仿宋" w:eastAsia="仿宋" w:cs="仿宋"/>
          <w:sz w:val="24"/>
          <w:highlight w:val="none"/>
        </w:rPr>
        <w:t>。</w:t>
      </w:r>
    </w:p>
    <w:p w14:paraId="07F46BE1">
      <w:pPr>
        <w:adjustRightInd w:val="0"/>
        <w:snapToGrid w:val="0"/>
        <w:spacing w:line="360" w:lineRule="auto"/>
        <w:ind w:firstLine="482" w:firstLineChars="200"/>
        <w:rPr>
          <w:rFonts w:hint="eastAsia" w:ascii="仿宋" w:hAnsi="仿宋" w:eastAsia="仿宋" w:cs="仿宋"/>
          <w:sz w:val="24"/>
          <w:highlight w:val="none"/>
        </w:rPr>
      </w:pPr>
      <w:r>
        <w:rPr>
          <w:rFonts w:hint="eastAsia" w:ascii="仿宋" w:hAnsi="仿宋" w:eastAsia="仿宋" w:cs="仿宋"/>
          <w:b/>
          <w:bCs/>
          <w:color w:val="000000"/>
          <w:sz w:val="24"/>
          <w:szCs w:val="24"/>
          <w:highlight w:val="none"/>
        </w:rPr>
        <w:t>第二条</w:t>
      </w:r>
      <w:r>
        <w:rPr>
          <w:rFonts w:hint="eastAsia" w:ascii="仿宋" w:hAnsi="仿宋" w:eastAsia="仿宋" w:cs="仿宋"/>
          <w:sz w:val="24"/>
          <w:highlight w:val="none"/>
        </w:rPr>
        <w:t xml:space="preserve"> 委托物业基本情况</w:t>
      </w:r>
    </w:p>
    <w:p w14:paraId="3A260426">
      <w:pPr>
        <w:adjustRightInd w:val="0"/>
        <w:snapToGrid w:val="0"/>
        <w:spacing w:line="360" w:lineRule="auto"/>
        <w:ind w:firstLine="480" w:firstLineChars="200"/>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1.坐落位置：西安市浐灞国际港总部产业园颐合庭小区沿欧亚六路商业用房1-3层。</w:t>
      </w:r>
    </w:p>
    <w:p w14:paraId="2336DA08">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lang w:val="en-US" w:eastAsia="zh-CN"/>
        </w:rPr>
        <w:t>2.面积:服务面积2343㎡，停车位暂定50个，具体以每年双方确认为准</w:t>
      </w:r>
      <w:r>
        <w:rPr>
          <w:rFonts w:hint="eastAsia" w:ascii="仿宋" w:hAnsi="仿宋" w:eastAsia="仿宋" w:cs="仿宋"/>
          <w:sz w:val="24"/>
          <w:highlight w:val="none"/>
        </w:rPr>
        <w:t>。</w:t>
      </w:r>
    </w:p>
    <w:p w14:paraId="4C9ABBF9">
      <w:pPr>
        <w:adjustRightInd w:val="0"/>
        <w:snapToGrid w:val="0"/>
        <w:spacing w:line="360" w:lineRule="auto"/>
        <w:ind w:firstLine="482" w:firstLineChars="200"/>
        <w:rPr>
          <w:rFonts w:hint="eastAsia" w:ascii="仿宋" w:hAnsi="仿宋" w:eastAsia="仿宋" w:cs="仿宋"/>
          <w:b/>
          <w:sz w:val="24"/>
          <w:highlight w:val="none"/>
        </w:rPr>
      </w:pPr>
      <w:r>
        <w:rPr>
          <w:rFonts w:hint="eastAsia" w:ascii="仿宋" w:hAnsi="仿宋" w:eastAsia="仿宋" w:cs="仿宋"/>
          <w:b/>
          <w:sz w:val="24"/>
          <w:highlight w:val="none"/>
        </w:rPr>
        <w:t xml:space="preserve">第二条 </w:t>
      </w:r>
      <w:r>
        <w:rPr>
          <w:rFonts w:hint="eastAsia" w:ascii="仿宋" w:hAnsi="仿宋" w:eastAsia="仿宋" w:cs="仿宋"/>
          <w:b/>
          <w:sz w:val="24"/>
          <w:highlight w:val="none"/>
          <w:lang w:val="en-US" w:eastAsia="zh-CN"/>
        </w:rPr>
        <w:t>服务</w:t>
      </w:r>
      <w:r>
        <w:rPr>
          <w:rFonts w:hint="eastAsia" w:ascii="仿宋" w:hAnsi="仿宋" w:eastAsia="仿宋" w:cs="仿宋"/>
          <w:b/>
          <w:sz w:val="24"/>
          <w:highlight w:val="none"/>
        </w:rPr>
        <w:t>期限</w:t>
      </w:r>
    </w:p>
    <w:p w14:paraId="4E720DFF">
      <w:pPr>
        <w:snapToGrid w:val="0"/>
        <w:spacing w:line="360" w:lineRule="auto"/>
        <w:ind w:firstLine="480" w:firstLineChars="200"/>
        <w:rPr>
          <w:rFonts w:hint="eastAsia" w:ascii="仿宋" w:hAnsi="仿宋" w:eastAsia="仿宋" w:cs="仿宋"/>
          <w:sz w:val="24"/>
          <w:highlight w:val="none"/>
          <w:lang w:eastAsia="zh-CN"/>
        </w:rPr>
      </w:pPr>
      <w:r>
        <w:rPr>
          <w:rFonts w:hint="eastAsia" w:ascii="仿宋" w:hAnsi="仿宋" w:eastAsia="仿宋" w:cs="仿宋"/>
          <w:sz w:val="24"/>
          <w:highlight w:val="none"/>
        </w:rPr>
        <w:t>本合同</w:t>
      </w:r>
      <w:r>
        <w:rPr>
          <w:rFonts w:hint="eastAsia" w:ascii="仿宋" w:hAnsi="仿宋" w:eastAsia="仿宋" w:cs="仿宋"/>
          <w:sz w:val="24"/>
          <w:highlight w:val="none"/>
          <w:lang w:val="en-US" w:eastAsia="zh-CN"/>
        </w:rPr>
        <w:t>服务</w:t>
      </w:r>
      <w:r>
        <w:rPr>
          <w:rFonts w:hint="eastAsia" w:ascii="仿宋" w:hAnsi="仿宋" w:eastAsia="仿宋" w:cs="仿宋"/>
          <w:sz w:val="24"/>
          <w:highlight w:val="none"/>
        </w:rPr>
        <w:t>期限：3年（合同一年一签。若乙方上一年的服务不能满足甲方要求，甲方可拒绝同乙方续签）</w:t>
      </w:r>
      <w:r>
        <w:rPr>
          <w:rFonts w:hint="eastAsia" w:ascii="仿宋" w:hAnsi="仿宋" w:eastAsia="仿宋" w:cs="仿宋"/>
          <w:sz w:val="24"/>
          <w:highlight w:val="none"/>
          <w:lang w:eastAsia="zh-CN"/>
        </w:rPr>
        <w:t>。</w:t>
      </w:r>
    </w:p>
    <w:p w14:paraId="31A2C3EB">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合同签订按三阶段签订。</w:t>
      </w:r>
    </w:p>
    <w:p w14:paraId="104CE28A">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第一阶段合同期限1年，自    年  月  日起至    年  月  日止；</w:t>
      </w:r>
    </w:p>
    <w:p w14:paraId="6974E0FC">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第二阶段合同期限1年，自    年  月  日起至    年  月  日止；</w:t>
      </w:r>
    </w:p>
    <w:p w14:paraId="124A7B66">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第三阶段合同期限1年，自    年  月  日起至    年  月  日止。</w:t>
      </w:r>
    </w:p>
    <w:p w14:paraId="2BF3DB3C">
      <w:pPr>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上一阶段合同期满后，双方均无异议，协商后续签下一阶段合同（但最多不超过第三阶段），续签时合同其他内容不予改变。</w:t>
      </w:r>
    </w:p>
    <w:p w14:paraId="382ACFE9">
      <w:pPr>
        <w:snapToGrid w:val="0"/>
        <w:spacing w:line="360" w:lineRule="auto"/>
        <w:ind w:firstLine="480" w:firstLineChars="200"/>
        <w:rPr>
          <w:rFonts w:hint="eastAsia" w:ascii="仿宋" w:hAnsi="仿宋" w:eastAsia="仿宋" w:cs="仿宋"/>
          <w:b/>
          <w:sz w:val="24"/>
          <w:highlight w:val="none"/>
        </w:rPr>
      </w:pPr>
      <w:r>
        <w:rPr>
          <w:rFonts w:hint="eastAsia" w:ascii="仿宋" w:hAnsi="仿宋" w:eastAsia="仿宋" w:cs="仿宋"/>
          <w:sz w:val="24"/>
          <w:highlight w:val="none"/>
        </w:rPr>
        <w:t>本合同为第</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阶段合同。</w:t>
      </w:r>
    </w:p>
    <w:p w14:paraId="24397204">
      <w:pPr>
        <w:adjustRightInd w:val="0"/>
        <w:snapToGrid w:val="0"/>
        <w:spacing w:line="360" w:lineRule="auto"/>
        <w:ind w:firstLine="482" w:firstLineChars="200"/>
        <w:rPr>
          <w:rFonts w:hint="eastAsia" w:ascii="仿宋" w:hAnsi="仿宋" w:eastAsia="仿宋" w:cs="仿宋"/>
          <w:b/>
          <w:sz w:val="24"/>
          <w:highlight w:val="none"/>
          <w:lang w:eastAsia="zh-CN"/>
        </w:rPr>
      </w:pPr>
      <w:r>
        <w:rPr>
          <w:rFonts w:hint="eastAsia" w:ascii="仿宋" w:hAnsi="仿宋" w:eastAsia="仿宋" w:cs="仿宋"/>
          <w:b/>
          <w:sz w:val="24"/>
          <w:highlight w:val="none"/>
        </w:rPr>
        <w:t xml:space="preserve">第三条 </w:t>
      </w:r>
      <w:r>
        <w:rPr>
          <w:rFonts w:hint="eastAsia" w:ascii="仿宋" w:hAnsi="仿宋" w:eastAsia="仿宋" w:cs="仿宋"/>
          <w:b/>
          <w:sz w:val="24"/>
          <w:highlight w:val="none"/>
          <w:lang w:val="en-US" w:eastAsia="zh-CN"/>
        </w:rPr>
        <w:t>合同价款</w:t>
      </w:r>
    </w:p>
    <w:p w14:paraId="3F68DA98">
      <w:pPr>
        <w:adjustRightInd w:val="0"/>
        <w:snapToGrid w:val="0"/>
        <w:spacing w:line="360" w:lineRule="auto"/>
        <w:ind w:firstLine="524" w:firstLineChars="200"/>
        <w:rPr>
          <w:rFonts w:hint="eastAsia" w:ascii="仿宋" w:hAnsi="仿宋" w:eastAsia="仿宋" w:cs="仿宋"/>
          <w:bCs/>
          <w:color w:val="auto"/>
          <w:spacing w:val="11"/>
          <w:sz w:val="24"/>
          <w:highlight w:val="none"/>
          <w:lang w:val="en-US" w:eastAsia="zh-CN"/>
        </w:rPr>
      </w:pPr>
      <w:r>
        <w:rPr>
          <w:rFonts w:hint="eastAsia" w:ascii="仿宋" w:hAnsi="仿宋" w:eastAsia="仿宋" w:cs="仿宋"/>
          <w:bCs/>
          <w:color w:val="auto"/>
          <w:spacing w:val="11"/>
          <w:sz w:val="24"/>
          <w:highlight w:val="none"/>
          <w:lang w:eastAsia="zh-CN"/>
        </w:rPr>
        <w:t>3.1</w:t>
      </w:r>
      <w:r>
        <w:rPr>
          <w:rFonts w:hint="eastAsia" w:ascii="仿宋" w:hAnsi="仿宋" w:eastAsia="仿宋" w:cs="仿宋"/>
          <w:bCs/>
          <w:color w:val="auto"/>
          <w:spacing w:val="11"/>
          <w:sz w:val="24"/>
          <w:highlight w:val="none"/>
          <w:lang w:val="en-US" w:eastAsia="zh-CN"/>
        </w:rPr>
        <w:t>合同形式：固定单价</w:t>
      </w:r>
    </w:p>
    <w:p w14:paraId="4C09EE78">
      <w:pPr>
        <w:adjustRightInd w:val="0"/>
        <w:snapToGrid w:val="0"/>
        <w:spacing w:line="360" w:lineRule="auto"/>
        <w:ind w:firstLine="524" w:firstLineChars="200"/>
        <w:rPr>
          <w:rFonts w:hint="default" w:ascii="仿宋" w:hAnsi="仿宋" w:eastAsia="仿宋" w:cs="仿宋"/>
          <w:bCs/>
          <w:color w:val="auto"/>
          <w:spacing w:val="11"/>
          <w:sz w:val="24"/>
          <w:highlight w:val="none"/>
          <w:lang w:val="en-US" w:eastAsia="zh-CN"/>
        </w:rPr>
      </w:pPr>
      <w:r>
        <w:rPr>
          <w:rFonts w:hint="eastAsia" w:ascii="仿宋" w:hAnsi="仿宋" w:eastAsia="仿宋" w:cs="仿宋"/>
          <w:bCs/>
          <w:color w:val="auto"/>
          <w:spacing w:val="11"/>
          <w:sz w:val="24"/>
          <w:highlight w:val="none"/>
          <w:lang w:val="en-US" w:eastAsia="zh-CN"/>
        </w:rPr>
        <w:t>3.2费用组成</w:t>
      </w:r>
    </w:p>
    <w:p w14:paraId="47B4AEC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color w:val="000000"/>
          <w:sz w:val="24"/>
          <w:szCs w:val="24"/>
          <w:highlight w:val="none"/>
          <w:lang w:val="en-US" w:eastAsia="zh-CN"/>
        </w:rPr>
      </w:pPr>
      <w:r>
        <w:rPr>
          <w:rFonts w:hint="eastAsia" w:ascii="仿宋" w:hAnsi="仿宋" w:eastAsia="仿宋" w:cs="仿宋"/>
          <w:b/>
          <w:bCs/>
          <w:color w:val="000000"/>
          <w:sz w:val="24"/>
          <w:szCs w:val="24"/>
          <w:highlight w:val="none"/>
          <w:lang w:val="en-US" w:eastAsia="zh-CN"/>
        </w:rPr>
        <w:t>物业服务费合计：</w:t>
      </w:r>
      <w:r>
        <w:rPr>
          <w:rFonts w:hint="eastAsia" w:ascii="仿宋" w:hAnsi="仿宋" w:eastAsia="仿宋" w:cs="仿宋"/>
          <w:b/>
          <w:bCs/>
          <w:color w:val="000000"/>
          <w:sz w:val="24"/>
          <w:szCs w:val="24"/>
          <w:highlight w:val="none"/>
          <w:u w:val="single"/>
          <w:lang w:val="en-US" w:eastAsia="zh-CN"/>
        </w:rPr>
        <w:t xml:space="preserve">         </w:t>
      </w:r>
      <w:r>
        <w:rPr>
          <w:rFonts w:hint="eastAsia" w:ascii="仿宋" w:hAnsi="仿宋" w:eastAsia="仿宋" w:cs="仿宋"/>
          <w:b/>
          <w:bCs/>
          <w:color w:val="000000"/>
          <w:sz w:val="24"/>
          <w:szCs w:val="24"/>
          <w:highlight w:val="none"/>
          <w:lang w:val="en-US" w:eastAsia="zh-CN"/>
        </w:rPr>
        <w:t>元/年，分项费用如下：</w:t>
      </w:r>
    </w:p>
    <w:p w14:paraId="21B1BE07">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color w:val="000000"/>
          <w:sz w:val="24"/>
          <w:szCs w:val="24"/>
          <w:highlight w:val="none"/>
          <w:lang w:val="en-US" w:eastAsia="zh-CN"/>
        </w:rPr>
      </w:pPr>
      <w:r>
        <w:rPr>
          <w:rFonts w:hint="eastAsia" w:ascii="仿宋" w:hAnsi="仿宋" w:eastAsia="仿宋" w:cs="仿宋"/>
          <w:b w:val="0"/>
          <w:bCs w:val="0"/>
          <w:color w:val="000000"/>
          <w:sz w:val="24"/>
          <w:szCs w:val="24"/>
          <w:highlight w:val="none"/>
          <w:lang w:val="en-US" w:eastAsia="zh-CN"/>
        </w:rPr>
        <w:t>物业管理费：物业管理费计费标准为</w:t>
      </w:r>
      <w:r>
        <w:rPr>
          <w:rFonts w:hint="eastAsia" w:ascii="仿宋" w:hAnsi="仿宋" w:eastAsia="仿宋" w:cs="仿宋"/>
          <w:b w:val="0"/>
          <w:bCs w:val="0"/>
          <w:color w:val="000000"/>
          <w:sz w:val="24"/>
          <w:szCs w:val="24"/>
          <w:highlight w:val="none"/>
          <w:u w:val="single"/>
          <w:lang w:val="en-US" w:eastAsia="zh-CN"/>
        </w:rPr>
        <w:t xml:space="preserve">        </w:t>
      </w:r>
      <w:r>
        <w:rPr>
          <w:rFonts w:hint="eastAsia" w:ascii="仿宋" w:hAnsi="仿宋" w:eastAsia="仿宋" w:cs="仿宋"/>
          <w:b w:val="0"/>
          <w:bCs w:val="0"/>
          <w:color w:val="000000"/>
          <w:sz w:val="24"/>
          <w:szCs w:val="24"/>
          <w:highlight w:val="none"/>
          <w:lang w:val="en-US" w:eastAsia="zh-CN"/>
        </w:rPr>
        <w:t>元/㎡/月计（含税），面积暂定2343㎡，暂定共计人民币</w:t>
      </w:r>
      <w:r>
        <w:rPr>
          <w:rFonts w:hint="eastAsia" w:ascii="仿宋" w:hAnsi="仿宋" w:eastAsia="仿宋" w:cs="仿宋"/>
          <w:b w:val="0"/>
          <w:bCs w:val="0"/>
          <w:color w:val="000000"/>
          <w:sz w:val="24"/>
          <w:szCs w:val="24"/>
          <w:highlight w:val="none"/>
          <w:u w:val="single"/>
          <w:lang w:val="en-US" w:eastAsia="zh-CN"/>
        </w:rPr>
        <w:t xml:space="preserve">         </w:t>
      </w:r>
      <w:r>
        <w:rPr>
          <w:rFonts w:hint="eastAsia" w:ascii="仿宋" w:hAnsi="仿宋" w:eastAsia="仿宋" w:cs="仿宋"/>
          <w:b w:val="0"/>
          <w:bCs w:val="0"/>
          <w:color w:val="000000"/>
          <w:sz w:val="24"/>
          <w:szCs w:val="24"/>
          <w:highlight w:val="none"/>
          <w:lang w:val="en-US" w:eastAsia="zh-CN"/>
        </w:rPr>
        <w:t xml:space="preserve"> 元/年。</w:t>
      </w:r>
    </w:p>
    <w:p w14:paraId="68F1BE97">
      <w:pPr>
        <w:numPr>
          <w:ilvl w:val="0"/>
          <w:numId w:val="1"/>
        </w:numPr>
        <w:adjustRightInd w:val="0"/>
        <w:snapToGrid w:val="0"/>
        <w:spacing w:line="360" w:lineRule="auto"/>
        <w:ind w:left="0" w:leftChars="0" w:firstLine="480" w:firstLineChars="200"/>
        <w:rPr>
          <w:rFonts w:hint="eastAsia" w:ascii="仿宋" w:hAnsi="仿宋" w:eastAsia="仿宋" w:cs="仿宋"/>
          <w:b w:val="0"/>
          <w:bCs w:val="0"/>
          <w:color w:val="000000"/>
          <w:sz w:val="24"/>
          <w:szCs w:val="24"/>
          <w:highlight w:val="none"/>
          <w:lang w:val="en-US" w:eastAsia="zh-CN"/>
        </w:rPr>
      </w:pPr>
      <w:r>
        <w:rPr>
          <w:rFonts w:hint="eastAsia" w:ascii="仿宋" w:hAnsi="仿宋" w:eastAsia="仿宋" w:cs="仿宋"/>
          <w:b w:val="0"/>
          <w:bCs w:val="0"/>
          <w:color w:val="000000"/>
          <w:sz w:val="24"/>
          <w:szCs w:val="24"/>
          <w:highlight w:val="none"/>
          <w:lang w:val="en-US" w:eastAsia="zh-CN"/>
        </w:rPr>
        <w:t>车位费（车位租赁费+管理费）</w:t>
      </w:r>
      <w:r>
        <w:rPr>
          <w:rFonts w:hint="eastAsia" w:ascii="仿宋" w:hAnsi="仿宋" w:eastAsia="仿宋" w:cs="仿宋"/>
          <w:b w:val="0"/>
          <w:bCs w:val="0"/>
          <w:color w:val="auto"/>
          <w:sz w:val="24"/>
          <w:szCs w:val="24"/>
          <w:highlight w:val="none"/>
          <w:lang w:val="en-US" w:eastAsia="zh-CN"/>
        </w:rPr>
        <w:t>：按照月度计算</w:t>
      </w:r>
      <w:r>
        <w:rPr>
          <w:rFonts w:hint="eastAsia" w:ascii="仿宋" w:hAnsi="仿宋" w:eastAsia="仿宋" w:cs="仿宋"/>
          <w:b w:val="0"/>
          <w:bCs w:val="0"/>
          <w:color w:val="auto"/>
          <w:sz w:val="24"/>
          <w:szCs w:val="24"/>
          <w:highlight w:val="none"/>
          <w:u w:val="single"/>
          <w:lang w:val="en-US" w:eastAsia="zh-CN"/>
        </w:rPr>
        <w:t xml:space="preserve">     </w:t>
      </w:r>
      <w:r>
        <w:rPr>
          <w:rFonts w:hint="eastAsia" w:ascii="仿宋" w:hAnsi="仿宋" w:eastAsia="仿宋" w:cs="仿宋"/>
          <w:b w:val="0"/>
          <w:bCs w:val="0"/>
          <w:color w:val="auto"/>
          <w:sz w:val="24"/>
          <w:szCs w:val="24"/>
          <w:highlight w:val="none"/>
          <w:lang w:val="en-US" w:eastAsia="zh-CN"/>
        </w:rPr>
        <w:t>元/个/月（含税），暂定</w:t>
      </w:r>
      <w:r>
        <w:rPr>
          <w:rFonts w:hint="eastAsia" w:ascii="仿宋" w:hAnsi="仿宋" w:eastAsia="仿宋" w:cs="仿宋"/>
          <w:b w:val="0"/>
          <w:bCs w:val="0"/>
          <w:color w:val="auto"/>
          <w:sz w:val="24"/>
          <w:szCs w:val="24"/>
          <w:highlight w:val="none"/>
          <w:u w:val="single"/>
          <w:lang w:val="en-US" w:eastAsia="zh-CN"/>
        </w:rPr>
        <w:t>50</w:t>
      </w:r>
      <w:r>
        <w:rPr>
          <w:rFonts w:hint="eastAsia" w:ascii="仿宋" w:hAnsi="仿宋" w:eastAsia="仿宋" w:cs="仿宋"/>
          <w:b w:val="0"/>
          <w:bCs w:val="0"/>
          <w:color w:val="auto"/>
          <w:sz w:val="24"/>
          <w:szCs w:val="24"/>
          <w:highlight w:val="none"/>
          <w:lang w:val="en-US" w:eastAsia="zh-CN"/>
        </w:rPr>
        <w:t>个车位，共计人民币</w:t>
      </w:r>
      <w:r>
        <w:rPr>
          <w:rFonts w:hint="eastAsia" w:ascii="仿宋" w:hAnsi="仿宋" w:eastAsia="仿宋" w:cs="仿宋"/>
          <w:b w:val="0"/>
          <w:bCs w:val="0"/>
          <w:color w:val="auto"/>
          <w:sz w:val="24"/>
          <w:szCs w:val="24"/>
          <w:highlight w:val="none"/>
          <w:u w:val="single"/>
          <w:lang w:val="en-US" w:eastAsia="zh-CN"/>
        </w:rPr>
        <w:t xml:space="preserve">        </w:t>
      </w:r>
      <w:r>
        <w:rPr>
          <w:rFonts w:hint="eastAsia" w:ascii="仿宋" w:hAnsi="仿宋" w:eastAsia="仿宋" w:cs="仿宋"/>
          <w:b w:val="0"/>
          <w:bCs w:val="0"/>
          <w:color w:val="auto"/>
          <w:sz w:val="24"/>
          <w:szCs w:val="24"/>
          <w:highlight w:val="none"/>
          <w:lang w:val="en-US" w:eastAsia="zh-CN"/>
        </w:rPr>
        <w:t>元/年。</w:t>
      </w:r>
      <w:r>
        <w:rPr>
          <w:rFonts w:hint="eastAsia" w:ascii="仿宋" w:hAnsi="仿宋" w:eastAsia="仿宋" w:cs="仿宋"/>
          <w:b w:val="0"/>
          <w:bCs w:val="0"/>
          <w:color w:val="000000"/>
          <w:sz w:val="24"/>
          <w:szCs w:val="24"/>
          <w:highlight w:val="none"/>
          <w:lang w:val="en-US" w:eastAsia="zh-CN"/>
        </w:rPr>
        <w:t>如车辆数量有变化，据实结算。</w:t>
      </w:r>
    </w:p>
    <w:p w14:paraId="747AF725">
      <w:pPr>
        <w:numPr>
          <w:ilvl w:val="0"/>
          <w:numId w:val="1"/>
        </w:numPr>
        <w:adjustRightInd w:val="0"/>
        <w:snapToGrid w:val="0"/>
        <w:spacing w:line="360" w:lineRule="auto"/>
        <w:ind w:left="0" w:leftChars="0" w:firstLine="480" w:firstLineChars="200"/>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水费：每年暂定</w:t>
      </w:r>
      <w:r>
        <w:rPr>
          <w:rFonts w:hint="eastAsia" w:ascii="仿宋" w:hAnsi="仿宋" w:eastAsia="仿宋" w:cs="仿宋"/>
          <w:b w:val="0"/>
          <w:bCs w:val="0"/>
          <w:color w:val="auto"/>
          <w:sz w:val="24"/>
          <w:szCs w:val="24"/>
          <w:highlight w:val="none"/>
          <w:u w:val="single"/>
          <w:lang w:val="en-US" w:eastAsia="zh-CN"/>
        </w:rPr>
        <w:t xml:space="preserve">     </w:t>
      </w:r>
      <w:r>
        <w:rPr>
          <w:rFonts w:hint="eastAsia" w:ascii="仿宋" w:hAnsi="仿宋" w:eastAsia="仿宋" w:cs="仿宋"/>
          <w:b w:val="0"/>
          <w:bCs w:val="0"/>
          <w:color w:val="auto"/>
          <w:sz w:val="24"/>
          <w:szCs w:val="24"/>
          <w:highlight w:val="none"/>
          <w:lang w:val="en-US" w:eastAsia="zh-CN"/>
        </w:rPr>
        <w:t>元，实际按照政府相关部门的收费标准，实时调整，据实结算。</w:t>
      </w:r>
    </w:p>
    <w:p w14:paraId="192DFC71">
      <w:pPr>
        <w:adjustRightInd w:val="0"/>
        <w:snapToGrid w:val="0"/>
        <w:spacing w:line="360" w:lineRule="auto"/>
        <w:ind w:firstLine="480" w:firstLineChars="200"/>
        <w:rPr>
          <w:rFonts w:hint="eastAsia" w:ascii="仿宋" w:hAnsi="仿宋" w:eastAsia="仿宋" w:cs="仿宋"/>
          <w:bCs/>
          <w:color w:val="auto"/>
          <w:spacing w:val="11"/>
          <w:sz w:val="24"/>
          <w:highlight w:val="none"/>
          <w:lang w:val="en-US" w:eastAsia="zh-CN"/>
        </w:rPr>
      </w:pPr>
      <w:r>
        <w:rPr>
          <w:rFonts w:hint="eastAsia" w:ascii="仿宋" w:hAnsi="仿宋" w:eastAsia="仿宋" w:cs="仿宋"/>
          <w:b w:val="0"/>
          <w:bCs w:val="0"/>
          <w:color w:val="auto"/>
          <w:sz w:val="24"/>
          <w:szCs w:val="24"/>
          <w:highlight w:val="none"/>
          <w:lang w:val="en-US" w:eastAsia="zh-CN"/>
        </w:rPr>
        <w:t>（4）电费：每年暂定</w:t>
      </w:r>
      <w:r>
        <w:rPr>
          <w:rFonts w:hint="eastAsia" w:ascii="仿宋" w:hAnsi="仿宋" w:eastAsia="仿宋" w:cs="仿宋"/>
          <w:b w:val="0"/>
          <w:bCs w:val="0"/>
          <w:color w:val="auto"/>
          <w:sz w:val="24"/>
          <w:szCs w:val="24"/>
          <w:highlight w:val="none"/>
          <w:u w:val="single"/>
          <w:lang w:val="en-US" w:eastAsia="zh-CN"/>
        </w:rPr>
        <w:t xml:space="preserve">     </w:t>
      </w:r>
      <w:r>
        <w:rPr>
          <w:rFonts w:hint="eastAsia" w:ascii="仿宋" w:hAnsi="仿宋" w:eastAsia="仿宋" w:cs="仿宋"/>
          <w:b w:val="0"/>
          <w:bCs w:val="0"/>
          <w:color w:val="auto"/>
          <w:sz w:val="24"/>
          <w:szCs w:val="24"/>
          <w:highlight w:val="none"/>
          <w:lang w:val="en-US" w:eastAsia="zh-CN"/>
        </w:rPr>
        <w:t>元，实际按照政府相关部门的收费标准，实时调整，据实结算。</w:t>
      </w:r>
    </w:p>
    <w:p w14:paraId="020B79D2">
      <w:pPr>
        <w:adjustRightInd w:val="0"/>
        <w:snapToGrid w:val="0"/>
        <w:spacing w:line="360" w:lineRule="auto"/>
        <w:ind w:firstLine="480" w:firstLineChars="200"/>
        <w:rPr>
          <w:rFonts w:hint="eastAsia" w:ascii="仿宋" w:hAnsi="仿宋" w:eastAsia="仿宋" w:cs="仿宋"/>
          <w:bCs/>
          <w:color w:val="auto"/>
          <w:spacing w:val="11"/>
          <w:sz w:val="24"/>
          <w:highlight w:val="none"/>
          <w:lang w:eastAsia="zh-CN"/>
        </w:rPr>
      </w:pPr>
      <w:r>
        <w:rPr>
          <w:rFonts w:hint="eastAsia" w:ascii="仿宋" w:hAnsi="仿宋" w:eastAsia="仿宋" w:cs="仿宋"/>
          <w:b w:val="0"/>
          <w:bCs w:val="0"/>
          <w:color w:val="000000"/>
          <w:sz w:val="24"/>
          <w:szCs w:val="24"/>
          <w:highlight w:val="none"/>
        </w:rPr>
        <w:t>合同单价为完成本项目所要求单项内容且验收合格的所有费用，包括但不限于人工费（含工资、人工费、社保、降温费、高温津贴、取暖费、慰问、体检、商业险等所有福利待遇，工资、福利待遇和社保标准按当地最新政策执行）、材料费、办公费</w:t>
      </w:r>
      <w:r>
        <w:rPr>
          <w:rFonts w:hint="eastAsia" w:ascii="仿宋" w:hAnsi="仿宋" w:eastAsia="仿宋" w:cs="仿宋"/>
          <w:b w:val="0"/>
          <w:bCs w:val="0"/>
          <w:color w:val="000000"/>
          <w:sz w:val="24"/>
          <w:szCs w:val="24"/>
          <w:highlight w:val="none"/>
          <w:lang w:val="en-US" w:eastAsia="zh-CN"/>
        </w:rPr>
        <w:t>、</w:t>
      </w:r>
      <w:r>
        <w:rPr>
          <w:rFonts w:hint="eastAsia" w:ascii="仿宋" w:hAnsi="仿宋" w:eastAsia="仿宋" w:cs="仿宋"/>
          <w:b w:val="0"/>
          <w:bCs w:val="0"/>
          <w:color w:val="000000"/>
          <w:sz w:val="24"/>
          <w:szCs w:val="24"/>
          <w:highlight w:val="none"/>
        </w:rPr>
        <w:t>保险、利润、税金、风险、协调费用、工程维修维保费用</w:t>
      </w:r>
      <w:r>
        <w:rPr>
          <w:rFonts w:hint="eastAsia" w:ascii="仿宋" w:hAnsi="仿宋" w:eastAsia="仿宋" w:cs="仿宋"/>
          <w:b w:val="0"/>
          <w:bCs w:val="0"/>
          <w:color w:val="000000"/>
          <w:sz w:val="24"/>
          <w:szCs w:val="24"/>
          <w:highlight w:val="none"/>
          <w:lang w:eastAsia="zh-CN"/>
        </w:rPr>
        <w:t>、</w:t>
      </w:r>
      <w:r>
        <w:rPr>
          <w:rFonts w:hint="eastAsia" w:ascii="仿宋" w:hAnsi="仿宋" w:eastAsia="仿宋" w:cs="仿宋"/>
          <w:b w:val="0"/>
          <w:bCs w:val="0"/>
          <w:color w:val="000000"/>
          <w:sz w:val="24"/>
          <w:szCs w:val="24"/>
          <w:highlight w:val="none"/>
          <w:lang w:val="en-US" w:eastAsia="zh-CN"/>
        </w:rPr>
        <w:t>电梯维保费用</w:t>
      </w:r>
      <w:r>
        <w:rPr>
          <w:rFonts w:hint="eastAsia" w:ascii="仿宋" w:hAnsi="仿宋" w:eastAsia="仿宋" w:cs="仿宋"/>
          <w:b w:val="0"/>
          <w:bCs w:val="0"/>
          <w:color w:val="000000"/>
          <w:sz w:val="24"/>
          <w:szCs w:val="24"/>
          <w:highlight w:val="none"/>
        </w:rPr>
        <w:t>及完成工作准备阶段、实施阶段、交付阶段、验收阶段等其他一切相关费用</w:t>
      </w:r>
      <w:r>
        <w:rPr>
          <w:rFonts w:hint="eastAsia" w:ascii="仿宋" w:hAnsi="仿宋" w:eastAsia="仿宋" w:cs="仿宋"/>
          <w:bCs/>
          <w:color w:val="auto"/>
          <w:spacing w:val="11"/>
          <w:sz w:val="24"/>
          <w:highlight w:val="none"/>
          <w:lang w:eastAsia="zh-CN"/>
        </w:rPr>
        <w:t>。</w:t>
      </w:r>
    </w:p>
    <w:p w14:paraId="45D9BAF8">
      <w:pPr>
        <w:adjustRightInd w:val="0"/>
        <w:snapToGrid w:val="0"/>
        <w:spacing w:line="360" w:lineRule="auto"/>
        <w:ind w:firstLine="526" w:firstLineChars="200"/>
        <w:rPr>
          <w:rFonts w:hint="eastAsia" w:ascii="仿宋" w:hAnsi="仿宋" w:eastAsia="仿宋" w:cs="仿宋"/>
          <w:bCs/>
          <w:color w:val="auto"/>
          <w:spacing w:val="11"/>
          <w:sz w:val="24"/>
          <w:highlight w:val="none"/>
          <w:lang w:eastAsia="zh-CN"/>
        </w:rPr>
      </w:pPr>
      <w:r>
        <w:rPr>
          <w:rFonts w:hint="eastAsia" w:ascii="仿宋" w:hAnsi="仿宋" w:eastAsia="仿宋" w:cs="仿宋"/>
          <w:b/>
          <w:spacing w:val="11"/>
          <w:sz w:val="24"/>
          <w:highlight w:val="none"/>
        </w:rPr>
        <w:t>注：</w:t>
      </w:r>
      <w:r>
        <w:rPr>
          <w:rFonts w:hint="eastAsia" w:ascii="仿宋" w:hAnsi="仿宋" w:eastAsia="仿宋" w:cs="仿宋"/>
          <w:bCs/>
          <w:spacing w:val="11"/>
          <w:sz w:val="24"/>
          <w:highlight w:val="none"/>
        </w:rPr>
        <w:t>服务期限内，双方同意水电费收费标准随政府相关部门的价格及收费标准。</w:t>
      </w:r>
    </w:p>
    <w:p w14:paraId="5DC69C30">
      <w:pPr>
        <w:adjustRightInd w:val="0"/>
        <w:snapToGrid w:val="0"/>
        <w:spacing w:line="360" w:lineRule="auto"/>
        <w:ind w:firstLine="524" w:firstLineChars="200"/>
        <w:rPr>
          <w:rFonts w:hint="eastAsia" w:ascii="仿宋" w:hAnsi="仿宋" w:eastAsia="仿宋" w:cs="仿宋"/>
          <w:bCs/>
          <w:spacing w:val="11"/>
          <w:sz w:val="24"/>
          <w:highlight w:val="none"/>
          <w:lang w:val="en-US" w:eastAsia="zh-CN"/>
        </w:rPr>
      </w:pPr>
      <w:r>
        <w:rPr>
          <w:rFonts w:hint="eastAsia" w:ascii="仿宋" w:hAnsi="仿宋" w:eastAsia="仿宋" w:cs="仿宋"/>
          <w:bCs/>
          <w:spacing w:val="11"/>
          <w:sz w:val="24"/>
          <w:highlight w:val="none"/>
          <w:lang w:val="en-US" w:eastAsia="zh-CN"/>
        </w:rPr>
        <w:t>3.3费用支付方式及依据</w:t>
      </w:r>
    </w:p>
    <w:p w14:paraId="492197C9">
      <w:pPr>
        <w:adjustRightInd w:val="0"/>
        <w:snapToGrid w:val="0"/>
        <w:spacing w:line="360" w:lineRule="auto"/>
        <w:ind w:firstLine="524" w:firstLineChars="200"/>
        <w:rPr>
          <w:rFonts w:hint="eastAsia" w:ascii="仿宋" w:hAnsi="仿宋" w:eastAsia="仿宋" w:cs="仿宋"/>
          <w:bCs/>
          <w:spacing w:val="11"/>
          <w:sz w:val="24"/>
          <w:highlight w:val="none"/>
          <w:lang w:val="en-US" w:eastAsia="zh-CN"/>
        </w:rPr>
      </w:pPr>
      <w:r>
        <w:rPr>
          <w:rFonts w:hint="eastAsia" w:ascii="仿宋" w:hAnsi="仿宋" w:eastAsia="仿宋" w:cs="仿宋"/>
          <w:bCs/>
          <w:spacing w:val="11"/>
          <w:sz w:val="24"/>
          <w:highlight w:val="none"/>
          <w:lang w:val="en-US" w:eastAsia="zh-CN"/>
        </w:rPr>
        <w:t>3.3.1支付方式：每季度支付一次。季度服务期满后，甲乙双方核对服务费用，核对无误后乙方向甲方开具相应金额的服务费发票，甲方在收到合法有效的发票后据实支付服务费用。</w:t>
      </w:r>
    </w:p>
    <w:p w14:paraId="5756DE61">
      <w:pPr>
        <w:adjustRightInd w:val="0"/>
        <w:snapToGrid w:val="0"/>
        <w:spacing w:line="360" w:lineRule="auto"/>
        <w:ind w:firstLine="524" w:firstLineChars="200"/>
        <w:rPr>
          <w:rFonts w:hint="eastAsia" w:ascii="仿宋" w:hAnsi="仿宋" w:eastAsia="仿宋" w:cs="仿宋"/>
          <w:bCs/>
          <w:spacing w:val="11"/>
          <w:sz w:val="24"/>
          <w:highlight w:val="none"/>
          <w:lang w:val="en-US" w:eastAsia="zh-CN"/>
        </w:rPr>
      </w:pPr>
      <w:r>
        <w:rPr>
          <w:rFonts w:hint="eastAsia" w:ascii="仿宋" w:hAnsi="仿宋" w:eastAsia="仿宋" w:cs="仿宋"/>
          <w:bCs/>
          <w:spacing w:val="11"/>
          <w:sz w:val="24"/>
          <w:highlight w:val="none"/>
          <w:lang w:val="en-US" w:eastAsia="zh-CN"/>
        </w:rPr>
        <w:t>3.3.2付款依据：单一来源采购文件、响应文件、合同、乙方出具的发票、甲方出具的确认单。</w:t>
      </w:r>
    </w:p>
    <w:p w14:paraId="7ABC2052">
      <w:pPr>
        <w:adjustRightInd w:val="0"/>
        <w:snapToGrid w:val="0"/>
        <w:spacing w:line="360" w:lineRule="auto"/>
        <w:ind w:firstLine="524" w:firstLineChars="200"/>
        <w:rPr>
          <w:rFonts w:hint="eastAsia" w:ascii="仿宋" w:hAnsi="仿宋" w:eastAsia="仿宋" w:cs="仿宋"/>
          <w:bCs/>
          <w:spacing w:val="11"/>
          <w:sz w:val="24"/>
          <w:highlight w:val="none"/>
          <w:lang w:val="en-US" w:eastAsia="zh-CN"/>
        </w:rPr>
      </w:pPr>
      <w:r>
        <w:rPr>
          <w:rFonts w:hint="eastAsia" w:ascii="仿宋" w:hAnsi="仿宋" w:eastAsia="仿宋" w:cs="仿宋"/>
          <w:bCs/>
          <w:spacing w:val="11"/>
          <w:sz w:val="24"/>
          <w:highlight w:val="none"/>
          <w:lang w:val="en-US" w:eastAsia="zh-CN"/>
        </w:rPr>
        <w:t>3.3.3乙方指定收款银行账户信息为：</w:t>
      </w:r>
    </w:p>
    <w:p w14:paraId="2F8D1CD1">
      <w:pPr>
        <w:adjustRightInd w:val="0"/>
        <w:snapToGrid w:val="0"/>
        <w:spacing w:line="360" w:lineRule="auto"/>
        <w:ind w:firstLine="524" w:firstLineChars="200"/>
        <w:rPr>
          <w:rFonts w:hint="eastAsia" w:ascii="仿宋" w:hAnsi="仿宋" w:eastAsia="仿宋" w:cs="仿宋"/>
          <w:bCs/>
          <w:spacing w:val="11"/>
          <w:sz w:val="24"/>
          <w:highlight w:val="none"/>
          <w:lang w:val="en-US" w:eastAsia="zh-CN"/>
        </w:rPr>
      </w:pPr>
      <w:r>
        <w:rPr>
          <w:rFonts w:hint="eastAsia" w:ascii="仿宋" w:hAnsi="仿宋" w:eastAsia="仿宋" w:cs="仿宋"/>
          <w:bCs/>
          <w:spacing w:val="11"/>
          <w:sz w:val="24"/>
          <w:highlight w:val="none"/>
          <w:lang w:val="en-US" w:eastAsia="zh-CN"/>
        </w:rPr>
        <w:t xml:space="preserve">收款单位：                       </w:t>
      </w:r>
    </w:p>
    <w:p w14:paraId="25F9D558">
      <w:pPr>
        <w:adjustRightInd w:val="0"/>
        <w:snapToGrid w:val="0"/>
        <w:spacing w:line="360" w:lineRule="auto"/>
        <w:ind w:firstLine="524" w:firstLineChars="200"/>
        <w:rPr>
          <w:rFonts w:hint="eastAsia" w:ascii="仿宋" w:hAnsi="仿宋" w:eastAsia="仿宋" w:cs="仿宋"/>
          <w:bCs/>
          <w:spacing w:val="11"/>
          <w:sz w:val="24"/>
          <w:highlight w:val="none"/>
          <w:lang w:val="en-US" w:eastAsia="zh-CN"/>
        </w:rPr>
      </w:pPr>
      <w:r>
        <w:rPr>
          <w:rFonts w:hint="eastAsia" w:ascii="仿宋" w:hAnsi="仿宋" w:eastAsia="仿宋" w:cs="仿宋"/>
          <w:bCs/>
          <w:spacing w:val="11"/>
          <w:sz w:val="24"/>
          <w:highlight w:val="none"/>
          <w:lang w:val="en-US" w:eastAsia="zh-CN"/>
        </w:rPr>
        <w:t xml:space="preserve">开户银行：                      </w:t>
      </w:r>
    </w:p>
    <w:p w14:paraId="6239CB1F">
      <w:pPr>
        <w:adjustRightInd w:val="0"/>
        <w:snapToGrid w:val="0"/>
        <w:spacing w:line="360" w:lineRule="auto"/>
        <w:ind w:firstLine="524" w:firstLineChars="200"/>
        <w:rPr>
          <w:rFonts w:hint="eastAsia" w:ascii="仿宋" w:hAnsi="仿宋" w:eastAsia="仿宋" w:cs="仿宋"/>
          <w:bCs/>
          <w:spacing w:val="11"/>
          <w:sz w:val="24"/>
          <w:highlight w:val="none"/>
          <w:lang w:val="en-US" w:eastAsia="zh-CN"/>
        </w:rPr>
      </w:pPr>
      <w:r>
        <w:rPr>
          <w:rFonts w:hint="eastAsia" w:ascii="仿宋" w:hAnsi="仿宋" w:eastAsia="仿宋" w:cs="仿宋"/>
          <w:bCs/>
          <w:spacing w:val="11"/>
          <w:sz w:val="24"/>
          <w:highlight w:val="none"/>
          <w:lang w:val="en-US" w:eastAsia="zh-CN"/>
        </w:rPr>
        <w:t xml:space="preserve">银行账号：                      </w:t>
      </w:r>
    </w:p>
    <w:p w14:paraId="7033582B">
      <w:pPr>
        <w:adjustRightInd w:val="0"/>
        <w:snapToGrid w:val="0"/>
        <w:spacing w:line="360" w:lineRule="auto"/>
        <w:ind w:firstLine="524" w:firstLineChars="200"/>
        <w:rPr>
          <w:rFonts w:hint="eastAsia" w:ascii="仿宋" w:hAnsi="仿宋" w:eastAsia="仿宋" w:cs="仿宋"/>
          <w:bCs/>
          <w:spacing w:val="11"/>
          <w:sz w:val="24"/>
          <w:highlight w:val="none"/>
          <w:lang w:val="en-US" w:eastAsia="zh-CN"/>
        </w:rPr>
      </w:pPr>
      <w:r>
        <w:rPr>
          <w:rFonts w:hint="eastAsia" w:ascii="仿宋" w:hAnsi="仿宋" w:eastAsia="仿宋" w:cs="仿宋"/>
          <w:bCs/>
          <w:spacing w:val="11"/>
          <w:sz w:val="24"/>
          <w:highlight w:val="none"/>
          <w:lang w:val="en-US" w:eastAsia="zh-CN"/>
        </w:rPr>
        <w:t xml:space="preserve">银行行号：                      </w:t>
      </w:r>
    </w:p>
    <w:p w14:paraId="5E518E0C">
      <w:pPr>
        <w:adjustRightInd w:val="0"/>
        <w:snapToGrid w:val="0"/>
        <w:spacing w:line="360" w:lineRule="auto"/>
        <w:ind w:firstLine="482" w:firstLineChars="200"/>
        <w:rPr>
          <w:rFonts w:hint="eastAsia" w:ascii="仿宋" w:hAnsi="仿宋" w:eastAsia="仿宋" w:cs="仿宋"/>
          <w:b/>
          <w:sz w:val="24"/>
          <w:highlight w:val="none"/>
        </w:rPr>
      </w:pPr>
      <w:r>
        <w:rPr>
          <w:rFonts w:hint="eastAsia" w:ascii="仿宋" w:hAnsi="仿宋" w:eastAsia="仿宋" w:cs="仿宋"/>
          <w:b/>
          <w:sz w:val="24"/>
          <w:highlight w:val="none"/>
        </w:rPr>
        <w:t>第</w:t>
      </w:r>
      <w:r>
        <w:rPr>
          <w:rFonts w:hint="eastAsia" w:ascii="仿宋" w:hAnsi="仿宋" w:eastAsia="仿宋" w:cs="仿宋"/>
          <w:b/>
          <w:sz w:val="24"/>
          <w:highlight w:val="none"/>
          <w:lang w:val="en-US" w:eastAsia="zh-CN"/>
        </w:rPr>
        <w:t>四</w:t>
      </w:r>
      <w:r>
        <w:rPr>
          <w:rFonts w:hint="eastAsia" w:ascii="仿宋" w:hAnsi="仿宋" w:eastAsia="仿宋" w:cs="仿宋"/>
          <w:b/>
          <w:sz w:val="24"/>
          <w:highlight w:val="none"/>
        </w:rPr>
        <w:t>条 双方的权利与义务</w:t>
      </w:r>
    </w:p>
    <w:p w14:paraId="09ACF2D7">
      <w:pPr>
        <w:autoSpaceDE w:val="0"/>
        <w:autoSpaceDN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（一）甲方权利义务</w:t>
      </w:r>
    </w:p>
    <w:p w14:paraId="20E86353">
      <w:pPr>
        <w:autoSpaceDE w:val="0"/>
        <w:autoSpaceDN w:val="0"/>
        <w:snapToGrid w:val="0"/>
        <w:spacing w:line="360" w:lineRule="auto"/>
        <w:ind w:firstLine="480" w:firstLineChars="200"/>
        <w:rPr>
          <w:rFonts w:hint="eastAsia" w:ascii="仿宋" w:hAnsi="仿宋" w:eastAsia="仿宋" w:cs="仿宋"/>
          <w:sz w:val="24"/>
          <w:highlight w:val="none"/>
          <w:lang w:val="zh-CN" w:eastAsia="zh-CN"/>
        </w:rPr>
      </w:pPr>
      <w:r>
        <w:rPr>
          <w:rFonts w:hint="eastAsia" w:ascii="仿宋" w:hAnsi="仿宋" w:eastAsia="仿宋" w:cs="仿宋"/>
          <w:sz w:val="24"/>
          <w:highlight w:val="none"/>
          <w:lang w:val="zh-CN" w:eastAsia="zh-CN"/>
        </w:rPr>
        <w:t>1.甲方应当按照合同的约定按时向乙方支付相关费用。</w:t>
      </w:r>
    </w:p>
    <w:p w14:paraId="2CD8CA4A">
      <w:pPr>
        <w:autoSpaceDE w:val="0"/>
        <w:autoSpaceDN w:val="0"/>
        <w:snapToGrid w:val="0"/>
        <w:spacing w:line="360" w:lineRule="auto"/>
        <w:ind w:firstLine="480" w:firstLineChars="200"/>
        <w:rPr>
          <w:rFonts w:hint="eastAsia" w:ascii="仿宋" w:hAnsi="仿宋" w:eastAsia="仿宋" w:cs="仿宋"/>
          <w:sz w:val="24"/>
          <w:highlight w:val="none"/>
          <w:lang w:val="zh-CN" w:eastAsia="zh-CN"/>
        </w:rPr>
      </w:pPr>
      <w:r>
        <w:rPr>
          <w:rFonts w:hint="eastAsia" w:ascii="仿宋" w:hAnsi="仿宋" w:eastAsia="仿宋" w:cs="仿宋"/>
          <w:sz w:val="24"/>
          <w:highlight w:val="none"/>
          <w:lang w:val="zh-CN" w:eastAsia="zh-CN"/>
        </w:rPr>
        <w:t>2.按照物业服务合同约定，享有接受乙方提供服务的权利。</w:t>
      </w:r>
    </w:p>
    <w:p w14:paraId="7A635F6C">
      <w:pPr>
        <w:autoSpaceDE w:val="0"/>
        <w:autoSpaceDN w:val="0"/>
        <w:snapToGrid w:val="0"/>
        <w:spacing w:line="360" w:lineRule="auto"/>
        <w:ind w:firstLine="480" w:firstLineChars="200"/>
        <w:rPr>
          <w:rFonts w:hint="eastAsia" w:ascii="仿宋" w:hAnsi="仿宋" w:eastAsia="仿宋" w:cs="仿宋"/>
          <w:sz w:val="24"/>
          <w:highlight w:val="none"/>
          <w:lang w:val="zh-CN" w:eastAsia="zh-CN"/>
        </w:rPr>
      </w:pPr>
      <w:r>
        <w:rPr>
          <w:rFonts w:hint="eastAsia" w:ascii="仿宋" w:hAnsi="仿宋" w:eastAsia="仿宋" w:cs="仿宋"/>
          <w:sz w:val="24"/>
          <w:highlight w:val="none"/>
          <w:lang w:val="zh-CN" w:eastAsia="zh-CN"/>
        </w:rPr>
        <w:t>3.对物业服务区域内共用部位、共用设施、设备和相关场地使用情况享有知情权和监督权。</w:t>
      </w:r>
    </w:p>
    <w:p w14:paraId="7837E0C3">
      <w:pPr>
        <w:autoSpaceDE w:val="0"/>
        <w:autoSpaceDN w:val="0"/>
        <w:snapToGrid w:val="0"/>
        <w:spacing w:line="360" w:lineRule="auto"/>
        <w:ind w:firstLine="480" w:firstLineChars="200"/>
        <w:rPr>
          <w:rFonts w:hint="eastAsia" w:ascii="仿宋" w:hAnsi="仿宋" w:eastAsia="仿宋" w:cs="仿宋"/>
          <w:sz w:val="24"/>
          <w:highlight w:val="none"/>
          <w:lang w:val="zh-CN" w:eastAsia="zh-CN"/>
        </w:rPr>
      </w:pPr>
      <w:r>
        <w:rPr>
          <w:rFonts w:hint="eastAsia" w:ascii="仿宋" w:hAnsi="仿宋" w:eastAsia="仿宋" w:cs="仿宋"/>
          <w:sz w:val="24"/>
          <w:highlight w:val="none"/>
          <w:lang w:val="zh-CN" w:eastAsia="zh-CN"/>
        </w:rPr>
        <w:t>4.监督物业服务区域内共用部位、共用设施、设备的管理和使用状况。</w:t>
      </w:r>
    </w:p>
    <w:p w14:paraId="6FB055CD">
      <w:pPr>
        <w:autoSpaceDE w:val="0"/>
        <w:autoSpaceDN w:val="0"/>
        <w:snapToGrid w:val="0"/>
        <w:spacing w:line="360" w:lineRule="auto"/>
        <w:ind w:firstLine="480" w:firstLineChars="200"/>
        <w:rPr>
          <w:rFonts w:hint="eastAsia" w:ascii="仿宋" w:hAnsi="仿宋" w:eastAsia="仿宋" w:cs="仿宋"/>
          <w:sz w:val="24"/>
          <w:highlight w:val="none"/>
          <w:lang w:val="zh-CN" w:eastAsia="zh-CN"/>
        </w:rPr>
      </w:pPr>
      <w:r>
        <w:rPr>
          <w:rFonts w:hint="eastAsia" w:ascii="仿宋" w:hAnsi="仿宋" w:eastAsia="仿宋" w:cs="仿宋"/>
          <w:sz w:val="24"/>
          <w:highlight w:val="none"/>
          <w:lang w:val="zh-CN" w:eastAsia="zh-CN"/>
        </w:rPr>
        <w:t>5.遵守乙方制定的各项物业管理规章制度。</w:t>
      </w:r>
    </w:p>
    <w:p w14:paraId="06285CE6">
      <w:pPr>
        <w:autoSpaceDE w:val="0"/>
        <w:autoSpaceDN w:val="0"/>
        <w:snapToGrid w:val="0"/>
        <w:spacing w:line="360" w:lineRule="auto"/>
        <w:ind w:firstLine="480" w:firstLineChars="200"/>
        <w:rPr>
          <w:rFonts w:hint="eastAsia" w:ascii="仿宋" w:hAnsi="仿宋" w:eastAsia="仿宋" w:cs="仿宋"/>
          <w:sz w:val="24"/>
          <w:highlight w:val="none"/>
          <w:lang w:val="zh-CN" w:eastAsia="zh-CN"/>
        </w:rPr>
      </w:pPr>
      <w:r>
        <w:rPr>
          <w:rFonts w:hint="eastAsia" w:ascii="仿宋" w:hAnsi="仿宋" w:eastAsia="仿宋" w:cs="仿宋"/>
          <w:sz w:val="24"/>
          <w:highlight w:val="none"/>
          <w:lang w:val="zh-CN" w:eastAsia="zh-CN"/>
        </w:rPr>
        <w:t>6.按照合同约定按时交纳物业服务费。</w:t>
      </w:r>
    </w:p>
    <w:p w14:paraId="023B5D68">
      <w:pPr>
        <w:autoSpaceDE w:val="0"/>
        <w:autoSpaceDN w:val="0"/>
        <w:snapToGrid w:val="0"/>
        <w:spacing w:line="360" w:lineRule="auto"/>
        <w:ind w:firstLine="480" w:firstLineChars="200"/>
        <w:rPr>
          <w:rFonts w:hint="eastAsia" w:ascii="仿宋" w:hAnsi="仿宋" w:eastAsia="仿宋" w:cs="仿宋"/>
          <w:sz w:val="24"/>
          <w:highlight w:val="none"/>
          <w:lang w:val="zh-CN" w:eastAsia="zh-CN"/>
        </w:rPr>
      </w:pPr>
      <w:r>
        <w:rPr>
          <w:rFonts w:hint="eastAsia" w:ascii="仿宋" w:hAnsi="仿宋" w:eastAsia="仿宋" w:cs="仿宋"/>
          <w:sz w:val="24"/>
          <w:highlight w:val="none"/>
          <w:lang w:val="zh-CN" w:eastAsia="zh-CN"/>
        </w:rPr>
        <w:t>7.物业使用者自行承担其自用部位范围内的人身、财产的保险、保管责任。</w:t>
      </w:r>
    </w:p>
    <w:p w14:paraId="77CD8F07">
      <w:pPr>
        <w:autoSpaceDE w:val="0"/>
        <w:autoSpaceDN w:val="0"/>
        <w:snapToGrid w:val="0"/>
        <w:spacing w:line="360" w:lineRule="auto"/>
        <w:ind w:firstLine="480" w:firstLineChars="200"/>
        <w:rPr>
          <w:rFonts w:hint="eastAsia" w:ascii="仿宋" w:hAnsi="仿宋" w:eastAsia="仿宋" w:cs="仿宋"/>
          <w:sz w:val="24"/>
          <w:highlight w:val="none"/>
          <w:lang w:val="zh-CN" w:eastAsia="zh-CN"/>
        </w:rPr>
      </w:pPr>
      <w:r>
        <w:rPr>
          <w:rFonts w:hint="eastAsia" w:ascii="仿宋" w:hAnsi="仿宋" w:eastAsia="仿宋" w:cs="仿宋"/>
          <w:sz w:val="24"/>
          <w:highlight w:val="none"/>
          <w:lang w:val="zh-CN" w:eastAsia="zh-CN"/>
        </w:rPr>
        <w:t>8.甲方可委托乙方对其提供特约服务，服务内容和费用由双方另行商定。</w:t>
      </w:r>
    </w:p>
    <w:p w14:paraId="22180EDC">
      <w:pPr>
        <w:autoSpaceDE w:val="0"/>
        <w:autoSpaceDN w:val="0"/>
        <w:snapToGrid w:val="0"/>
        <w:spacing w:line="360" w:lineRule="auto"/>
        <w:ind w:firstLine="480" w:firstLineChars="200"/>
        <w:rPr>
          <w:rFonts w:hint="eastAsia" w:ascii="仿宋" w:hAnsi="仿宋" w:eastAsia="仿宋" w:cs="仿宋"/>
          <w:sz w:val="24"/>
          <w:highlight w:val="none"/>
          <w:lang w:val="zh-CN" w:eastAsia="zh-CN"/>
        </w:rPr>
      </w:pPr>
      <w:r>
        <w:rPr>
          <w:rFonts w:hint="eastAsia" w:ascii="仿宋" w:hAnsi="仿宋" w:eastAsia="仿宋" w:cs="仿宋"/>
          <w:sz w:val="24"/>
          <w:highlight w:val="none"/>
          <w:lang w:val="zh-CN" w:eastAsia="zh-CN"/>
        </w:rPr>
        <w:t>9.甲方经营产生的办公、生活垃圾应分类、堆放在乙方指定地点，由乙方统一清运，严禁乱弃乱放垃圾。</w:t>
      </w:r>
    </w:p>
    <w:p w14:paraId="46D77CBE">
      <w:pPr>
        <w:adjustRightInd w:val="0"/>
        <w:snapToGrid w:val="0"/>
        <w:spacing w:line="360" w:lineRule="auto"/>
        <w:ind w:firstLine="480" w:firstLineChars="200"/>
        <w:rPr>
          <w:rFonts w:hint="eastAsia" w:ascii="仿宋" w:hAnsi="仿宋" w:eastAsia="仿宋" w:cs="仿宋"/>
          <w:sz w:val="24"/>
          <w:highlight w:val="none"/>
          <w:lang w:val="zh-CN" w:eastAsia="zh-CN"/>
        </w:rPr>
      </w:pPr>
      <w:r>
        <w:rPr>
          <w:rFonts w:hint="eastAsia" w:ascii="仿宋" w:hAnsi="仿宋" w:eastAsia="仿宋" w:cs="仿宋"/>
          <w:sz w:val="24"/>
          <w:highlight w:val="none"/>
          <w:lang w:val="zh-CN"/>
        </w:rPr>
        <w:t>10、对自有设施、设备进行维修和保养。</w:t>
      </w:r>
    </w:p>
    <w:p w14:paraId="7A62646D">
      <w:pPr>
        <w:autoSpaceDE w:val="0"/>
        <w:autoSpaceDN w:val="0"/>
        <w:snapToGrid w:val="0"/>
        <w:spacing w:line="360" w:lineRule="auto"/>
        <w:ind w:firstLine="480" w:firstLineChars="200"/>
        <w:rPr>
          <w:rFonts w:hint="eastAsia" w:ascii="仿宋" w:hAnsi="仿宋" w:eastAsia="仿宋" w:cs="仿宋"/>
          <w:sz w:val="24"/>
          <w:highlight w:val="none"/>
          <w:lang w:val="zh-CN"/>
        </w:rPr>
      </w:pPr>
      <w:r>
        <w:rPr>
          <w:rFonts w:hint="eastAsia" w:ascii="仿宋" w:hAnsi="仿宋" w:eastAsia="仿宋" w:cs="仿宋"/>
          <w:sz w:val="24"/>
          <w:highlight w:val="none"/>
        </w:rPr>
        <w:t>（二）乙方权利义务</w:t>
      </w:r>
    </w:p>
    <w:p w14:paraId="06AAA149">
      <w:pPr>
        <w:autoSpaceDE w:val="0"/>
        <w:autoSpaceDN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1.从建设单位或产权方接收该房屋建筑物竣工总平面图、设备竣工图、配套设施、地下管网工程竣工图等竣工验收资料。接收共用设施设备的安装、使用和维修保养等技术资料。</w:t>
      </w:r>
    </w:p>
    <w:p w14:paraId="616ED0EE">
      <w:pPr>
        <w:autoSpaceDE w:val="0"/>
        <w:autoSpaceDN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2.制定、公布该物业服务区域内的物业管理规章、制度等。</w:t>
      </w:r>
    </w:p>
    <w:p w14:paraId="3715D528">
      <w:pPr>
        <w:autoSpaceDE w:val="0"/>
        <w:autoSpaceDN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3.管理服务区域公共物业用房、共用设施设备、公共照明设施、卫生、交通等事务。</w:t>
      </w:r>
    </w:p>
    <w:p w14:paraId="6D3912E8">
      <w:pPr>
        <w:autoSpaceDE w:val="0"/>
        <w:autoSpaceDN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4.在供电、供水等经营单位还不能向最终用户收取有关费用的情况下，代收代缴相关费用。</w:t>
      </w:r>
    </w:p>
    <w:p w14:paraId="3CFA8B28">
      <w:pPr>
        <w:autoSpaceDE w:val="0"/>
        <w:autoSpaceDN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5.依约定或核定收费标准收取物业服务费、停车费等费用。</w:t>
      </w:r>
    </w:p>
    <w:p w14:paraId="1401F226">
      <w:pPr>
        <w:autoSpaceDE w:val="0"/>
        <w:autoSpaceDN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6.制止和纠正违反物业管理规章、制度的违规行为。</w:t>
      </w:r>
    </w:p>
    <w:p w14:paraId="2DDF9DEA">
      <w:pPr>
        <w:autoSpaceDE w:val="0"/>
        <w:autoSpaceDN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7.对侵害物业服务区内共用部位、共用设施、设备的民事侵权行为，依法行使诉讼权利，维护合法权益。</w:t>
      </w:r>
    </w:p>
    <w:p w14:paraId="5415EE7D">
      <w:pPr>
        <w:autoSpaceDE w:val="0"/>
        <w:autoSpaceDN w:val="0"/>
        <w:snapToGrid w:val="0"/>
        <w:spacing w:line="360" w:lineRule="auto"/>
        <w:ind w:firstLine="480" w:firstLineChars="200"/>
        <w:rPr>
          <w:rFonts w:hint="eastAsia" w:ascii="仿宋" w:hAnsi="仿宋" w:eastAsia="仿宋" w:cs="仿宋"/>
          <w:sz w:val="24"/>
          <w:highlight w:val="none"/>
          <w:lang w:eastAsia="zh-CN"/>
        </w:rPr>
      </w:pPr>
      <w:r>
        <w:rPr>
          <w:rFonts w:hint="eastAsia" w:ascii="仿宋" w:hAnsi="仿宋" w:eastAsia="仿宋" w:cs="仿宋"/>
          <w:sz w:val="24"/>
          <w:highlight w:val="none"/>
        </w:rPr>
        <w:t>8.协助公安机关、社会团体维持物业服务区域内的公共秩序，对损坏物业用房、共用设施设备的行为进行制止，预防共用设施、设备被盗、被抢事件发生</w:t>
      </w:r>
      <w:r>
        <w:rPr>
          <w:rFonts w:hint="eastAsia" w:ascii="仿宋" w:hAnsi="仿宋" w:eastAsia="仿宋" w:cs="仿宋"/>
          <w:sz w:val="24"/>
          <w:highlight w:val="none"/>
          <w:lang w:eastAsia="zh-CN"/>
        </w:rPr>
        <w:t>。</w:t>
      </w:r>
    </w:p>
    <w:p w14:paraId="6D63BE99">
      <w:pPr>
        <w:autoSpaceDE w:val="0"/>
        <w:autoSpaceDN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9.对物业服务区域内的门卫实行24小时巡逻制度。</w:t>
      </w:r>
    </w:p>
    <w:p w14:paraId="4D7112F8">
      <w:pPr>
        <w:autoSpaceDE w:val="0"/>
        <w:autoSpaceDN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10.法律法规规定的其他权利和义务。</w:t>
      </w:r>
    </w:p>
    <w:p w14:paraId="5B174C78">
      <w:pPr>
        <w:adjustRightInd w:val="0"/>
        <w:snapToGrid w:val="0"/>
        <w:spacing w:line="360" w:lineRule="auto"/>
        <w:ind w:firstLine="482" w:firstLineChars="200"/>
        <w:rPr>
          <w:rFonts w:hint="eastAsia" w:ascii="仿宋" w:hAnsi="仿宋" w:eastAsia="仿宋" w:cs="仿宋"/>
          <w:sz w:val="24"/>
          <w:highlight w:val="none"/>
        </w:rPr>
      </w:pPr>
      <w:r>
        <w:rPr>
          <w:rFonts w:hint="eastAsia" w:ascii="仿宋" w:hAnsi="仿宋" w:eastAsia="仿宋" w:cs="仿宋"/>
          <w:b/>
          <w:sz w:val="24"/>
          <w:highlight w:val="none"/>
        </w:rPr>
        <w:t>第</w:t>
      </w:r>
      <w:r>
        <w:rPr>
          <w:rFonts w:hint="eastAsia" w:ascii="仿宋" w:hAnsi="仿宋" w:eastAsia="仿宋" w:cs="仿宋"/>
          <w:b/>
          <w:sz w:val="24"/>
          <w:highlight w:val="none"/>
          <w:lang w:val="en-US" w:eastAsia="zh-CN"/>
        </w:rPr>
        <w:t>五</w:t>
      </w:r>
      <w:r>
        <w:rPr>
          <w:rFonts w:hint="eastAsia" w:ascii="仿宋" w:hAnsi="仿宋" w:eastAsia="仿宋" w:cs="仿宋"/>
          <w:b/>
          <w:sz w:val="24"/>
          <w:highlight w:val="none"/>
        </w:rPr>
        <w:t>条 违约责任</w:t>
      </w:r>
    </w:p>
    <w:p w14:paraId="69A72A83">
      <w:pPr>
        <w:adjustRightInd w:val="0"/>
        <w:snapToGri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lang w:val="en-US" w:eastAsia="zh-CN"/>
        </w:rPr>
        <w:t>1.</w:t>
      </w:r>
      <w:r>
        <w:rPr>
          <w:rFonts w:hint="eastAsia" w:ascii="仿宋" w:hAnsi="仿宋" w:eastAsia="仿宋" w:cs="仿宋"/>
          <w:bCs/>
          <w:sz w:val="24"/>
          <w:highlight w:val="none"/>
        </w:rPr>
        <w:t>乙方未按约定提供相应服务的，甲方有权要求乙方限期改正。限期内乙方不改正或整改不符合合同或甲方要求的，甲方有权单方解除本合同。</w:t>
      </w:r>
    </w:p>
    <w:p w14:paraId="147649A6">
      <w:pPr>
        <w:adjustRightInd w:val="0"/>
        <w:snapToGri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lang w:val="en-US" w:eastAsia="zh-CN"/>
        </w:rPr>
        <w:t>2.乙方未按协议约定收取水费、电费或者停车费等其他服务费的，甲方有权要求拒缴或要求乙方返还多收取的费用。</w:t>
      </w:r>
    </w:p>
    <w:p w14:paraId="161A9A85">
      <w:pPr>
        <w:adjustRightInd w:val="0"/>
        <w:snapToGri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lang w:val="en-US" w:eastAsia="zh-CN"/>
        </w:rPr>
        <w:t>3.</w:t>
      </w:r>
      <w:r>
        <w:rPr>
          <w:rFonts w:hint="eastAsia" w:ascii="仿宋" w:hAnsi="仿宋" w:eastAsia="仿宋" w:cs="仿宋"/>
          <w:bCs/>
          <w:sz w:val="24"/>
          <w:highlight w:val="none"/>
        </w:rPr>
        <w:t>为维护甲方或物业实际使用人的切身利益，在不可预见的情况下，如发生煤气泄漏、漏电、火灾、水管破裂，或救助人命、协助公安机关执行任务等情况，乙方因采取紧急避险措施造成甲方财产损失的，按有关法律规定处理，由责任方承担违约或赔偿责任。</w:t>
      </w:r>
    </w:p>
    <w:p w14:paraId="0BBDCCEE">
      <w:pPr>
        <w:adjustRightInd w:val="0"/>
        <w:snapToGri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lang w:val="en-US" w:eastAsia="zh-CN"/>
        </w:rPr>
        <w:t>4.</w:t>
      </w:r>
      <w:r>
        <w:rPr>
          <w:rFonts w:hint="eastAsia" w:ascii="仿宋" w:hAnsi="仿宋" w:eastAsia="仿宋" w:cs="仿宋"/>
          <w:bCs/>
          <w:sz w:val="24"/>
          <w:highlight w:val="none"/>
        </w:rPr>
        <w:t>合同期限内，甲方违反本合同约定或法定的义务，致使乙方未达到本合同约定的服务内容、标准或导致乙方不能完全履行本合同的，乙方有权要求甲方在合理期限内解决，乙方不因此承担违约责任。如给乙方造成损失的，甲方予以赔偿。</w:t>
      </w:r>
    </w:p>
    <w:p w14:paraId="06B5079F">
      <w:pPr>
        <w:adjustRightInd w:val="0"/>
        <w:snapToGrid w:val="0"/>
        <w:spacing w:line="360" w:lineRule="auto"/>
        <w:ind w:firstLine="482" w:firstLineChars="200"/>
        <w:rPr>
          <w:rFonts w:hint="eastAsia" w:ascii="仿宋" w:hAnsi="仿宋" w:eastAsia="仿宋" w:cs="仿宋"/>
          <w:b/>
          <w:sz w:val="24"/>
          <w:highlight w:val="none"/>
        </w:rPr>
      </w:pPr>
      <w:r>
        <w:rPr>
          <w:rFonts w:hint="eastAsia" w:ascii="仿宋" w:hAnsi="仿宋" w:eastAsia="仿宋" w:cs="仿宋"/>
          <w:b/>
          <w:sz w:val="24"/>
          <w:highlight w:val="none"/>
        </w:rPr>
        <w:t>第</w:t>
      </w:r>
      <w:r>
        <w:rPr>
          <w:rFonts w:hint="eastAsia" w:ascii="仿宋" w:hAnsi="仿宋" w:eastAsia="仿宋" w:cs="仿宋"/>
          <w:b/>
          <w:sz w:val="24"/>
          <w:highlight w:val="none"/>
          <w:lang w:val="en-US" w:eastAsia="zh-CN"/>
        </w:rPr>
        <w:t>六</w:t>
      </w:r>
      <w:r>
        <w:rPr>
          <w:rFonts w:hint="eastAsia" w:ascii="仿宋" w:hAnsi="仿宋" w:eastAsia="仿宋" w:cs="仿宋"/>
          <w:b/>
          <w:sz w:val="24"/>
          <w:highlight w:val="none"/>
        </w:rPr>
        <w:t xml:space="preserve">条 合同变更与终止 </w:t>
      </w:r>
    </w:p>
    <w:p w14:paraId="56A83FEF">
      <w:pPr>
        <w:adjustRightInd w:val="0"/>
        <w:snapToGri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1、合同变更</w:t>
      </w:r>
    </w:p>
    <w:p w14:paraId="521EC7DA">
      <w:pPr>
        <w:adjustRightInd w:val="0"/>
        <w:snapToGri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（1）本合同签订后，由于甲方原因，使得乙方不能持续履行合同时，甲方应及时书面通知乙方暂停合同履行。当需要继续履行合同时，应当提前通知乙方。</w:t>
      </w:r>
    </w:p>
    <w:p w14:paraId="6EF6FC24">
      <w:pPr>
        <w:adjustRightInd w:val="0"/>
        <w:snapToGri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（2）本合同当事人一方要求变更或解除合同时，除法律、行政法规另有规定外，应与对方当事人协商一致并达成书面协议。未达成书面协议的，本合同依然有效。</w:t>
      </w:r>
    </w:p>
    <w:p w14:paraId="28ACB161">
      <w:pPr>
        <w:adjustRightInd w:val="0"/>
        <w:snapToGri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2、合同终止</w:t>
      </w:r>
    </w:p>
    <w:p w14:paraId="08A701E4">
      <w:pPr>
        <w:adjustRightInd w:val="0"/>
        <w:snapToGri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（1）合同履行期间任何一方不得随意终止合同。</w:t>
      </w:r>
    </w:p>
    <w:p w14:paraId="0ACEE25F">
      <w:pPr>
        <w:adjustRightInd w:val="0"/>
        <w:snapToGri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（2）乙方完成甲方委托的全部合同内容。</w:t>
      </w:r>
    </w:p>
    <w:p w14:paraId="6365ABC6">
      <w:pPr>
        <w:adjustRightInd w:val="0"/>
        <w:snapToGri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（3）本合同终止并不影响各方应有的权利和应承担的义务。</w:t>
      </w:r>
    </w:p>
    <w:p w14:paraId="3807AA16">
      <w:pPr>
        <w:adjustRightInd w:val="0"/>
        <w:snapToGri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（4）本合同的权利和义务终止后，甲方和乙方应当遵循诚实信用原则，履行通知、协助、保密等义务。</w:t>
      </w:r>
    </w:p>
    <w:p w14:paraId="5E007DE4">
      <w:pPr>
        <w:adjustRightInd w:val="0"/>
        <w:snapToGrid w:val="0"/>
        <w:spacing w:line="360" w:lineRule="auto"/>
        <w:ind w:firstLine="482" w:firstLineChars="200"/>
        <w:rPr>
          <w:rFonts w:hint="eastAsia" w:ascii="仿宋" w:hAnsi="仿宋" w:eastAsia="仿宋" w:cs="仿宋"/>
          <w:b/>
          <w:sz w:val="24"/>
          <w:highlight w:val="none"/>
        </w:rPr>
      </w:pPr>
      <w:r>
        <w:rPr>
          <w:rFonts w:hint="eastAsia" w:ascii="仿宋" w:hAnsi="仿宋" w:eastAsia="仿宋" w:cs="仿宋"/>
          <w:b/>
          <w:sz w:val="24"/>
          <w:highlight w:val="none"/>
          <w:lang w:val="en-US" w:eastAsia="zh-CN"/>
        </w:rPr>
        <w:t>第七</w:t>
      </w:r>
      <w:r>
        <w:rPr>
          <w:rFonts w:hint="eastAsia" w:ascii="仿宋" w:hAnsi="仿宋" w:eastAsia="仿宋" w:cs="仿宋"/>
          <w:b/>
          <w:sz w:val="24"/>
          <w:highlight w:val="none"/>
        </w:rPr>
        <w:t xml:space="preserve">条 </w:t>
      </w:r>
      <w:r>
        <w:rPr>
          <w:rFonts w:hint="eastAsia" w:ascii="仿宋" w:hAnsi="仿宋" w:eastAsia="仿宋" w:cs="仿宋"/>
          <w:b/>
          <w:sz w:val="24"/>
          <w:highlight w:val="none"/>
        </w:rPr>
        <w:fldChar w:fldCharType="begin"/>
      </w:r>
      <w:r>
        <w:rPr>
          <w:rFonts w:hint="eastAsia" w:ascii="仿宋" w:hAnsi="仿宋" w:eastAsia="仿宋" w:cs="仿宋"/>
          <w:b/>
          <w:sz w:val="24"/>
          <w:highlight w:val="none"/>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b/>
          <w:sz w:val="24"/>
          <w:highlight w:val="none"/>
        </w:rPr>
        <w:fldChar w:fldCharType="separate"/>
      </w:r>
      <w:r>
        <w:rPr>
          <w:rFonts w:hint="eastAsia" w:ascii="仿宋" w:hAnsi="仿宋" w:eastAsia="仿宋" w:cs="仿宋"/>
          <w:b/>
          <w:sz w:val="24"/>
          <w:highlight w:val="none"/>
        </w:rPr>
        <w:t>不可抗力</w:t>
      </w:r>
      <w:r>
        <w:rPr>
          <w:rFonts w:hint="eastAsia" w:ascii="仿宋" w:hAnsi="仿宋" w:eastAsia="仿宋" w:cs="仿宋"/>
          <w:b/>
          <w:sz w:val="24"/>
          <w:highlight w:val="none"/>
        </w:rPr>
        <w:fldChar w:fldCharType="end"/>
      </w:r>
    </w:p>
    <w:p w14:paraId="55B68F87">
      <w:pPr>
        <w:adjustRightInd w:val="0"/>
        <w:snapToGrid w:val="0"/>
        <w:spacing w:line="360" w:lineRule="auto"/>
        <w:ind w:firstLine="480" w:firstLineChars="200"/>
        <w:rPr>
          <w:rFonts w:hint="eastAsia" w:ascii="仿宋" w:hAnsi="仿宋" w:eastAsia="仿宋" w:cs="仿宋"/>
          <w:bCs/>
          <w:sz w:val="24"/>
          <w:highlight w:val="none"/>
          <w:lang w:eastAsia="zh-CN"/>
        </w:rPr>
      </w:pPr>
      <w:r>
        <w:rPr>
          <w:rFonts w:hint="eastAsia" w:ascii="仿宋" w:hAnsi="仿宋" w:eastAsia="仿宋" w:cs="仿宋"/>
          <w:bCs/>
          <w:sz w:val="24"/>
          <w:highlight w:val="none"/>
        </w:rPr>
        <w:t>甲乙双方任何一方由于</w:t>
      </w:r>
      <w:r>
        <w:rPr>
          <w:rFonts w:hint="eastAsia" w:ascii="仿宋" w:hAnsi="仿宋" w:eastAsia="仿宋" w:cs="仿宋"/>
          <w:bCs/>
          <w:sz w:val="24"/>
          <w:highlight w:val="none"/>
        </w:rPr>
        <w:fldChar w:fldCharType="begin"/>
      </w:r>
      <w:r>
        <w:rPr>
          <w:rFonts w:hint="eastAsia" w:ascii="仿宋" w:hAnsi="仿宋" w:eastAsia="仿宋" w:cs="仿宋"/>
          <w:bCs/>
          <w:sz w:val="24"/>
          <w:highlight w:val="none"/>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bCs/>
          <w:sz w:val="24"/>
          <w:highlight w:val="none"/>
        </w:rPr>
        <w:fldChar w:fldCharType="separate"/>
      </w:r>
      <w:r>
        <w:rPr>
          <w:rFonts w:hint="eastAsia" w:ascii="仿宋" w:hAnsi="仿宋" w:eastAsia="仿宋" w:cs="仿宋"/>
          <w:bCs/>
          <w:sz w:val="24"/>
          <w:highlight w:val="none"/>
        </w:rPr>
        <w:t>不可抗力</w:t>
      </w:r>
      <w:r>
        <w:rPr>
          <w:rFonts w:hint="eastAsia" w:ascii="仿宋" w:hAnsi="仿宋" w:eastAsia="仿宋" w:cs="仿宋"/>
          <w:bCs/>
          <w:sz w:val="24"/>
          <w:highlight w:val="none"/>
        </w:rPr>
        <w:fldChar w:fldCharType="end"/>
      </w:r>
      <w:r>
        <w:rPr>
          <w:rFonts w:hint="eastAsia" w:ascii="仿宋" w:hAnsi="仿宋" w:eastAsia="仿宋" w:cs="仿宋"/>
          <w:bCs/>
          <w:sz w:val="24"/>
          <w:highlight w:val="none"/>
        </w:rPr>
        <w:t>原因不能履行合同时，应及时向对</w:t>
      </w:r>
      <w:r>
        <w:rPr>
          <w:rFonts w:hint="eastAsia" w:ascii="仿宋" w:hAnsi="仿宋" w:eastAsia="仿宋" w:cs="仿宋"/>
          <w:bCs/>
          <w:sz w:val="24"/>
          <w:highlight w:val="none"/>
        </w:rPr>
        <w:fldChar w:fldCharType="begin"/>
      </w:r>
      <w:r>
        <w:rPr>
          <w:rFonts w:hint="eastAsia" w:ascii="仿宋" w:hAnsi="仿宋" w:eastAsia="仿宋" w:cs="仿宋"/>
          <w:bCs/>
          <w:sz w:val="24"/>
          <w:highlight w:val="none"/>
        </w:rPr>
        <w:instrText xml:space="preserve"> HYPERLINK "http://set2.mail.qq.com/cgi-bin/mail_spam?action=check_link&amp;spam=0&amp;url=http%3A%2F%2Fwww%2Ebaidu%2Ecom%2Fs%3Fwd%3D%25E6%2596%25B9%25E9%2580%259A%26hl_tag%3Dtextlink%26tn%3DSE_hldp01350_v6v6zkg6" </w:instrText>
      </w:r>
      <w:r>
        <w:rPr>
          <w:rFonts w:hint="eastAsia" w:ascii="仿宋" w:hAnsi="仿宋" w:eastAsia="仿宋" w:cs="仿宋"/>
          <w:bCs/>
          <w:sz w:val="24"/>
          <w:highlight w:val="none"/>
        </w:rPr>
        <w:fldChar w:fldCharType="separate"/>
      </w:r>
      <w:r>
        <w:rPr>
          <w:rFonts w:hint="eastAsia" w:ascii="仿宋" w:hAnsi="仿宋" w:eastAsia="仿宋" w:cs="仿宋"/>
          <w:bCs/>
          <w:sz w:val="24"/>
          <w:highlight w:val="none"/>
        </w:rPr>
        <w:t>方通</w:t>
      </w:r>
      <w:r>
        <w:rPr>
          <w:rFonts w:hint="eastAsia" w:ascii="仿宋" w:hAnsi="仿宋" w:eastAsia="仿宋" w:cs="仿宋"/>
          <w:bCs/>
          <w:sz w:val="24"/>
          <w:highlight w:val="none"/>
        </w:rPr>
        <w:fldChar w:fldCharType="end"/>
      </w:r>
      <w:r>
        <w:rPr>
          <w:rFonts w:hint="eastAsia" w:ascii="仿宋" w:hAnsi="仿宋" w:eastAsia="仿宋" w:cs="仿宋"/>
          <w:bCs/>
          <w:sz w:val="24"/>
          <w:highlight w:val="none"/>
        </w:rPr>
        <w:t>报不能履行或不能完全履行的理由，以减轻可能给对方造成的损失，在取得有关机构证明后，允许延期履行、部分履行或不履行合同，并根据情况可部分或全部免于承担</w:t>
      </w:r>
      <w:r>
        <w:rPr>
          <w:rFonts w:hint="eastAsia" w:ascii="仿宋" w:hAnsi="仿宋" w:eastAsia="仿宋" w:cs="仿宋"/>
          <w:bCs/>
          <w:sz w:val="24"/>
          <w:highlight w:val="none"/>
        </w:rPr>
        <w:fldChar w:fldCharType="begin"/>
      </w:r>
      <w:r>
        <w:rPr>
          <w:rFonts w:hint="eastAsia" w:ascii="仿宋" w:hAnsi="仿宋" w:eastAsia="仿宋" w:cs="仿宋"/>
          <w:bCs/>
          <w:sz w:val="24"/>
          <w:highlight w:val="none"/>
        </w:rPr>
        <w:instrText xml:space="preserve"> 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bCs/>
          <w:sz w:val="24"/>
          <w:highlight w:val="none"/>
        </w:rPr>
        <w:fldChar w:fldCharType="separate"/>
      </w:r>
      <w:r>
        <w:rPr>
          <w:rFonts w:hint="eastAsia" w:ascii="仿宋" w:hAnsi="仿宋" w:eastAsia="仿宋" w:cs="仿宋"/>
          <w:bCs/>
          <w:sz w:val="24"/>
          <w:highlight w:val="none"/>
        </w:rPr>
        <w:t>违约责任</w:t>
      </w:r>
      <w:r>
        <w:rPr>
          <w:rFonts w:hint="eastAsia" w:ascii="仿宋" w:hAnsi="仿宋" w:eastAsia="仿宋" w:cs="仿宋"/>
          <w:bCs/>
          <w:sz w:val="24"/>
          <w:highlight w:val="none"/>
        </w:rPr>
        <w:fldChar w:fldCharType="end"/>
      </w:r>
      <w:r>
        <w:rPr>
          <w:rFonts w:hint="eastAsia" w:ascii="仿宋" w:hAnsi="仿宋" w:eastAsia="仿宋" w:cs="仿宋"/>
          <w:bCs/>
          <w:sz w:val="24"/>
          <w:highlight w:val="none"/>
          <w:lang w:eastAsia="zh-CN"/>
        </w:rPr>
        <w:t>。</w:t>
      </w:r>
    </w:p>
    <w:p w14:paraId="65C95DE9">
      <w:pPr>
        <w:adjustRightInd w:val="0"/>
        <w:snapToGrid w:val="0"/>
        <w:spacing w:line="360" w:lineRule="auto"/>
        <w:ind w:firstLine="482" w:firstLineChars="200"/>
        <w:rPr>
          <w:rFonts w:hint="eastAsia" w:ascii="仿宋" w:hAnsi="仿宋" w:eastAsia="仿宋" w:cs="仿宋"/>
          <w:b/>
          <w:sz w:val="24"/>
          <w:highlight w:val="none"/>
        </w:rPr>
      </w:pPr>
      <w:r>
        <w:rPr>
          <w:rFonts w:hint="eastAsia" w:ascii="仿宋" w:hAnsi="仿宋" w:eastAsia="仿宋" w:cs="仿宋"/>
          <w:b/>
          <w:sz w:val="24"/>
          <w:highlight w:val="none"/>
        </w:rPr>
        <w:t>第</w:t>
      </w:r>
      <w:r>
        <w:rPr>
          <w:rFonts w:hint="eastAsia" w:ascii="仿宋" w:hAnsi="仿宋" w:eastAsia="仿宋" w:cs="仿宋"/>
          <w:b/>
          <w:sz w:val="24"/>
          <w:highlight w:val="none"/>
          <w:lang w:val="en-US" w:eastAsia="zh-CN"/>
        </w:rPr>
        <w:t>八</w:t>
      </w:r>
      <w:r>
        <w:rPr>
          <w:rFonts w:hint="eastAsia" w:ascii="仿宋" w:hAnsi="仿宋" w:eastAsia="仿宋" w:cs="仿宋"/>
          <w:b/>
          <w:sz w:val="24"/>
          <w:highlight w:val="none"/>
        </w:rPr>
        <w:t>条 争议解决</w:t>
      </w:r>
    </w:p>
    <w:p w14:paraId="1BDBF7CA">
      <w:pPr>
        <w:adjustRightInd w:val="0"/>
        <w:snapToGrid w:val="0"/>
        <w:spacing w:line="360" w:lineRule="auto"/>
        <w:ind w:firstLine="480" w:firstLineChars="200"/>
        <w:rPr>
          <w:rFonts w:hint="eastAsia" w:ascii="仿宋" w:hAnsi="仿宋" w:eastAsia="仿宋" w:cs="仿宋"/>
          <w:bCs/>
          <w:sz w:val="24"/>
          <w:highlight w:val="none"/>
          <w:lang w:eastAsia="zh-CN"/>
        </w:rPr>
      </w:pPr>
      <w:r>
        <w:rPr>
          <w:rFonts w:hint="eastAsia" w:ascii="仿宋" w:hAnsi="仿宋" w:eastAsia="仿宋" w:cs="仿宋"/>
          <w:bCs/>
          <w:sz w:val="24"/>
          <w:highlight w:val="none"/>
          <w:lang w:eastAsia="zh-CN"/>
        </w:rPr>
        <w:t>双方本着友好合作的态度,对合同履行过程中发生的</w:t>
      </w:r>
      <w:r>
        <w:rPr>
          <w:rFonts w:hint="eastAsia" w:ascii="仿宋" w:hAnsi="仿宋" w:eastAsia="仿宋" w:cs="仿宋"/>
          <w:bCs/>
          <w:sz w:val="24"/>
          <w:highlight w:val="none"/>
          <w:lang w:eastAsia="zh-CN"/>
        </w:rPr>
        <w:fldChar w:fldCharType="begin"/>
      </w:r>
      <w:r>
        <w:rPr>
          <w:rFonts w:hint="eastAsia" w:ascii="仿宋" w:hAnsi="仿宋" w:eastAsia="仿宋" w:cs="仿宋"/>
          <w:bCs/>
          <w:sz w:val="24"/>
          <w:highlight w:val="none"/>
          <w:lang w:eastAsia="zh-CN"/>
        </w:rPr>
        <w:instrText xml:space="preserve"> HYPERLINK "http://set2.mail.qq.com/cgi-bin/mail_spam?action=check_link&amp;spam=0&amp;url=http%3A%2F%2Fbaike%2Ebaidu%2Ecom%2Fview%2F322875%2Ehtm" </w:instrText>
      </w:r>
      <w:r>
        <w:rPr>
          <w:rFonts w:hint="eastAsia" w:ascii="仿宋" w:hAnsi="仿宋" w:eastAsia="仿宋" w:cs="仿宋"/>
          <w:bCs/>
          <w:sz w:val="24"/>
          <w:highlight w:val="none"/>
          <w:lang w:eastAsia="zh-CN"/>
        </w:rPr>
        <w:fldChar w:fldCharType="separate"/>
      </w:r>
      <w:r>
        <w:rPr>
          <w:rFonts w:hint="eastAsia" w:ascii="仿宋" w:hAnsi="仿宋" w:eastAsia="仿宋" w:cs="仿宋"/>
          <w:bCs/>
          <w:sz w:val="24"/>
          <w:highlight w:val="none"/>
          <w:lang w:eastAsia="zh-CN"/>
        </w:rPr>
        <w:t>纠纷</w:t>
      </w:r>
      <w:r>
        <w:rPr>
          <w:rFonts w:hint="eastAsia" w:ascii="仿宋" w:hAnsi="仿宋" w:eastAsia="仿宋" w:cs="仿宋"/>
          <w:bCs/>
          <w:sz w:val="24"/>
          <w:highlight w:val="none"/>
          <w:lang w:eastAsia="zh-CN"/>
        </w:rPr>
        <w:fldChar w:fldCharType="end"/>
      </w:r>
      <w:r>
        <w:rPr>
          <w:rFonts w:hint="eastAsia" w:ascii="仿宋" w:hAnsi="仿宋" w:eastAsia="仿宋" w:cs="仿宋"/>
          <w:bCs/>
          <w:sz w:val="24"/>
          <w:highlight w:val="none"/>
          <w:lang w:eastAsia="zh-CN"/>
        </w:rPr>
        <w:t>应及时协商解决,协商不成，向</w:t>
      </w:r>
      <w:r>
        <w:rPr>
          <w:rFonts w:hint="eastAsia" w:ascii="仿宋" w:hAnsi="仿宋" w:eastAsia="仿宋" w:cs="仿宋"/>
          <w:bCs/>
          <w:sz w:val="24"/>
          <w:highlight w:val="none"/>
          <w:lang w:val="en-US" w:eastAsia="zh-CN"/>
        </w:rPr>
        <w:t>甲方</w:t>
      </w:r>
      <w:r>
        <w:rPr>
          <w:rFonts w:hint="eastAsia" w:ascii="仿宋" w:hAnsi="仿宋" w:eastAsia="仿宋" w:cs="仿宋"/>
          <w:bCs/>
          <w:sz w:val="24"/>
          <w:highlight w:val="none"/>
          <w:lang w:eastAsia="zh-CN"/>
        </w:rPr>
        <w:t>所在地人民法院诉讼解决。</w:t>
      </w:r>
    </w:p>
    <w:p w14:paraId="62C962FF">
      <w:pPr>
        <w:adjustRightInd w:val="0"/>
        <w:snapToGrid w:val="0"/>
        <w:spacing w:line="360" w:lineRule="auto"/>
        <w:ind w:firstLine="482" w:firstLineChars="200"/>
        <w:rPr>
          <w:rFonts w:hint="eastAsia" w:ascii="仿宋" w:hAnsi="仿宋" w:eastAsia="仿宋" w:cs="仿宋"/>
          <w:b/>
          <w:sz w:val="24"/>
          <w:highlight w:val="none"/>
        </w:rPr>
      </w:pPr>
      <w:r>
        <w:rPr>
          <w:rFonts w:hint="eastAsia" w:ascii="仿宋" w:hAnsi="仿宋" w:eastAsia="仿宋" w:cs="仿宋"/>
          <w:b/>
          <w:sz w:val="24"/>
          <w:highlight w:val="none"/>
        </w:rPr>
        <w:t>第</w:t>
      </w:r>
      <w:r>
        <w:rPr>
          <w:rFonts w:hint="eastAsia" w:ascii="仿宋" w:hAnsi="仿宋" w:eastAsia="仿宋" w:cs="仿宋"/>
          <w:b/>
          <w:sz w:val="24"/>
          <w:highlight w:val="none"/>
          <w:lang w:val="en-US" w:eastAsia="zh-CN"/>
        </w:rPr>
        <w:t>九</w:t>
      </w:r>
      <w:r>
        <w:rPr>
          <w:rFonts w:hint="eastAsia" w:ascii="仿宋" w:hAnsi="仿宋" w:eastAsia="仿宋" w:cs="仿宋"/>
          <w:b/>
          <w:sz w:val="24"/>
          <w:highlight w:val="none"/>
        </w:rPr>
        <w:t>条 监督和管理</w:t>
      </w:r>
    </w:p>
    <w:p w14:paraId="216C8C14">
      <w:pPr>
        <w:adjustRightInd w:val="0"/>
        <w:snapToGri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lang w:val="en-US" w:eastAsia="zh-CN"/>
        </w:rPr>
        <w:t>1.</w:t>
      </w:r>
      <w:r>
        <w:rPr>
          <w:rFonts w:hint="eastAsia" w:ascii="仿宋" w:hAnsi="仿宋" w:eastAsia="仿宋" w:cs="仿宋"/>
          <w:bCs/>
          <w:sz w:val="24"/>
          <w:highlight w:val="none"/>
        </w:rPr>
        <w:t>政府采购合同履行中，承租人需追加与合同标的相同的货物、工程或者服务的，在不改变合同其他条款的前提下，可以与</w:t>
      </w:r>
      <w:r>
        <w:rPr>
          <w:rFonts w:hint="eastAsia" w:ascii="仿宋" w:hAnsi="仿宋" w:eastAsia="仿宋" w:cs="仿宋"/>
          <w:bCs/>
          <w:sz w:val="24"/>
          <w:highlight w:val="none"/>
          <w:lang w:eastAsia="zh-CN"/>
        </w:rPr>
        <w:t>乙方</w:t>
      </w:r>
      <w:r>
        <w:rPr>
          <w:rFonts w:hint="eastAsia" w:ascii="仿宋" w:hAnsi="仿宋" w:eastAsia="仿宋" w:cs="仿宋"/>
          <w:bCs/>
          <w:sz w:val="24"/>
          <w:highlight w:val="none"/>
        </w:rPr>
        <w:t>协商签订补充合同，但所有补充合同的采购金额不得超过原合同采购金额的10%。</w:t>
      </w:r>
    </w:p>
    <w:p w14:paraId="033F1675">
      <w:pPr>
        <w:adjustRightInd w:val="0"/>
        <w:snapToGrid w:val="0"/>
        <w:spacing w:line="360" w:lineRule="auto"/>
        <w:ind w:firstLine="480" w:firstLineChars="200"/>
        <w:rPr>
          <w:rFonts w:hint="eastAsia" w:ascii="仿宋" w:hAnsi="仿宋" w:eastAsia="仿宋" w:cs="仿宋"/>
          <w:b/>
          <w:sz w:val="24"/>
          <w:highlight w:val="none"/>
        </w:rPr>
      </w:pPr>
      <w:r>
        <w:rPr>
          <w:rFonts w:hint="eastAsia" w:ascii="仿宋" w:hAnsi="仿宋" w:eastAsia="仿宋" w:cs="仿宋"/>
          <w:bCs/>
          <w:sz w:val="24"/>
          <w:highlight w:val="none"/>
          <w:lang w:val="en-US" w:eastAsia="zh-CN"/>
        </w:rPr>
        <w:t>2.</w:t>
      </w:r>
      <w:r>
        <w:rPr>
          <w:rFonts w:hint="eastAsia" w:ascii="仿宋" w:hAnsi="仿宋" w:eastAsia="仿宋" w:cs="仿宋"/>
          <w:bCs/>
          <w:sz w:val="24"/>
          <w:highlight w:val="none"/>
        </w:rPr>
        <w:t>甲乙双方均应自觉配合有关监督管理部门对</w:t>
      </w:r>
      <w:r>
        <w:rPr>
          <w:rFonts w:hint="eastAsia" w:ascii="仿宋" w:hAnsi="仿宋" w:eastAsia="仿宋" w:cs="仿宋"/>
          <w:bCs/>
          <w:sz w:val="24"/>
          <w:highlight w:val="none"/>
        </w:rPr>
        <w:fldChar w:fldCharType="begin"/>
      </w:r>
      <w:r>
        <w:rPr>
          <w:rFonts w:hint="eastAsia" w:ascii="仿宋" w:hAnsi="仿宋" w:eastAsia="仿宋" w:cs="仿宋"/>
          <w:bCs/>
          <w:sz w:val="24"/>
          <w:highlight w:val="none"/>
        </w:rPr>
        <w:instrText xml:space="preserve"> HYPERLINK "http://set2.mail.qq.com/cgi-bin/mail_spam?action=check_link&amp;spam=0&amp;url=http%3A%2F%2Fwww%2Ebaidu%2Ecom%2Fs%3Fwd%3D%25E5%2590%2588%25E5%2590%258C%25E5%25B1%25A5%25E8%25A1%258C%26hl_tag%3Dtextlink%26tn%3DSE_hldp01350_v6v6zkg6" </w:instrText>
      </w:r>
      <w:r>
        <w:rPr>
          <w:rFonts w:hint="eastAsia" w:ascii="仿宋" w:hAnsi="仿宋" w:eastAsia="仿宋" w:cs="仿宋"/>
          <w:bCs/>
          <w:sz w:val="24"/>
          <w:highlight w:val="none"/>
        </w:rPr>
        <w:fldChar w:fldCharType="separate"/>
      </w:r>
      <w:r>
        <w:rPr>
          <w:rFonts w:hint="eastAsia" w:ascii="仿宋" w:hAnsi="仿宋" w:eastAsia="仿宋" w:cs="仿宋"/>
          <w:bCs/>
          <w:sz w:val="24"/>
          <w:highlight w:val="none"/>
        </w:rPr>
        <w:t>合同履行</w:t>
      </w:r>
      <w:r>
        <w:rPr>
          <w:rFonts w:hint="eastAsia" w:ascii="仿宋" w:hAnsi="仿宋" w:eastAsia="仿宋" w:cs="仿宋"/>
          <w:bCs/>
          <w:sz w:val="24"/>
          <w:highlight w:val="none"/>
        </w:rPr>
        <w:fldChar w:fldCharType="end"/>
      </w:r>
      <w:r>
        <w:rPr>
          <w:rFonts w:hint="eastAsia" w:ascii="仿宋" w:hAnsi="仿宋" w:eastAsia="仿宋" w:cs="仿宋"/>
          <w:bCs/>
          <w:sz w:val="24"/>
          <w:highlight w:val="none"/>
        </w:rPr>
        <w:t>情况的监督检查，如实反映情况，提供有关资料；否则，将对有关单位、当事人按照有关规定予以处罚。</w:t>
      </w:r>
    </w:p>
    <w:p w14:paraId="749EED1A">
      <w:pPr>
        <w:adjustRightInd w:val="0"/>
        <w:snapToGrid w:val="0"/>
        <w:spacing w:line="360" w:lineRule="auto"/>
        <w:ind w:firstLine="482" w:firstLineChars="200"/>
        <w:rPr>
          <w:rFonts w:hint="eastAsia" w:ascii="仿宋" w:hAnsi="仿宋" w:eastAsia="仿宋" w:cs="仿宋"/>
          <w:b/>
          <w:sz w:val="24"/>
          <w:highlight w:val="none"/>
        </w:rPr>
      </w:pPr>
      <w:r>
        <w:rPr>
          <w:rFonts w:hint="eastAsia" w:ascii="仿宋" w:hAnsi="仿宋" w:eastAsia="仿宋" w:cs="仿宋"/>
          <w:b/>
          <w:sz w:val="24"/>
          <w:highlight w:val="none"/>
        </w:rPr>
        <w:t>第十条 信用融资（如有）</w:t>
      </w:r>
    </w:p>
    <w:p w14:paraId="2A56C68C">
      <w:pPr>
        <w:widowControl w:val="0"/>
        <w:snapToGrid w:val="0"/>
        <w:spacing w:after="120" w:line="360" w:lineRule="auto"/>
        <w:ind w:firstLine="480" w:firstLineChars="200"/>
        <w:jc w:val="both"/>
        <w:rPr>
          <w:rFonts w:ascii="Times New Roman" w:hAnsi="Times New Roman" w:eastAsia="宋体" w:cs="Times New Roman"/>
          <w:kern w:val="2"/>
          <w:sz w:val="28"/>
          <w:szCs w:val="24"/>
          <w:highlight w:val="none"/>
          <w:u w:val="single"/>
          <w:lang w:val="en-US" w:eastAsia="zh-CN" w:bidi="ar-SA"/>
        </w:rPr>
      </w:pPr>
      <w:r>
        <w:rPr>
          <w:rFonts w:hint="eastAsia" w:ascii="仿宋" w:hAnsi="仿宋" w:eastAsia="仿宋" w:cs="仿宋"/>
          <w:kern w:val="2"/>
          <w:sz w:val="24"/>
          <w:szCs w:val="24"/>
          <w:highlight w:val="none"/>
          <w:lang w:val="en-US" w:eastAsia="zh-CN" w:bidi="ar-SA"/>
        </w:rPr>
        <w:t>银行名称：</w:t>
      </w:r>
      <w:r>
        <w:rPr>
          <w:rFonts w:hint="eastAsia" w:ascii="仿宋" w:hAnsi="仿宋" w:eastAsia="仿宋" w:cs="仿宋"/>
          <w:kern w:val="2"/>
          <w:sz w:val="24"/>
          <w:szCs w:val="24"/>
          <w:highlight w:val="none"/>
          <w:u w:val="single"/>
          <w:lang w:val="en-US" w:eastAsia="zh-CN" w:bidi="ar-SA"/>
        </w:rPr>
        <w:t xml:space="preserve">         </w:t>
      </w:r>
      <w:r>
        <w:rPr>
          <w:rFonts w:hint="eastAsia" w:ascii="仿宋" w:hAnsi="仿宋" w:eastAsia="仿宋" w:cs="仿宋"/>
          <w:kern w:val="2"/>
          <w:sz w:val="24"/>
          <w:szCs w:val="24"/>
          <w:highlight w:val="none"/>
          <w:lang w:val="en-US" w:eastAsia="zh-CN" w:bidi="ar-SA"/>
        </w:rPr>
        <w:t xml:space="preserve">  ，收款账号：</w:t>
      </w:r>
      <w:r>
        <w:rPr>
          <w:rFonts w:hint="eastAsia" w:ascii="仿宋" w:hAnsi="仿宋" w:eastAsia="仿宋" w:cs="Times New Roman"/>
          <w:kern w:val="2"/>
          <w:sz w:val="28"/>
          <w:szCs w:val="28"/>
          <w:highlight w:val="none"/>
          <w:u w:val="single"/>
          <w:lang w:val="en-US" w:eastAsia="zh-CN" w:bidi="ar-SA"/>
        </w:rPr>
        <w:t xml:space="preserve">         </w:t>
      </w:r>
    </w:p>
    <w:p w14:paraId="184AC899">
      <w:pPr>
        <w:numPr>
          <w:ilvl w:val="0"/>
          <w:numId w:val="0"/>
        </w:numPr>
        <w:adjustRightInd w:val="0"/>
        <w:snapToGrid w:val="0"/>
        <w:spacing w:line="360" w:lineRule="auto"/>
        <w:ind w:firstLine="482" w:firstLineChars="200"/>
        <w:rPr>
          <w:rFonts w:hint="eastAsia" w:ascii="仿宋" w:hAnsi="仿宋" w:eastAsia="仿宋" w:cs="仿宋"/>
          <w:b/>
          <w:sz w:val="24"/>
          <w:highlight w:val="none"/>
        </w:rPr>
      </w:pPr>
      <w:r>
        <w:rPr>
          <w:rFonts w:hint="eastAsia" w:ascii="仿宋" w:hAnsi="仿宋" w:eastAsia="仿宋" w:cs="仿宋"/>
          <w:b/>
          <w:sz w:val="24"/>
          <w:highlight w:val="none"/>
          <w:lang w:val="en-US" w:eastAsia="zh-CN"/>
        </w:rPr>
        <w:t>第十一条 组成本合同的文件</w:t>
      </w:r>
    </w:p>
    <w:p w14:paraId="6FC0319E">
      <w:pPr>
        <w:adjustRightInd w:val="0"/>
        <w:snapToGri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1.协议书；</w:t>
      </w:r>
    </w:p>
    <w:p w14:paraId="635ECC3B">
      <w:pPr>
        <w:adjustRightInd w:val="0"/>
        <w:snapToGri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2.</w:t>
      </w:r>
      <w:r>
        <w:rPr>
          <w:rFonts w:hint="eastAsia" w:ascii="仿宋" w:hAnsi="仿宋" w:eastAsia="仿宋" w:cs="仿宋"/>
          <w:bCs/>
          <w:sz w:val="24"/>
          <w:highlight w:val="none"/>
          <w:lang w:val="en-US" w:eastAsia="zh-CN"/>
        </w:rPr>
        <w:t>成交</w:t>
      </w:r>
      <w:r>
        <w:rPr>
          <w:rFonts w:hint="eastAsia" w:ascii="仿宋" w:hAnsi="仿宋" w:eastAsia="仿宋" w:cs="仿宋"/>
          <w:bCs/>
          <w:sz w:val="24"/>
          <w:highlight w:val="none"/>
        </w:rPr>
        <w:t>通知书、</w:t>
      </w:r>
      <w:r>
        <w:rPr>
          <w:rFonts w:hint="eastAsia" w:ascii="仿宋" w:hAnsi="仿宋" w:eastAsia="仿宋" w:cs="仿宋"/>
          <w:bCs/>
          <w:sz w:val="24"/>
          <w:highlight w:val="none"/>
          <w:lang w:val="en-US" w:eastAsia="zh-CN"/>
        </w:rPr>
        <w:t>响应</w:t>
      </w:r>
      <w:r>
        <w:rPr>
          <w:rFonts w:hint="eastAsia" w:ascii="仿宋" w:hAnsi="仿宋" w:eastAsia="仿宋" w:cs="仿宋"/>
          <w:bCs/>
          <w:sz w:val="24"/>
          <w:highlight w:val="none"/>
        </w:rPr>
        <w:t>文件、</w:t>
      </w:r>
      <w:r>
        <w:rPr>
          <w:rFonts w:hint="eastAsia" w:ascii="仿宋" w:hAnsi="仿宋" w:eastAsia="仿宋" w:cs="仿宋"/>
          <w:bCs/>
          <w:sz w:val="24"/>
          <w:highlight w:val="none"/>
          <w:lang w:val="en-US" w:eastAsia="zh-CN"/>
        </w:rPr>
        <w:t>采购</w:t>
      </w:r>
      <w:r>
        <w:rPr>
          <w:rFonts w:hint="eastAsia" w:ascii="仿宋" w:hAnsi="仿宋" w:eastAsia="仿宋" w:cs="仿宋"/>
          <w:bCs/>
          <w:sz w:val="24"/>
          <w:highlight w:val="none"/>
        </w:rPr>
        <w:t>文件、澄清、</w:t>
      </w:r>
      <w:r>
        <w:rPr>
          <w:rFonts w:hint="eastAsia" w:ascii="仿宋" w:hAnsi="仿宋" w:eastAsia="仿宋" w:cs="仿宋"/>
          <w:bCs/>
          <w:sz w:val="24"/>
          <w:highlight w:val="none"/>
          <w:lang w:val="en-US" w:eastAsia="zh-CN"/>
        </w:rPr>
        <w:t>采购</w:t>
      </w:r>
      <w:r>
        <w:rPr>
          <w:rFonts w:hint="eastAsia" w:ascii="仿宋" w:hAnsi="仿宋" w:eastAsia="仿宋" w:cs="仿宋"/>
          <w:bCs/>
          <w:sz w:val="24"/>
          <w:highlight w:val="none"/>
        </w:rPr>
        <w:t>补充文件；</w:t>
      </w:r>
    </w:p>
    <w:p w14:paraId="0A9BC2D9">
      <w:pPr>
        <w:adjustRightInd w:val="0"/>
        <w:snapToGri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rPr>
        <w:t>3.相关服务建议书；</w:t>
      </w:r>
    </w:p>
    <w:p w14:paraId="51BA10D2">
      <w:pPr>
        <w:adjustRightInd w:val="0"/>
        <w:snapToGrid w:val="0"/>
        <w:spacing w:line="360" w:lineRule="auto"/>
        <w:ind w:firstLine="480" w:firstLineChars="200"/>
        <w:rPr>
          <w:rFonts w:hint="eastAsia" w:ascii="仿宋" w:hAnsi="仿宋" w:eastAsia="仿宋" w:cs="仿宋"/>
          <w:bCs/>
          <w:sz w:val="24"/>
          <w:highlight w:val="none"/>
        </w:rPr>
      </w:pPr>
      <w:r>
        <w:rPr>
          <w:rFonts w:hint="eastAsia" w:ascii="仿宋" w:hAnsi="仿宋" w:eastAsia="仿宋" w:cs="仿宋"/>
          <w:bCs/>
          <w:sz w:val="24"/>
          <w:highlight w:val="none"/>
          <w:lang w:val="en-US" w:eastAsia="zh-CN"/>
        </w:rPr>
        <w:t>4.</w:t>
      </w:r>
      <w:r>
        <w:rPr>
          <w:rFonts w:hint="eastAsia" w:ascii="仿宋" w:hAnsi="仿宋" w:eastAsia="仿宋" w:cs="仿宋"/>
          <w:bCs/>
          <w:sz w:val="24"/>
          <w:highlight w:val="none"/>
        </w:rPr>
        <w:t>本合同签订后，双方依法签订的补充协议也是本合同文件的组成部分。</w:t>
      </w:r>
    </w:p>
    <w:p w14:paraId="50B971D2">
      <w:pPr>
        <w:numPr>
          <w:ilvl w:val="0"/>
          <w:numId w:val="2"/>
        </w:numPr>
        <w:adjustRightInd w:val="0"/>
        <w:snapToGrid w:val="0"/>
        <w:spacing w:line="360" w:lineRule="auto"/>
        <w:ind w:firstLine="482" w:firstLineChars="200"/>
        <w:rPr>
          <w:rFonts w:hint="eastAsia" w:ascii="仿宋" w:hAnsi="仿宋" w:eastAsia="仿宋" w:cs="仿宋"/>
          <w:b/>
          <w:sz w:val="24"/>
          <w:highlight w:val="none"/>
          <w:lang w:val="en-US" w:eastAsia="zh-CN"/>
        </w:rPr>
      </w:pPr>
      <w:r>
        <w:rPr>
          <w:rFonts w:hint="eastAsia" w:ascii="仿宋" w:hAnsi="仿宋" w:eastAsia="仿宋" w:cs="仿宋"/>
          <w:b/>
          <w:sz w:val="24"/>
          <w:highlight w:val="none"/>
          <w:lang w:val="en-US" w:eastAsia="zh-CN"/>
        </w:rPr>
        <w:t>其他条款</w:t>
      </w:r>
    </w:p>
    <w:p w14:paraId="2BE1D65F">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本合同经双方签字盖章之日起成立生效。本合同一式</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rPr>
        <w:t>份，甲方乙方各执</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rPr>
        <w:t>份</w:t>
      </w:r>
      <w:r>
        <w:rPr>
          <w:rFonts w:hint="eastAsia" w:ascii="仿宋" w:hAnsi="仿宋" w:eastAsia="仿宋" w:cs="仿宋"/>
          <w:sz w:val="24"/>
          <w:highlight w:val="none"/>
          <w:lang w:eastAsia="zh-CN"/>
        </w:rPr>
        <w:t>，</w:t>
      </w:r>
      <w:r>
        <w:rPr>
          <w:rFonts w:hint="eastAsia" w:ascii="仿宋" w:hAnsi="仿宋" w:eastAsia="仿宋" w:cs="仿宋"/>
          <w:sz w:val="24"/>
          <w:highlight w:val="none"/>
          <w:lang w:val="en-US" w:eastAsia="zh-CN"/>
        </w:rPr>
        <w:t>具有同等法律效力</w:t>
      </w:r>
      <w:r>
        <w:rPr>
          <w:rFonts w:hint="eastAsia" w:ascii="仿宋" w:hAnsi="仿宋" w:eastAsia="仿宋" w:cs="仿宋"/>
          <w:sz w:val="24"/>
          <w:highlight w:val="none"/>
        </w:rPr>
        <w:t>。</w:t>
      </w:r>
    </w:p>
    <w:p w14:paraId="3670D007">
      <w:pPr>
        <w:tabs>
          <w:tab w:val="left" w:pos="5801"/>
        </w:tabs>
        <w:adjustRightInd w:val="0"/>
        <w:snapToGrid w:val="0"/>
        <w:spacing w:line="360" w:lineRule="auto"/>
        <w:jc w:val="left"/>
        <w:rPr>
          <w:rFonts w:hint="eastAsia" w:ascii="仿宋" w:hAnsi="仿宋" w:eastAsia="仿宋" w:cs="仿宋"/>
          <w:sz w:val="24"/>
          <w:highlight w:val="none"/>
        </w:rPr>
      </w:pPr>
    </w:p>
    <w:p w14:paraId="49A24182">
      <w:pPr>
        <w:tabs>
          <w:tab w:val="left" w:pos="5801"/>
        </w:tabs>
        <w:adjustRightInd w:val="0"/>
        <w:snapToGrid w:val="0"/>
        <w:spacing w:line="360" w:lineRule="auto"/>
        <w:jc w:val="left"/>
        <w:rPr>
          <w:rFonts w:hint="eastAsia" w:ascii="仿宋" w:hAnsi="仿宋" w:eastAsia="仿宋" w:cs="仿宋"/>
          <w:sz w:val="24"/>
          <w:highlight w:val="none"/>
        </w:rPr>
      </w:pPr>
      <w:r>
        <w:rPr>
          <w:rFonts w:hint="eastAsia" w:ascii="仿宋" w:hAnsi="仿宋" w:eastAsia="仿宋" w:cs="仿宋"/>
          <w:sz w:val="24"/>
          <w:highlight w:val="none"/>
        </w:rPr>
        <w:t xml:space="preserve">甲方：                               乙方： </w:t>
      </w:r>
    </w:p>
    <w:p w14:paraId="55CE83BA">
      <w:pPr>
        <w:adjustRightInd w:val="0"/>
        <w:snapToGrid w:val="0"/>
        <w:spacing w:line="360" w:lineRule="auto"/>
        <w:rPr>
          <w:rFonts w:hint="eastAsia" w:ascii="仿宋" w:hAnsi="仿宋" w:eastAsia="仿宋" w:cs="仿宋"/>
          <w:sz w:val="24"/>
          <w:highlight w:val="none"/>
        </w:rPr>
      </w:pPr>
      <w:r>
        <w:rPr>
          <w:rFonts w:hint="eastAsia" w:ascii="仿宋" w:hAnsi="仿宋" w:eastAsia="仿宋" w:cs="仿宋"/>
          <w:sz w:val="24"/>
          <w:highlight w:val="none"/>
        </w:rPr>
        <w:t xml:space="preserve">（签章）                             （签章）               </w:t>
      </w:r>
    </w:p>
    <w:p w14:paraId="2E06941E">
      <w:pPr>
        <w:adjustRightInd w:val="0"/>
        <w:snapToGrid w:val="0"/>
        <w:spacing w:line="360" w:lineRule="auto"/>
        <w:rPr>
          <w:rFonts w:hint="eastAsia" w:ascii="仿宋" w:hAnsi="仿宋" w:eastAsia="仿宋" w:cs="仿宋"/>
          <w:sz w:val="24"/>
          <w:highlight w:val="none"/>
        </w:rPr>
      </w:pPr>
      <w:r>
        <w:rPr>
          <w:rFonts w:hint="eastAsia" w:ascii="仿宋" w:hAnsi="仿宋" w:eastAsia="仿宋" w:cs="仿宋"/>
          <w:sz w:val="24"/>
          <w:highlight w:val="none"/>
        </w:rPr>
        <w:t xml:space="preserve">法定代表人及职务：                   法定代表人及职务：      </w:t>
      </w:r>
    </w:p>
    <w:p w14:paraId="49B52F1A">
      <w:pPr>
        <w:tabs>
          <w:tab w:val="left" w:pos="5171"/>
        </w:tabs>
        <w:adjustRightInd w:val="0"/>
        <w:snapToGrid w:val="0"/>
        <w:spacing w:line="360" w:lineRule="auto"/>
        <w:rPr>
          <w:rFonts w:hint="eastAsia" w:ascii="仿宋" w:hAnsi="仿宋" w:eastAsia="仿宋" w:cs="仿宋"/>
          <w:sz w:val="24"/>
          <w:highlight w:val="none"/>
        </w:rPr>
      </w:pPr>
      <w:r>
        <w:rPr>
          <w:rFonts w:hint="eastAsia" w:ascii="仿宋" w:hAnsi="仿宋" w:eastAsia="仿宋" w:cs="仿宋"/>
          <w:sz w:val="24"/>
          <w:highlight w:val="none"/>
        </w:rPr>
        <w:t>委托代理人：                         委托代理人：</w:t>
      </w:r>
    </w:p>
    <w:p w14:paraId="0DCD7B4E">
      <w:pPr>
        <w:adjustRightInd w:val="0"/>
        <w:snapToGrid w:val="0"/>
        <w:spacing w:line="360" w:lineRule="auto"/>
        <w:rPr>
          <w:rFonts w:hint="eastAsia" w:ascii="仿宋" w:hAnsi="仿宋" w:eastAsia="仿宋" w:cs="仿宋"/>
          <w:sz w:val="24"/>
          <w:highlight w:val="none"/>
        </w:rPr>
      </w:pPr>
      <w:r>
        <w:rPr>
          <w:rFonts w:hint="eastAsia" w:ascii="仿宋" w:hAnsi="仿宋" w:eastAsia="仿宋" w:cs="仿宋"/>
          <w:sz w:val="24"/>
          <w:highlight w:val="none"/>
        </w:rPr>
        <w:t xml:space="preserve">联系方式：                           联系方式： </w:t>
      </w:r>
    </w:p>
    <w:p w14:paraId="130368BD">
      <w:pPr>
        <w:adjustRightInd w:val="0"/>
        <w:snapToGrid w:val="0"/>
        <w:spacing w:line="360" w:lineRule="auto"/>
        <w:rPr>
          <w:rFonts w:hint="eastAsia" w:ascii="仿宋" w:hAnsi="仿宋" w:eastAsia="仿宋" w:cs="仿宋"/>
          <w:sz w:val="24"/>
          <w:highlight w:val="none"/>
        </w:rPr>
      </w:pPr>
    </w:p>
    <w:p w14:paraId="7D6AD334">
      <w:pPr>
        <w:spacing w:line="360" w:lineRule="auto"/>
        <w:rPr>
          <w:rFonts w:ascii="Calibri" w:hAnsi="Calibri" w:eastAsia="宋体" w:cs="Times New Roman"/>
          <w:highlight w:val="none"/>
        </w:rPr>
      </w:pPr>
      <w:r>
        <w:rPr>
          <w:rFonts w:hint="eastAsia" w:ascii="仿宋" w:hAnsi="仿宋" w:eastAsia="仿宋" w:cs="仿宋"/>
          <w:sz w:val="24"/>
          <w:highlight w:val="none"/>
        </w:rPr>
        <w:t xml:space="preserve"> </w:t>
      </w:r>
    </w:p>
    <w:p w14:paraId="1723289D">
      <w:pPr>
        <w:rPr>
          <w:rFonts w:hint="eastAsia" w:ascii="仿宋" w:hAnsi="仿宋" w:eastAsia="仿宋" w:cs="仿宋"/>
          <w:sz w:val="28"/>
          <w:szCs w:val="28"/>
          <w:highlight w:val="none"/>
          <w:lang w:eastAsia="zh-Hans"/>
        </w:rPr>
      </w:pPr>
      <w:r>
        <w:rPr>
          <w:rFonts w:hint="eastAsia" w:ascii="仿宋" w:hAnsi="仿宋" w:eastAsia="仿宋" w:cs="仿宋"/>
          <w:sz w:val="28"/>
          <w:szCs w:val="28"/>
          <w:highlight w:val="none"/>
          <w:lang w:eastAsia="zh-Hans"/>
        </w:rPr>
        <w:br w:type="page"/>
      </w:r>
    </w:p>
    <w:p w14:paraId="557973BB">
      <w:pPr>
        <w:widowControl/>
        <w:jc w:val="cente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附件一</w:t>
      </w:r>
    </w:p>
    <w:p w14:paraId="3A71446B">
      <w:pPr>
        <w:widowControl w:val="0"/>
        <w:spacing w:line="360" w:lineRule="auto"/>
        <w:jc w:val="left"/>
        <w:rPr>
          <w:rFonts w:hint="eastAsia" w:ascii="仿宋" w:hAnsi="仿宋" w:eastAsia="仿宋" w:cs="仿宋"/>
          <w:b/>
          <w:bCs/>
          <w:kern w:val="2"/>
          <w:sz w:val="24"/>
          <w:szCs w:val="24"/>
          <w:highlight w:val="none"/>
          <w:lang w:val="en-US" w:eastAsia="zh-CN" w:bidi="ar-SA"/>
        </w:rPr>
      </w:pPr>
      <w:r>
        <w:rPr>
          <w:rFonts w:hint="eastAsia" w:ascii="仿宋" w:hAnsi="仿宋" w:eastAsia="仿宋" w:cs="仿宋"/>
          <w:b/>
          <w:bCs/>
          <w:kern w:val="2"/>
          <w:sz w:val="24"/>
          <w:szCs w:val="24"/>
          <w:highlight w:val="none"/>
          <w:lang w:val="en-US" w:eastAsia="zh-CN" w:bidi="ar-SA"/>
        </w:rPr>
        <w:t>一、采购内容</w:t>
      </w:r>
    </w:p>
    <w:p w14:paraId="2B27FC03">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1.基本服务：目标与责任、服务人员要求、保密和思想政治教育、档案管理、服务改进、重大活动后勤保障、应急保障预案、服务方案及工作制度、服务热线及维修标准。</w:t>
      </w:r>
    </w:p>
    <w:p w14:paraId="699B295F">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2.房屋维护服务：房屋结构、建筑部件、附属构筑物、标识标牌。</w:t>
      </w:r>
    </w:p>
    <w:p w14:paraId="297F79F7">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3.公用设施设备维护服务：消防系统、给排水系统、供配电系统、电梯系统、空调系统进行定期检查，对隐患巡查排查和治理，确保公用设施设备运行良好；</w:t>
      </w:r>
    </w:p>
    <w:p w14:paraId="23157769">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4.保洁服务：办公区域环境维护、公共区域环境维护、卫生消杀、垃圾处理；</w:t>
      </w:r>
    </w:p>
    <w:p w14:paraId="4BA5219F">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5.安保服务：出入管理、车辆停放、突发事件处理；</w:t>
      </w:r>
    </w:p>
    <w:p w14:paraId="32C38D59">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6.水费、电费代缴服务：水费暂定3500元/年；电费暂定57000元/年；</w:t>
      </w:r>
    </w:p>
    <w:p w14:paraId="1FC66732">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7.车辆停放与管理：暂定50个车位。</w:t>
      </w:r>
    </w:p>
    <w:p w14:paraId="123B53FE">
      <w:pPr>
        <w:widowControl w:val="0"/>
        <w:spacing w:line="360" w:lineRule="auto"/>
        <w:jc w:val="left"/>
        <w:rPr>
          <w:rFonts w:hint="eastAsia" w:ascii="仿宋" w:hAnsi="仿宋" w:eastAsia="仿宋" w:cs="仿宋"/>
          <w:b/>
          <w:bCs/>
          <w:kern w:val="2"/>
          <w:sz w:val="24"/>
          <w:szCs w:val="24"/>
          <w:highlight w:val="none"/>
          <w:lang w:val="en-US" w:eastAsia="zh-CN" w:bidi="ar-SA"/>
        </w:rPr>
      </w:pPr>
      <w:r>
        <w:rPr>
          <w:rFonts w:hint="eastAsia" w:ascii="仿宋" w:hAnsi="仿宋" w:eastAsia="仿宋" w:cs="仿宋"/>
          <w:b/>
          <w:bCs/>
          <w:kern w:val="2"/>
          <w:sz w:val="24"/>
          <w:szCs w:val="24"/>
          <w:highlight w:val="none"/>
          <w:lang w:val="en-US" w:eastAsia="zh-CN" w:bidi="ar-SA"/>
        </w:rPr>
        <w:t>二、服务内容及标准：</w:t>
      </w:r>
    </w:p>
    <w:p w14:paraId="6842A3F2">
      <w:pPr>
        <w:widowControl w:val="0"/>
        <w:spacing w:line="360" w:lineRule="auto"/>
        <w:jc w:val="left"/>
        <w:rPr>
          <w:rFonts w:hint="eastAsia" w:ascii="仿宋" w:hAnsi="仿宋" w:eastAsia="仿宋" w:cs="仿宋"/>
          <w:b/>
          <w:bCs/>
          <w:kern w:val="2"/>
          <w:sz w:val="24"/>
          <w:szCs w:val="24"/>
          <w:highlight w:val="none"/>
          <w:lang w:val="en-US" w:eastAsia="zh-CN" w:bidi="ar-SA"/>
        </w:rPr>
      </w:pPr>
      <w:r>
        <w:rPr>
          <w:rFonts w:hint="eastAsia" w:ascii="仿宋" w:hAnsi="仿宋" w:eastAsia="仿宋" w:cs="仿宋"/>
          <w:b/>
          <w:bCs/>
          <w:kern w:val="2"/>
          <w:sz w:val="24"/>
          <w:szCs w:val="24"/>
          <w:highlight w:val="none"/>
          <w:lang w:val="en-US" w:eastAsia="zh-CN" w:bidi="ar-SA"/>
        </w:rPr>
        <w:t>①基本服务</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4"/>
        <w:gridCol w:w="840"/>
        <w:gridCol w:w="7178"/>
      </w:tblGrid>
      <w:tr w14:paraId="4BB5D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Align w:val="center"/>
          </w:tcPr>
          <w:p w14:paraId="23B6003E">
            <w:pPr>
              <w:widowControl w:val="0"/>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序号</w:t>
            </w:r>
          </w:p>
        </w:tc>
        <w:tc>
          <w:tcPr>
            <w:tcW w:w="0" w:type="auto"/>
            <w:vAlign w:val="center"/>
          </w:tcPr>
          <w:p w14:paraId="129957AB">
            <w:pPr>
              <w:widowControl w:val="0"/>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服务内容</w:t>
            </w:r>
          </w:p>
        </w:tc>
        <w:tc>
          <w:tcPr>
            <w:tcW w:w="0" w:type="auto"/>
            <w:vAlign w:val="center"/>
          </w:tcPr>
          <w:p w14:paraId="612E3AB5">
            <w:pPr>
              <w:widowControl w:val="0"/>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服务标准</w:t>
            </w:r>
          </w:p>
        </w:tc>
      </w:tr>
      <w:tr w14:paraId="01279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6" w:hRule="atLeast"/>
          <w:jc w:val="center"/>
        </w:trPr>
        <w:tc>
          <w:tcPr>
            <w:tcW w:w="0" w:type="auto"/>
            <w:tcBorders>
              <w:bottom w:val="single" w:color="auto" w:sz="4" w:space="0"/>
            </w:tcBorders>
            <w:vAlign w:val="center"/>
          </w:tcPr>
          <w:p w14:paraId="18473C55">
            <w:pPr>
              <w:widowControl w:val="0"/>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w:t>
            </w:r>
          </w:p>
        </w:tc>
        <w:tc>
          <w:tcPr>
            <w:tcW w:w="0" w:type="auto"/>
            <w:tcBorders>
              <w:bottom w:val="single" w:color="auto" w:sz="4" w:space="0"/>
            </w:tcBorders>
            <w:vAlign w:val="center"/>
          </w:tcPr>
          <w:p w14:paraId="6BC712F8">
            <w:pPr>
              <w:widowControl w:val="0"/>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目标与责任</w:t>
            </w:r>
          </w:p>
        </w:tc>
        <w:tc>
          <w:tcPr>
            <w:tcW w:w="0" w:type="auto"/>
            <w:tcBorders>
              <w:bottom w:val="single" w:color="auto" w:sz="4" w:space="0"/>
            </w:tcBorders>
            <w:vAlign w:val="center"/>
          </w:tcPr>
          <w:p w14:paraId="36E29AA6">
            <w:pPr>
              <w:widowControl w:val="0"/>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（1）结合采购人要求及物业服务实际情况，制定年度管理目标，明确责任分工，并制定配套实施方案。</w:t>
            </w:r>
          </w:p>
          <w:p w14:paraId="18ED45F6">
            <w:pPr>
              <w:widowControl w:val="0"/>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（2）配合采购人开展有关活动及临时性工作任务。</w:t>
            </w:r>
          </w:p>
          <w:p w14:paraId="1FF79C9E">
            <w:pPr>
              <w:widowControl w:val="0"/>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（3）配合采购人开展节能降耗工作。</w:t>
            </w:r>
          </w:p>
          <w:p w14:paraId="5E34E776">
            <w:pPr>
              <w:widowControl w:val="0"/>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（4）安全性：物业公司工作人员（包括人员调整和更换）要在采购人处备案，主动接受采购人安全保密部门的审查、检查。周密做好防火、防盗、防爆、防破坏、防事故工作，确保大楼安全。</w:t>
            </w:r>
          </w:p>
          <w:p w14:paraId="4BD351E8">
            <w:pPr>
              <w:widowControl w:val="0"/>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（5）规范化和标准化服务：按全国物业管理示范大厦标准进行规范服务。配备的工程、保洁、保安人员要求身体健康、气质佳、形象好，普通话标准，做到举止大方，谈吐文雅，服务标准规范。</w:t>
            </w:r>
          </w:p>
        </w:tc>
      </w:tr>
      <w:tr w14:paraId="15E21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0" w:hRule="atLeast"/>
          <w:jc w:val="center"/>
        </w:trPr>
        <w:tc>
          <w:tcPr>
            <w:tcW w:w="0" w:type="auto"/>
            <w:tcBorders>
              <w:bottom w:val="single" w:color="auto" w:sz="4" w:space="0"/>
            </w:tcBorders>
            <w:vAlign w:val="center"/>
          </w:tcPr>
          <w:p w14:paraId="7412A0B3">
            <w:pPr>
              <w:widowControl w:val="0"/>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2</w:t>
            </w:r>
          </w:p>
        </w:tc>
        <w:tc>
          <w:tcPr>
            <w:tcW w:w="0" w:type="auto"/>
            <w:tcBorders>
              <w:bottom w:val="single" w:color="auto" w:sz="4" w:space="0"/>
            </w:tcBorders>
            <w:vAlign w:val="center"/>
          </w:tcPr>
          <w:p w14:paraId="0D389A82">
            <w:pPr>
              <w:widowControl w:val="0"/>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服务人员要求</w:t>
            </w:r>
          </w:p>
        </w:tc>
        <w:tc>
          <w:tcPr>
            <w:tcW w:w="0" w:type="auto"/>
            <w:tcBorders>
              <w:bottom w:val="single" w:color="auto" w:sz="4" w:space="0"/>
            </w:tcBorders>
            <w:vAlign w:val="center"/>
          </w:tcPr>
          <w:p w14:paraId="12CE5452">
            <w:pPr>
              <w:widowControl w:val="0"/>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（1）每季度至少开展1次岗位技能、职业素质、服务知识、客户文化、绿色节能环保等教育培训，并进行适当形式的考核。</w:t>
            </w:r>
          </w:p>
          <w:p w14:paraId="1DCED2B6">
            <w:pPr>
              <w:widowControl w:val="0"/>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（2）根据采购人要求对服务人员进行从业资格审查，审查结果向采购人报备。</w:t>
            </w:r>
          </w:p>
          <w:p w14:paraId="04B3129D">
            <w:pPr>
              <w:widowControl w:val="0"/>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3）服务人员的年龄、学历、工作经验及资格条件应当与所在岗位能力要求相匹配，到岗前应当经过必要的岗前培训以达到岗位能力要求，国家、行业规定应当取得职业资格证书或特种作业证书的，应当按规定持证上岗。</w:t>
            </w:r>
          </w:p>
          <w:p w14:paraId="36247000">
            <w:pPr>
              <w:widowControl w:val="0"/>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4）如采购人认为服务人员不适应岗位要求或存在其他影响工作的，可要求供应商进行调换。如因供应商原因对服务人员进行调换，应当经采购人同意，更换比例不得超过本项目服务人员总数的20%。本项目服务人员不得在其他项目兼职。</w:t>
            </w:r>
          </w:p>
          <w:p w14:paraId="6D4FC12B">
            <w:pPr>
              <w:widowControl w:val="0"/>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（5）仪容整洁、姿态端正、举止文明。用语文明礼貌，态度温和耐心。</w:t>
            </w:r>
          </w:p>
        </w:tc>
      </w:tr>
      <w:tr w14:paraId="1A763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6" w:hRule="atLeast"/>
          <w:jc w:val="center"/>
        </w:trPr>
        <w:tc>
          <w:tcPr>
            <w:tcW w:w="0" w:type="auto"/>
            <w:vAlign w:val="center"/>
          </w:tcPr>
          <w:p w14:paraId="31C772C2">
            <w:pPr>
              <w:widowControl w:val="0"/>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3</w:t>
            </w:r>
          </w:p>
        </w:tc>
        <w:tc>
          <w:tcPr>
            <w:tcW w:w="0" w:type="auto"/>
            <w:vAlign w:val="center"/>
          </w:tcPr>
          <w:p w14:paraId="28881A6A">
            <w:pPr>
              <w:widowControl w:val="0"/>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保密和思想政治教育</w:t>
            </w:r>
          </w:p>
        </w:tc>
        <w:tc>
          <w:tcPr>
            <w:tcW w:w="0" w:type="auto"/>
            <w:vAlign w:val="center"/>
          </w:tcPr>
          <w:p w14:paraId="37C5297F">
            <w:pPr>
              <w:widowControl w:val="0"/>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（1）建立保密管理制度。</w:t>
            </w:r>
          </w:p>
          <w:p w14:paraId="2F33EB4E">
            <w:pPr>
              <w:widowControl w:val="0"/>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（2）要求物业工作人员必须具备良好的政治素质，通过严格审查和培训，定期开展思想政治教育和保密教育工作的培训。</w:t>
            </w:r>
          </w:p>
          <w:p w14:paraId="35EB7E13">
            <w:pPr>
              <w:widowControl w:val="0"/>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（3）发现服务人员违法违规或重大过失，及时报告采购人，并采取必要补救措施。</w:t>
            </w:r>
          </w:p>
        </w:tc>
      </w:tr>
      <w:tr w14:paraId="1C451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0" w:type="auto"/>
            <w:vAlign w:val="center"/>
          </w:tcPr>
          <w:p w14:paraId="4B40665F">
            <w:pPr>
              <w:widowControl w:val="0"/>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4</w:t>
            </w:r>
          </w:p>
        </w:tc>
        <w:tc>
          <w:tcPr>
            <w:tcW w:w="0" w:type="auto"/>
            <w:vAlign w:val="center"/>
          </w:tcPr>
          <w:p w14:paraId="3DAB80E8">
            <w:pPr>
              <w:widowControl w:val="0"/>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档案管理</w:t>
            </w:r>
          </w:p>
        </w:tc>
        <w:tc>
          <w:tcPr>
            <w:tcW w:w="0" w:type="auto"/>
            <w:vAlign w:val="center"/>
          </w:tcPr>
          <w:p w14:paraId="7AA8BC1B">
            <w:pPr>
              <w:widowControl w:val="0"/>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（1）建立物业信息，准确、及时地对文件资料和服务记录进行归档保存，并确保其物理安全。</w:t>
            </w:r>
          </w:p>
          <w:p w14:paraId="1CE2409F">
            <w:pPr>
              <w:widowControl w:val="0"/>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2）档案和记录齐全，包括但不限于：①采购人建议与投诉等。教育培训和考核记录。保密、思想政治教育培训记录。②房屋维护服务：房屋台账、使用说明、房屋装修、维保记录等。③公用设施设备维护服务：设备台账、设备卡、使用说明、维保记录、巡查记录、设施设备安全运行、设施设备定期巡检、维护保养、维修档案等。④保安服务：监控记录、突发事件演习与处置记录等。⑤保洁服务：工作日志、清洁检查表、用品清单、客户反馈表等。⑥其他：客户信息、财务明细、合同协议、信报信息登记、大件物品进出登记等。</w:t>
            </w:r>
          </w:p>
          <w:p w14:paraId="45BFD4CA">
            <w:pPr>
              <w:widowControl w:val="0"/>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（3）遵守采购人的信息、档案资料保密要求，未经许可，不得将建筑物平面图等资料转作其他用途或向其他单位、个人提供。</w:t>
            </w:r>
          </w:p>
          <w:p w14:paraId="3DFC52B7">
            <w:pPr>
              <w:widowControl w:val="0"/>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（4）履约结束后，相关资料交还采购人，采购人按政府采购相关规定存档。</w:t>
            </w:r>
          </w:p>
        </w:tc>
      </w:tr>
      <w:tr w14:paraId="40693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7" w:hRule="atLeast"/>
          <w:jc w:val="center"/>
        </w:trPr>
        <w:tc>
          <w:tcPr>
            <w:tcW w:w="0" w:type="auto"/>
            <w:vAlign w:val="center"/>
          </w:tcPr>
          <w:p w14:paraId="7CF5F055">
            <w:pPr>
              <w:widowControl w:val="0"/>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5</w:t>
            </w:r>
          </w:p>
        </w:tc>
        <w:tc>
          <w:tcPr>
            <w:tcW w:w="0" w:type="auto"/>
            <w:vAlign w:val="center"/>
          </w:tcPr>
          <w:p w14:paraId="72647387">
            <w:pPr>
              <w:widowControl w:val="0"/>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服务改进</w:t>
            </w:r>
          </w:p>
        </w:tc>
        <w:tc>
          <w:tcPr>
            <w:tcW w:w="0" w:type="auto"/>
            <w:vAlign w:val="center"/>
          </w:tcPr>
          <w:p w14:paraId="2627550D">
            <w:pPr>
              <w:widowControl w:val="0"/>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（1）明确负责人，定期对物业服务过程进行自查，结合反馈意见与评价结果采取改进措施，持续提升管理与服务水平。</w:t>
            </w:r>
          </w:p>
          <w:p w14:paraId="7457311D">
            <w:pPr>
              <w:widowControl w:val="0"/>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（2）对不合格服务进行控制，对不合格服务的原因进行识别和分析，及时采取纠正措施，消除不合格的原因，防止不合格再发生。</w:t>
            </w:r>
          </w:p>
          <w:p w14:paraId="788B505D">
            <w:pPr>
              <w:widowControl w:val="0"/>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（3）需整改问题及时整改完成。</w:t>
            </w:r>
          </w:p>
        </w:tc>
      </w:tr>
      <w:tr w14:paraId="062AE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0" w:type="auto"/>
            <w:vAlign w:val="center"/>
          </w:tcPr>
          <w:p w14:paraId="54485AF2">
            <w:pPr>
              <w:widowControl w:val="0"/>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6</w:t>
            </w:r>
          </w:p>
        </w:tc>
        <w:tc>
          <w:tcPr>
            <w:tcW w:w="0" w:type="auto"/>
            <w:vAlign w:val="center"/>
          </w:tcPr>
          <w:p w14:paraId="7F6BD0E0">
            <w:pPr>
              <w:widowControl w:val="0"/>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重大活动后勤保障</w:t>
            </w:r>
          </w:p>
        </w:tc>
        <w:tc>
          <w:tcPr>
            <w:tcW w:w="0" w:type="auto"/>
            <w:vAlign w:val="center"/>
          </w:tcPr>
          <w:p w14:paraId="5C6B9B8E">
            <w:pPr>
              <w:widowControl w:val="0"/>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（1）制订流程。配合采购人制订重大活动后勤保障工作流程，需对任务进行详细了解，并根据工作安排制定详细的后勤保障计划。</w:t>
            </w:r>
          </w:p>
          <w:p w14:paraId="309B0E31">
            <w:pPr>
              <w:widowControl w:val="0"/>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2）实施保障。按计划在关键区域和重点部位进行部署，确保任务顺利进行，对活动区域进行全面安全检查，发现并排除安全隐患，对车辆进行有序引导和管理，确保交通安全畅通，以礼貌、专业的态度对待来宾，展现良好形象。</w:t>
            </w:r>
          </w:p>
          <w:p w14:paraId="0EA9CD46">
            <w:pPr>
              <w:widowControl w:val="0"/>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（3）收尾工作。对现场进行检查，做好清理工作。</w:t>
            </w:r>
          </w:p>
        </w:tc>
      </w:tr>
      <w:tr w14:paraId="03CD2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3" w:hRule="atLeast"/>
          <w:jc w:val="center"/>
        </w:trPr>
        <w:tc>
          <w:tcPr>
            <w:tcW w:w="0" w:type="auto"/>
            <w:vAlign w:val="center"/>
          </w:tcPr>
          <w:p w14:paraId="75894395">
            <w:pPr>
              <w:widowControl w:val="0"/>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7</w:t>
            </w:r>
          </w:p>
        </w:tc>
        <w:tc>
          <w:tcPr>
            <w:tcW w:w="0" w:type="auto"/>
            <w:vAlign w:val="center"/>
          </w:tcPr>
          <w:p w14:paraId="4E3251F7">
            <w:pPr>
              <w:widowControl w:val="0"/>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应急保障预案</w:t>
            </w:r>
          </w:p>
        </w:tc>
        <w:tc>
          <w:tcPr>
            <w:tcW w:w="0" w:type="auto"/>
            <w:vAlign w:val="center"/>
          </w:tcPr>
          <w:p w14:paraId="2E970F56">
            <w:pPr>
              <w:widowControl w:val="0"/>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重点区域及安全隐患排查。结合项目的实际情况，对重点部位及危险隐患进行排查，并建立清单/台账；应当对危险隐患进行风险分析，制定相应措施进行控制或整改并定期监控；随着设施设备、服务内容的变化，及时更新清单/台账，使风险隐患始终处于受控状态。</w:t>
            </w:r>
          </w:p>
          <w:p w14:paraId="7E7B2ABD">
            <w:pPr>
              <w:widowControl w:val="0"/>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（2）应急预案的建立。根据办公楼隐患排查的结果和实际情况，制定专项预案，包括但不限于：消防火情火警紧急处理应急预案、停水停电应急预案等。</w:t>
            </w:r>
          </w:p>
          <w:p w14:paraId="104CBEC0">
            <w:pPr>
              <w:widowControl w:val="0"/>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3）应急预案的培训和演练。应急预案定期培训和演练，组织相关岗位（特别是对对火灾、水浸、电梯困人等紧急情况）每半年至少开展一次专项应急预案演练；留存培训及演练记录和影像资料，并对预案进行评价，确保与实际情况相结合。</w:t>
            </w:r>
          </w:p>
        </w:tc>
      </w:tr>
      <w:tr w14:paraId="464FA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 w:hRule="atLeast"/>
          <w:jc w:val="center"/>
        </w:trPr>
        <w:tc>
          <w:tcPr>
            <w:tcW w:w="0" w:type="auto"/>
            <w:vAlign w:val="center"/>
          </w:tcPr>
          <w:p w14:paraId="56F27ADD">
            <w:pPr>
              <w:widowControl w:val="0"/>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8</w:t>
            </w:r>
          </w:p>
        </w:tc>
        <w:tc>
          <w:tcPr>
            <w:tcW w:w="0" w:type="auto"/>
            <w:vAlign w:val="center"/>
          </w:tcPr>
          <w:p w14:paraId="75075124">
            <w:pPr>
              <w:widowControl w:val="0"/>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服务方案及工作制度</w:t>
            </w:r>
          </w:p>
        </w:tc>
        <w:tc>
          <w:tcPr>
            <w:tcW w:w="0" w:type="auto"/>
            <w:vAlign w:val="center"/>
          </w:tcPr>
          <w:p w14:paraId="58AA1C36">
            <w:pPr>
              <w:widowControl w:val="0"/>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（1）制定工作制度，主要包括：人员录用制度、档案管理制度、物业服务管理制度、公用设施设备相关管理制度等。</w:t>
            </w:r>
          </w:p>
          <w:p w14:paraId="062E4A3F">
            <w:pPr>
              <w:widowControl w:val="0"/>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（2）制定项目实施方案，主要包括：交接方案、人员培训方案、人员稳定性方案、保密方案等。</w:t>
            </w:r>
          </w:p>
          <w:p w14:paraId="3EF2CA89">
            <w:pPr>
              <w:widowControl w:val="0"/>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（3）制定物业服务方案，主要包括：房屋维护服务方案、公用设施设备维护服务方案、保洁服务方案、安保服务方案等。</w:t>
            </w:r>
          </w:p>
        </w:tc>
      </w:tr>
      <w:tr w14:paraId="4F870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jc w:val="center"/>
        </w:trPr>
        <w:tc>
          <w:tcPr>
            <w:tcW w:w="0" w:type="auto"/>
            <w:vAlign w:val="center"/>
          </w:tcPr>
          <w:p w14:paraId="196AAFAF">
            <w:pPr>
              <w:widowControl w:val="0"/>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9</w:t>
            </w:r>
          </w:p>
        </w:tc>
        <w:tc>
          <w:tcPr>
            <w:tcW w:w="0" w:type="auto"/>
            <w:vAlign w:val="center"/>
          </w:tcPr>
          <w:p w14:paraId="20E021ED">
            <w:pPr>
              <w:widowControl w:val="0"/>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服务热线及维修标准</w:t>
            </w:r>
          </w:p>
        </w:tc>
        <w:tc>
          <w:tcPr>
            <w:tcW w:w="0" w:type="auto"/>
            <w:vAlign w:val="center"/>
          </w:tcPr>
          <w:p w14:paraId="1D245DF8">
            <w:pPr>
              <w:widowControl w:val="0"/>
              <w:numPr>
                <w:ilvl w:val="0"/>
                <w:numId w:val="3"/>
              </w:numPr>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设立客户服务中心，安排专人负责值班电话24小时接听、记录、工作分拨，建立客服电话处理的专门制度，及时处理客服电话的需求。</w:t>
            </w:r>
          </w:p>
          <w:p w14:paraId="416C0B91">
            <w:pPr>
              <w:widowControl w:val="0"/>
              <w:numPr>
                <w:ilvl w:val="0"/>
                <w:numId w:val="3"/>
              </w:numPr>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服务标准：除特殊情况外，30分钟内必须有工作人员到需服务的部门处理客户需求，一般需求在本工作日内解决。如有特殊情况，需及时与需求人及后勤管理人员沟通，尽快协商处理</w:t>
            </w:r>
          </w:p>
        </w:tc>
      </w:tr>
    </w:tbl>
    <w:p w14:paraId="2353FE44">
      <w:pPr>
        <w:widowControl w:val="0"/>
        <w:spacing w:line="360" w:lineRule="auto"/>
        <w:jc w:val="left"/>
        <w:rPr>
          <w:rFonts w:hint="eastAsia" w:ascii="仿宋" w:hAnsi="仿宋" w:eastAsia="仿宋" w:cs="仿宋"/>
          <w:b/>
          <w:bCs/>
          <w:kern w:val="2"/>
          <w:sz w:val="24"/>
          <w:szCs w:val="24"/>
          <w:highlight w:val="none"/>
          <w:lang w:val="en-US" w:eastAsia="zh-CN" w:bidi="ar-SA"/>
        </w:rPr>
      </w:pPr>
      <w:r>
        <w:rPr>
          <w:rFonts w:hint="eastAsia" w:ascii="仿宋" w:hAnsi="仿宋" w:eastAsia="仿宋" w:cs="仿宋"/>
          <w:b/>
          <w:bCs/>
          <w:kern w:val="2"/>
          <w:sz w:val="24"/>
          <w:szCs w:val="24"/>
          <w:highlight w:val="none"/>
          <w:lang w:val="en-US" w:eastAsia="zh-CN" w:bidi="ar-SA"/>
        </w:rPr>
        <w:t>②房屋维护服务</w:t>
      </w:r>
    </w:p>
    <w:tbl>
      <w:tblPr>
        <w:tblStyle w:val="3"/>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211"/>
        <w:gridCol w:w="7311"/>
      </w:tblGrid>
      <w:tr w14:paraId="331ECAC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16" w:type="dxa"/>
            <w:tcBorders>
              <w:top w:val="single" w:color="auto" w:sz="12" w:space="0"/>
              <w:bottom w:val="single" w:color="auto" w:sz="12" w:space="0"/>
            </w:tcBorders>
            <w:vAlign w:val="center"/>
          </w:tcPr>
          <w:p w14:paraId="34CA0685">
            <w:pPr>
              <w:widowControl w:val="0"/>
              <w:spacing w:line="360" w:lineRule="auto"/>
              <w:jc w:val="center"/>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项目</w:t>
            </w:r>
          </w:p>
        </w:tc>
        <w:tc>
          <w:tcPr>
            <w:tcW w:w="7355" w:type="dxa"/>
            <w:tcBorders>
              <w:top w:val="single" w:color="auto" w:sz="12" w:space="0"/>
              <w:bottom w:val="single" w:color="auto" w:sz="12" w:space="0"/>
            </w:tcBorders>
            <w:vAlign w:val="center"/>
          </w:tcPr>
          <w:p w14:paraId="6AD65C20">
            <w:pPr>
              <w:widowControl w:val="0"/>
              <w:spacing w:line="360" w:lineRule="auto"/>
              <w:jc w:val="center"/>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内容及标准</w:t>
            </w:r>
          </w:p>
        </w:tc>
      </w:tr>
      <w:tr w14:paraId="7E909DA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1216" w:type="dxa"/>
            <w:vAlign w:val="center"/>
          </w:tcPr>
          <w:p w14:paraId="1347E678">
            <w:pPr>
              <w:widowControl w:val="0"/>
              <w:spacing w:line="360" w:lineRule="auto"/>
              <w:jc w:val="center"/>
              <w:rPr>
                <w:rFonts w:hint="default"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基本要求</w:t>
            </w:r>
          </w:p>
        </w:tc>
        <w:tc>
          <w:tcPr>
            <w:tcW w:w="7355" w:type="dxa"/>
          </w:tcPr>
          <w:p w14:paraId="06854498">
            <w:pPr>
              <w:widowControl w:val="0"/>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（1）期巡检楼道公共区域，无长期闲置杂物、无乱堆乱放、无私拉乱接、无违规占用和安全状况，确保楼道畅通完好和正常使用。</w:t>
            </w:r>
          </w:p>
          <w:p w14:paraId="28309A1E">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（2）建立健全房屋档案，制定房屋管理规定、房屋维修养护制度、房屋定期巡检制度、房屋装饰装修管理办法等规章制度，检查督促房屋使用单位正确使用房屋。</w:t>
            </w:r>
          </w:p>
          <w:p w14:paraId="5B814295">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（3）房屋维护保养记录应齐全，并建立报修、维修和回访记录。</w:t>
            </w:r>
          </w:p>
          <w:p w14:paraId="519350D4">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（4）及时完成零修任务，零修合格率100%</w:t>
            </w:r>
            <w:r>
              <w:rPr>
                <w:rFonts w:hint="eastAsia" w:ascii="仿宋" w:hAnsi="仿宋" w:eastAsia="仿宋" w:cs="仿宋"/>
                <w:color w:val="000000"/>
                <w:kern w:val="2"/>
                <w:sz w:val="24"/>
                <w:szCs w:val="24"/>
                <w:highlight w:val="none"/>
                <w:lang w:val="en-US" w:eastAsia="zh-CN" w:bidi="ar-SA"/>
              </w:rPr>
              <w:t>（物业公司仅对共用部分、共用设施设备承担养护维修义务，具体包括：消防系统设施设备、给排水系统、配电设施及照明线路检修与维护、建筑物共用部分的日常养护；业主自有或专有部分业主/租户自行维修和养护）。急修30分钟内到达现场查看处理。如大中修以上应报告房屋使</w:t>
            </w:r>
            <w:r>
              <w:rPr>
                <w:rFonts w:hint="eastAsia" w:ascii="仿宋" w:hAnsi="仿宋" w:eastAsia="仿宋" w:cs="仿宋"/>
                <w:kern w:val="2"/>
                <w:sz w:val="24"/>
                <w:szCs w:val="24"/>
                <w:highlight w:val="none"/>
                <w:lang w:val="en-US" w:eastAsia="zh-CN" w:bidi="ar-SA"/>
              </w:rPr>
              <w:t>用单位，房屋使用单位按照规定对房屋进行维修管理。</w:t>
            </w:r>
          </w:p>
        </w:tc>
      </w:tr>
      <w:tr w14:paraId="5A85707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216" w:type="dxa"/>
            <w:vAlign w:val="center"/>
          </w:tcPr>
          <w:p w14:paraId="74E6C6F5">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房屋结构</w:t>
            </w:r>
          </w:p>
        </w:tc>
        <w:tc>
          <w:tcPr>
            <w:tcW w:w="7355" w:type="dxa"/>
          </w:tcPr>
          <w:p w14:paraId="0425E6C7">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（1）每季度巡视1次屋架、屋面、梁、柱、板、梯、池、承重墙、地基等结构构件，发现外观有变形、开裂等现象时，应及时建议房屋使用单位申请房屋安全鉴定，并采取必要的避险和防护措施。</w:t>
            </w:r>
          </w:p>
        </w:tc>
      </w:tr>
      <w:tr w14:paraId="59FEA49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16" w:type="dxa"/>
            <w:vAlign w:val="center"/>
          </w:tcPr>
          <w:p w14:paraId="0C4FBA18">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建筑部件</w:t>
            </w:r>
          </w:p>
        </w:tc>
        <w:tc>
          <w:tcPr>
            <w:tcW w:w="7355" w:type="dxa"/>
          </w:tcPr>
          <w:p w14:paraId="693062F9">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（1）每季度检查1次外墙贴饰面、幕墙玻璃、雨篷、空调室外机支撑构件等。</w:t>
            </w:r>
          </w:p>
          <w:p w14:paraId="5D6F1582">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（2）每半月巡查1次共用部位的门、窗、楼梯、通风道等。</w:t>
            </w:r>
          </w:p>
          <w:p w14:paraId="6230D009">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（3）每两个月检查1次共用部位的室内地面、墙面、天棚和室外屋面等。</w:t>
            </w:r>
          </w:p>
          <w:p w14:paraId="09831F2E">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（4）定期在汛期前和强降雨天气后检查屋面防水和雨落管等。</w:t>
            </w:r>
          </w:p>
        </w:tc>
      </w:tr>
      <w:tr w14:paraId="30C6DB7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3" w:hRule="atLeast"/>
          <w:jc w:val="center"/>
        </w:trPr>
        <w:tc>
          <w:tcPr>
            <w:tcW w:w="1216" w:type="dxa"/>
            <w:vAlign w:val="center"/>
          </w:tcPr>
          <w:p w14:paraId="19CFBCAA">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附属构筑物</w:t>
            </w:r>
          </w:p>
        </w:tc>
        <w:tc>
          <w:tcPr>
            <w:tcW w:w="7355" w:type="dxa"/>
          </w:tcPr>
          <w:p w14:paraId="519513B7">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（1）每半月巡查1次大门、围墙（栏）、道路、甬路、场地、管井、沟渠、景观等；汛期每半月巡查1次、非汛期每季度巡查1次；每年检测1次防雷设施。</w:t>
            </w:r>
          </w:p>
          <w:p w14:paraId="38EE2920">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（2）每月检查1次雨、污水管井、化粪池等。</w:t>
            </w:r>
          </w:p>
        </w:tc>
      </w:tr>
      <w:tr w14:paraId="6919674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341" w:hRule="atLeast"/>
          <w:jc w:val="center"/>
        </w:trPr>
        <w:tc>
          <w:tcPr>
            <w:tcW w:w="1216" w:type="dxa"/>
            <w:vAlign w:val="center"/>
          </w:tcPr>
          <w:p w14:paraId="4ABE3FC5">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标识标牌</w:t>
            </w:r>
          </w:p>
        </w:tc>
        <w:tc>
          <w:tcPr>
            <w:tcW w:w="7355" w:type="dxa"/>
          </w:tcPr>
          <w:p w14:paraId="7B264DE6">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（1）标识标牌应符合GB/T 10001.1的要求，消防与安全标识应符合GB 2894、GB 13495.1的要求。</w:t>
            </w:r>
          </w:p>
          <w:p w14:paraId="54B1A26A">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2）定期检查平面路线图、指引标识、楼层标识、各功能区标识、安全警示标识、温馨提醒标识、供配电系统模拟示意图、电气开关状态标识、主要供水阀门、主要管线流向标识、交通标识等，确保标识标牌规范清晰，安装稳固。</w:t>
            </w:r>
          </w:p>
        </w:tc>
      </w:tr>
    </w:tbl>
    <w:p w14:paraId="59D7FC37">
      <w:pPr>
        <w:widowControl w:val="0"/>
        <w:spacing w:line="360" w:lineRule="auto"/>
        <w:jc w:val="left"/>
        <w:rPr>
          <w:rFonts w:hint="eastAsia" w:ascii="仿宋" w:hAnsi="仿宋" w:eastAsia="仿宋" w:cs="仿宋"/>
          <w:b/>
          <w:bCs/>
          <w:kern w:val="2"/>
          <w:sz w:val="24"/>
          <w:szCs w:val="24"/>
          <w:highlight w:val="none"/>
          <w:lang w:val="en-US" w:eastAsia="zh-CN" w:bidi="ar-SA"/>
        </w:rPr>
      </w:pPr>
      <w:r>
        <w:rPr>
          <w:rFonts w:hint="eastAsia" w:ascii="仿宋" w:hAnsi="仿宋" w:eastAsia="仿宋" w:cs="仿宋"/>
          <w:b/>
          <w:bCs/>
          <w:kern w:val="2"/>
          <w:sz w:val="24"/>
          <w:szCs w:val="24"/>
          <w:highlight w:val="none"/>
          <w:lang w:val="en-US" w:eastAsia="zh-CN" w:bidi="ar-SA"/>
        </w:rPr>
        <w:t>③公用设施设备维护服务</w:t>
      </w:r>
    </w:p>
    <w:tbl>
      <w:tblPr>
        <w:tblStyle w:val="3"/>
        <w:tblW w:w="863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402"/>
        <w:gridCol w:w="7230"/>
      </w:tblGrid>
      <w:tr w14:paraId="2605328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1402" w:type="dxa"/>
            <w:tcBorders>
              <w:top w:val="single" w:color="auto" w:sz="12" w:space="0"/>
              <w:left w:val="single" w:color="auto" w:sz="12" w:space="0"/>
              <w:bottom w:val="single" w:color="auto" w:sz="12" w:space="0"/>
            </w:tcBorders>
            <w:vAlign w:val="center"/>
          </w:tcPr>
          <w:p w14:paraId="33E0B2D1">
            <w:pPr>
              <w:widowControl w:val="0"/>
              <w:spacing w:line="360" w:lineRule="auto"/>
              <w:jc w:val="center"/>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项目</w:t>
            </w:r>
          </w:p>
        </w:tc>
        <w:tc>
          <w:tcPr>
            <w:tcW w:w="7230" w:type="dxa"/>
            <w:tcBorders>
              <w:top w:val="single" w:color="auto" w:sz="12" w:space="0"/>
              <w:bottom w:val="single" w:color="auto" w:sz="12" w:space="0"/>
              <w:right w:val="single" w:color="auto" w:sz="12" w:space="0"/>
            </w:tcBorders>
            <w:vAlign w:val="center"/>
          </w:tcPr>
          <w:p w14:paraId="1A08F689">
            <w:pPr>
              <w:widowControl w:val="0"/>
              <w:spacing w:line="360" w:lineRule="auto"/>
              <w:jc w:val="center"/>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内容及标准</w:t>
            </w:r>
          </w:p>
        </w:tc>
      </w:tr>
      <w:tr w14:paraId="22933E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402" w:type="dxa"/>
            <w:tcBorders>
              <w:top w:val="single" w:color="auto" w:sz="12" w:space="0"/>
              <w:left w:val="single" w:color="auto" w:sz="12" w:space="0"/>
              <w:bottom w:val="single" w:color="auto" w:sz="12" w:space="0"/>
            </w:tcBorders>
            <w:vAlign w:val="center"/>
          </w:tcPr>
          <w:p w14:paraId="141FB799">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基本要求</w:t>
            </w:r>
          </w:p>
        </w:tc>
        <w:tc>
          <w:tcPr>
            <w:tcW w:w="7230" w:type="dxa"/>
            <w:tcBorders>
              <w:top w:val="single" w:color="auto" w:sz="12" w:space="0"/>
              <w:bottom w:val="single" w:color="auto" w:sz="12" w:space="0"/>
              <w:right w:val="single" w:color="auto" w:sz="12" w:space="0"/>
            </w:tcBorders>
          </w:tcPr>
          <w:p w14:paraId="5185117A">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（1）建立相关管理制度，如设施设备安全运行、岗位职责、设施设备定期巡检、维护保养、运行记录、维修档案等；制定相关应急预案。</w:t>
            </w:r>
          </w:p>
          <w:p w14:paraId="6DCA6946">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（2）定期对公用设施设备进行全面检查，开展隐患巡查排查和治理，确保公用设施设备运行良好。发现问题及时向房屋使用单位报告，安排专项修理，建立报修、维修和回访记录，零修合格率100%。</w:t>
            </w:r>
          </w:p>
          <w:p w14:paraId="2518ED4B">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（3）特种设备由专业性机构进行维修养护，物业服务机构做好监督并进行日常管理。</w:t>
            </w:r>
          </w:p>
          <w:p w14:paraId="0357A661">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4）设备机房：每半月清洁1次，机房整洁有序，室内无杂物；设有挡鼠板、鼠药盒或粘鼠板；在明显易取位置配备有符合规定的消防器材及专用工具，确保完好有效；设施设备标识标牌齐全；张贴或悬挂相关制度、证书。</w:t>
            </w:r>
          </w:p>
          <w:p w14:paraId="331607F7">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（5）在重大节假日前组织系统巡检1次，记录齐全、完整。</w:t>
            </w:r>
          </w:p>
        </w:tc>
      </w:tr>
      <w:tr w14:paraId="480F45D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04" w:hRule="atLeast"/>
          <w:jc w:val="center"/>
        </w:trPr>
        <w:tc>
          <w:tcPr>
            <w:tcW w:w="1402" w:type="dxa"/>
            <w:vAlign w:val="center"/>
          </w:tcPr>
          <w:p w14:paraId="5EB9B1AC">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消防系统</w:t>
            </w:r>
          </w:p>
        </w:tc>
        <w:tc>
          <w:tcPr>
            <w:tcW w:w="7230" w:type="dxa"/>
          </w:tcPr>
          <w:p w14:paraId="1EDE0131">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（1）消防设施的维护管理符合《建筑消防设施的维护管理》（GB25201）的相关要求。</w:t>
            </w:r>
          </w:p>
          <w:p w14:paraId="68CB51E5">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（2）严格执行消防法规，建立消防安全管理制度和突发火灾的应急处置预案，确保整个系统处于良好的状态。</w:t>
            </w:r>
          </w:p>
          <w:p w14:paraId="71C395D8">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（3）配备完善的消防器材，定期检查消防设备，消防设施的维护管理应符合消防管理规范的要求，维保质量达到消防要求，保证系统开通率及完好率。</w:t>
            </w:r>
          </w:p>
          <w:p w14:paraId="55454B8C">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（4）每月检查1次消防设备，每周检查各处消火栓是否损坏，水龙带、水枪是否在位；检查各处消防水管是否漏水；检查防火门、安全出口指示灯、消防疏散图、安全通道照明是否完好；检查安全通道是否通畅。</w:t>
            </w:r>
          </w:p>
          <w:p w14:paraId="660309B3">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（5）每月检查消防加压水泵1次；检查各类信号指示灯是否正常；检查各类水压压力表是否正常；检查消防水泵泵体是否漏水、生锈；检查消防备用电源是否正常，能否及时切换。</w:t>
            </w:r>
          </w:p>
          <w:p w14:paraId="60335F72">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6）每月检查手提式灭火器是否有效；检测烟感、温感探测器是否正常工作；消火栓放水检查1次；检查消防报警按钮、警铃及指示灯；检查消防广播系统；消防控制联动系统进行1次试验测试；检查自动喷洒系统管道和各消防水箱、水池排水；气体灭火装置的检查测压。</w:t>
            </w:r>
          </w:p>
          <w:p w14:paraId="34043FA0">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（7）消防系统应有第三方消防检测报告并通过消防部门的审查监督。</w:t>
            </w:r>
          </w:p>
          <w:p w14:paraId="6CB13319">
            <w:pPr>
              <w:widowControl w:val="0"/>
              <w:spacing w:line="360" w:lineRule="auto"/>
              <w:jc w:val="left"/>
              <w:rPr>
                <w:rFonts w:hint="default"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（8）消防设施平面图、火警疏散示意图、防火分区图等按幢设置在楼层醒目位置。</w:t>
            </w:r>
          </w:p>
        </w:tc>
      </w:tr>
      <w:tr w14:paraId="1EF3631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63" w:hRule="atLeast"/>
          <w:jc w:val="center"/>
        </w:trPr>
        <w:tc>
          <w:tcPr>
            <w:tcW w:w="1402" w:type="dxa"/>
            <w:vAlign w:val="center"/>
          </w:tcPr>
          <w:p w14:paraId="4D1F0A19">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给排水系统</w:t>
            </w:r>
          </w:p>
        </w:tc>
        <w:tc>
          <w:tcPr>
            <w:tcW w:w="7230" w:type="dxa"/>
          </w:tcPr>
          <w:p w14:paraId="2B2CCC51">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（1）建立正常供水管理制度。</w:t>
            </w:r>
          </w:p>
          <w:p w14:paraId="595C604C">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（2）每半年至少对二次供水设施进行1次清洗消毒，生活饮用水卫生符合《生活饮用水卫生标准》（GB5749）的相关要求，二次供水卫生符合《二次供水设施卫生规范》（GB17051）的相关要求。</w:t>
            </w:r>
          </w:p>
          <w:p w14:paraId="42B91ABE">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（3）每日巡检1次供水设施，设备、阀门、管道等运行正常，无跑、冒、滴、漏现象；有水泵房、水箱间的，每日巡视1次，定期养护1次水泵。</w:t>
            </w:r>
          </w:p>
          <w:p w14:paraId="477FEBDF">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（4）有事故应急预案，及时发现并解决故障：如遇供水单位限水、停水，应按规定时间通知办公区内用户。</w:t>
            </w:r>
          </w:p>
          <w:p w14:paraId="334DCDDA">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（5）定期对排水管进行疏通、清污，保证室内外排水系统通畅；定期在汛前对雨、污水井、屋面雨水口等排水设施进行检查；建立防汛预案，配备有防汛物资（沙袋、雨具、照明工具等），定期组织1次演练。</w:t>
            </w:r>
          </w:p>
        </w:tc>
      </w:tr>
      <w:tr w14:paraId="3BF4A33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78" w:hRule="atLeast"/>
          <w:jc w:val="center"/>
        </w:trPr>
        <w:tc>
          <w:tcPr>
            <w:tcW w:w="1402" w:type="dxa"/>
            <w:vAlign w:val="center"/>
          </w:tcPr>
          <w:p w14:paraId="693EF149">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供配电系统</w:t>
            </w:r>
          </w:p>
        </w:tc>
        <w:tc>
          <w:tcPr>
            <w:tcW w:w="7230" w:type="dxa"/>
          </w:tcPr>
          <w:p w14:paraId="1E47EE3D">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（1）建立配送电运行制度、电气维修制度和配电房管理制度，制定突发事件应急处理程序和临时用电管理措施。</w:t>
            </w:r>
          </w:p>
          <w:p w14:paraId="6F1B059A">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（2）建立24小时运行值班监控制度，一般故障半小时内修复，复杂故障涉及供电部门维修处置的应及时与供电部门联系，向使用单位报告；发现应急照明故障，30分钟内到达并组织维修。</w:t>
            </w:r>
          </w:p>
          <w:p w14:paraId="4C171A71">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3）对供电范围内的电气设备定期巡视维护，加强高低压设备、低压配电柜、配电箱、控制柜及线路的重点监测，公共使用的照明、指示灯具线路、开关应保持完好，确保用电安全；照明设备每周巡视1次，一般故障1日内修复，复杂故障1周内修复。</w:t>
            </w:r>
          </w:p>
          <w:p w14:paraId="7D1EA4B3">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（4）核心部位用电建立可控用电保障和配备应急发电设备，维护应急发电设备，确保机关在突发情况下正常运转。</w:t>
            </w:r>
          </w:p>
          <w:p w14:paraId="1AD1762B">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（5）大型活动、迎接检查、暴风雨等抢险及各类应急事件，有人员保证，有应急预案。</w:t>
            </w:r>
          </w:p>
          <w:p w14:paraId="73267815">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（6）容易危及人身安全的设施设备、应急抢修有明显警示标志和防范措施；对可能发生的各种突发设备故障有应急方案。</w:t>
            </w:r>
          </w:p>
          <w:p w14:paraId="131424B0">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（7）复杂故障涉及供电部门维修处置的及时与供电部门联系，并向采购人报告。</w:t>
            </w:r>
          </w:p>
        </w:tc>
      </w:tr>
      <w:tr w14:paraId="602E0DE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44" w:hRule="atLeast"/>
          <w:jc w:val="center"/>
        </w:trPr>
        <w:tc>
          <w:tcPr>
            <w:tcW w:w="1402" w:type="dxa"/>
            <w:vAlign w:val="center"/>
          </w:tcPr>
          <w:p w14:paraId="376398D5">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电梯系统</w:t>
            </w:r>
          </w:p>
        </w:tc>
        <w:tc>
          <w:tcPr>
            <w:tcW w:w="7230" w:type="dxa"/>
          </w:tcPr>
          <w:p w14:paraId="5A436951">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（1）建立电梯运行管理、设备维护、安全管理等制度，做好档案管理。</w:t>
            </w:r>
          </w:p>
          <w:p w14:paraId="08A7676E">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（2）严格执行国家有关电梯管理规定和安全规程，做到电梯准用证、年检合格证、维保合同完备。</w:t>
            </w:r>
          </w:p>
          <w:p w14:paraId="0ED9EA4B">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（3）定期进行1次检验，每半月进行1次维修保养，每周检查2次安全状况，保障运行完好；维保专业人员应取得经特种设备安全监督管理部门考核合格的特种作业操作证。</w:t>
            </w:r>
          </w:p>
          <w:p w14:paraId="3C124AED">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（4）物业人员每日对电梯进行清洁，保持轿厢、井道、机房整洁。</w:t>
            </w:r>
          </w:p>
          <w:p w14:paraId="37283774">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有电梯突发事件或事故的应急措施与救援预案，每季度演练1次。（5）电梯出现故障，物业服务人员15分钟内到场应急处理，维保专业人员30分钟内到场进行救助和排除故障。</w:t>
            </w:r>
          </w:p>
        </w:tc>
      </w:tr>
      <w:tr w14:paraId="1C6B6B9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1402" w:type="dxa"/>
            <w:vAlign w:val="center"/>
          </w:tcPr>
          <w:p w14:paraId="42EEC852">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空调系统</w:t>
            </w:r>
          </w:p>
        </w:tc>
        <w:tc>
          <w:tcPr>
            <w:tcW w:w="7230" w:type="dxa"/>
          </w:tcPr>
          <w:p w14:paraId="195E491C">
            <w:pPr>
              <w:widowControl w:val="0"/>
              <w:numPr>
                <w:ilvl w:val="0"/>
                <w:numId w:val="4"/>
              </w:numPr>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空调通风系统运行管理符合《空调通风系统运行管理标准》（GB50365）的相关要求。</w:t>
            </w:r>
          </w:p>
          <w:p w14:paraId="0BC67274">
            <w:pPr>
              <w:widowControl w:val="0"/>
              <w:numPr>
                <w:ilvl w:val="0"/>
                <w:numId w:val="4"/>
              </w:numPr>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办公楼内温湿度、空气质量等符合《室内空气质量标准》（GB/T18883）的相关要求。</w:t>
            </w:r>
          </w:p>
          <w:p w14:paraId="3F20226E">
            <w:pPr>
              <w:widowControl w:val="0"/>
              <w:numPr>
                <w:ilvl w:val="0"/>
                <w:numId w:val="4"/>
              </w:numPr>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定期维保并做好记录，保证空调设施设备处于良好状态。</w:t>
            </w:r>
          </w:p>
          <w:p w14:paraId="5259BDD2">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 xml:space="preserve">（4）定期进行线路供电检修，保证空调设备设施供电正常。 </w:t>
            </w:r>
          </w:p>
          <w:p w14:paraId="2108F37A">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（5）中央空调运行进行系统检查，运行期间每季度巡查1次运行情况；半年检查1次管道。</w:t>
            </w:r>
          </w:p>
          <w:p w14:paraId="30A648C3">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（6）每年至少开展1次新风机、空气处理机滤网等清洗消毒；每2年至少开展1次风管清洗消毒。</w:t>
            </w:r>
          </w:p>
          <w:p w14:paraId="368BC114">
            <w:pPr>
              <w:widowControl w:val="0"/>
              <w:spacing w:line="360" w:lineRule="auto"/>
              <w:jc w:val="left"/>
              <w:rPr>
                <w:rFonts w:hint="default"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（7）每年至少开展1次分体式空调主机（含空调过滤网）和室外机清洁。每月至少开展1次挂机和室外支架稳固性巡查。</w:t>
            </w:r>
          </w:p>
          <w:p w14:paraId="7D2290EE">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（8）制冷、供暖系统温度设定及启用时间符合节能要求。</w:t>
            </w:r>
          </w:p>
        </w:tc>
      </w:tr>
    </w:tbl>
    <w:p w14:paraId="5A58473C">
      <w:pPr>
        <w:widowControl w:val="0"/>
        <w:spacing w:line="360" w:lineRule="auto"/>
        <w:jc w:val="left"/>
        <w:rPr>
          <w:rFonts w:hint="eastAsia" w:ascii="仿宋" w:hAnsi="仿宋" w:eastAsia="仿宋" w:cs="仿宋"/>
          <w:b/>
          <w:bCs/>
          <w:kern w:val="2"/>
          <w:sz w:val="24"/>
          <w:szCs w:val="24"/>
          <w:highlight w:val="none"/>
          <w:lang w:val="en-US" w:eastAsia="zh-CN" w:bidi="ar-SA"/>
        </w:rPr>
      </w:pPr>
      <w:r>
        <w:rPr>
          <w:rFonts w:hint="eastAsia" w:ascii="仿宋" w:hAnsi="仿宋" w:eastAsia="仿宋" w:cs="仿宋"/>
          <w:b/>
          <w:bCs/>
          <w:kern w:val="2"/>
          <w:sz w:val="24"/>
          <w:szCs w:val="24"/>
          <w:highlight w:val="none"/>
          <w:lang w:val="en-US" w:eastAsia="zh-CN" w:bidi="ar-SA"/>
        </w:rPr>
        <w:t>④保洁服务</w:t>
      </w:r>
    </w:p>
    <w:tbl>
      <w:tblPr>
        <w:tblStyle w:val="3"/>
        <w:tblW w:w="862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841"/>
        <w:gridCol w:w="7780"/>
      </w:tblGrid>
      <w:tr w14:paraId="1FF5DEB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841" w:type="dxa"/>
            <w:tcBorders>
              <w:top w:val="single" w:color="auto" w:sz="12" w:space="0"/>
              <w:bottom w:val="single" w:color="auto" w:sz="12" w:space="0"/>
            </w:tcBorders>
            <w:vAlign w:val="center"/>
          </w:tcPr>
          <w:p w14:paraId="0E694B47">
            <w:pPr>
              <w:widowControl w:val="0"/>
              <w:spacing w:line="360" w:lineRule="auto"/>
              <w:jc w:val="center"/>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项目</w:t>
            </w:r>
          </w:p>
        </w:tc>
        <w:tc>
          <w:tcPr>
            <w:tcW w:w="7780" w:type="dxa"/>
            <w:tcBorders>
              <w:top w:val="single" w:color="auto" w:sz="12" w:space="0"/>
              <w:bottom w:val="single" w:color="auto" w:sz="12" w:space="0"/>
            </w:tcBorders>
          </w:tcPr>
          <w:p w14:paraId="3DB6D240">
            <w:pPr>
              <w:widowControl w:val="0"/>
              <w:spacing w:line="360" w:lineRule="auto"/>
              <w:jc w:val="center"/>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内容及标准</w:t>
            </w:r>
          </w:p>
        </w:tc>
      </w:tr>
      <w:tr w14:paraId="141C831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841" w:type="dxa"/>
            <w:tcBorders>
              <w:top w:val="single" w:color="auto" w:sz="12" w:space="0"/>
            </w:tcBorders>
            <w:vAlign w:val="center"/>
          </w:tcPr>
          <w:p w14:paraId="5603EB46">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办公区域环境维护</w:t>
            </w:r>
          </w:p>
        </w:tc>
        <w:tc>
          <w:tcPr>
            <w:tcW w:w="7780" w:type="dxa"/>
            <w:tcBorders>
              <w:top w:val="single" w:color="auto" w:sz="12" w:space="0"/>
            </w:tcBorders>
          </w:tcPr>
          <w:p w14:paraId="65BC13B7">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（1）建立环境卫生管理制度、明确保洁区域责任、保洁频次并认真落实； 环卫设施齐备；实行标准化清扫保洁，由专人负责检查监督，清洁率 100%。</w:t>
            </w:r>
          </w:p>
          <w:p w14:paraId="1A7D13FA">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2）大厅、楼内公共通道：大厅地面保持干净无水渍，大理石、花岗石等材质定期养护，进出口地垫整洁；公共通道门框、窗框、窗台、金属件表面光亮无尘无污渍；门窗玻璃干净无尘，透光性好；天花板无蛛网；灯具干净无积尘；指示牌干净无污渍，指示醒目。</w:t>
            </w:r>
          </w:p>
          <w:p w14:paraId="4C3F0D76">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（3）楼梯及楼梯间：每日清洁1次，梯步、扶手栏杆、防火门及闭门器表面干净无尘无污渍，防滑条（缝）干净，墙面、天花板无积尘、蛛网。</w:t>
            </w:r>
          </w:p>
          <w:p w14:paraId="73B7282B">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 xml:space="preserve">（4）卫生间：每日清洁2次，循环保洁，地面干净，无污渍无积水；洁具洁净，无污渍；门窗、墙壁、隔断、玻璃、窗台表面干净，无污迹，金属饰件有金属光泽，天花板表面无蛛网；换气扇表面无积尘；洗手台干净无污垢；保持空气流通，无明显异味。每一小时巡检一次，随时保持清洁。 </w:t>
            </w:r>
          </w:p>
          <w:p w14:paraId="4A57F980">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（5）开水间及清洁间：每日清洁1次；地面干净，无杂物、无积水，天花板无蛛网，灯罩表面无积尘，墙面干净无污渍，各种物品表面干净无渍，清洁工具摆放整齐有序。</w:t>
            </w:r>
          </w:p>
          <w:p w14:paraId="5FF92957">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6）电梯轿厢：每日擦拭1次轿厢门、面板，清拖1次轿厢地面；不锈钢材料装饰的轿厢每月护理2次；石材装饰的轿厢每季度养护1次；轿厢内无污渍无粘贴物；灯具、操作指示板明亮；厢内地面干净无异味，电梯门槽内无垃圾无杂物。</w:t>
            </w:r>
          </w:p>
          <w:p w14:paraId="53007B47">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（7）电器、消防等设施设备：配电箱、设备机房、消防栓、报警器及开关插座等每周清洁1次，保证表面干净，无尘无污迹；监控摄像头、门警器等表面光亮，无尘无斑点。</w:t>
            </w:r>
          </w:p>
        </w:tc>
      </w:tr>
      <w:tr w14:paraId="0B4FE0B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68" w:hRule="atLeast"/>
          <w:jc w:val="center"/>
        </w:trPr>
        <w:tc>
          <w:tcPr>
            <w:tcW w:w="841" w:type="dxa"/>
            <w:vAlign w:val="center"/>
          </w:tcPr>
          <w:p w14:paraId="03ADD8CA">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公共区域环境维护</w:t>
            </w:r>
          </w:p>
        </w:tc>
        <w:tc>
          <w:tcPr>
            <w:tcW w:w="7780" w:type="dxa"/>
          </w:tcPr>
          <w:p w14:paraId="09A5D51D">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1）公共场所每日清扫道路地面，保持干净，无杂物无积水无污迹；沟渠、池、井内无杂物无异味；各种路标、标志、宣传栏表面干净，无积尘无水印；室外照明及共用设施每半月清洁1次，属高空作业范围的部分路灯、景观灯等半年清洁1次，表面无污渍。</w:t>
            </w:r>
          </w:p>
          <w:p w14:paraId="6A62AACC">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（2）绿化带及景观每日清洁1次；绿地内无杂物，花台、景观表面干净无污渍；景观水质清澈无异味无漂浮物，建筑整洁无涂污。</w:t>
            </w:r>
          </w:p>
          <w:p w14:paraId="5C97A776">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3）办公楼及业务、技术用房的平台、屋顶，每季度清扫1次；雨季期间，每半月清扫1次；每月巡查1次天台，有杂物及时清扫；外墙（幕墙），目视洁净无污垢；表面、接缝、角落、边线等处洁净无污迹无积尘。</w:t>
            </w:r>
          </w:p>
        </w:tc>
      </w:tr>
      <w:tr w14:paraId="0734EAD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25" w:hRule="atLeast"/>
          <w:jc w:val="center"/>
        </w:trPr>
        <w:tc>
          <w:tcPr>
            <w:tcW w:w="841" w:type="dxa"/>
            <w:vAlign w:val="center"/>
          </w:tcPr>
          <w:p w14:paraId="371615C7">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卫生消杀</w:t>
            </w:r>
          </w:p>
        </w:tc>
        <w:tc>
          <w:tcPr>
            <w:tcW w:w="7780" w:type="dxa"/>
          </w:tcPr>
          <w:p w14:paraId="4513B595">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（1）公共场所和周围环境定期预防性卫生消杀；采取综合措施消灭老鼠、蟑螂，控制室内外蚊虫孳生，达到基本无蝇；配合有关部门进行有害生物的预防和控制，投放药物应预先告知，投药位置有明显标识。</w:t>
            </w:r>
          </w:p>
          <w:p w14:paraId="79720734">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（2）公共卫生间、电梯轿厢至少每日消毒1次；垃圾收集容器至少每日消毒1次；公共区域根据实际需要进行消毒。</w:t>
            </w:r>
          </w:p>
        </w:tc>
      </w:tr>
      <w:tr w14:paraId="6EA2BAE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94" w:hRule="atLeast"/>
          <w:jc w:val="center"/>
        </w:trPr>
        <w:tc>
          <w:tcPr>
            <w:tcW w:w="841" w:type="dxa"/>
            <w:vAlign w:val="center"/>
          </w:tcPr>
          <w:p w14:paraId="5B44FCDA">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垃圾处理</w:t>
            </w:r>
          </w:p>
        </w:tc>
        <w:tc>
          <w:tcPr>
            <w:tcW w:w="7780" w:type="dxa"/>
          </w:tcPr>
          <w:p w14:paraId="12E433C6">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（1）合理布设垃圾分类桶，张贴垃圾分类标识，对垃圾进行强制分类，并达到分类标准。</w:t>
            </w:r>
          </w:p>
          <w:p w14:paraId="4FBABADD">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（2）垃圾分类应建立台账，账实相符。</w:t>
            </w:r>
          </w:p>
          <w:p w14:paraId="6169D2F1">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（3）垃圾桶（箱）按指定位置摆放，桶（箱）身表面干净无污渍，每日开展至少1次清洁作业。</w:t>
            </w:r>
          </w:p>
          <w:p w14:paraId="5B2E0732">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（4）垃圾中转房地面每日拖洗2次，无明显异味；垃圾袋装，日产日清。每周消杀一次。</w:t>
            </w:r>
          </w:p>
        </w:tc>
      </w:tr>
    </w:tbl>
    <w:p w14:paraId="2715B74A">
      <w:pPr>
        <w:widowControl w:val="0"/>
        <w:spacing w:line="360" w:lineRule="auto"/>
        <w:jc w:val="left"/>
        <w:rPr>
          <w:rFonts w:hint="eastAsia" w:ascii="仿宋" w:hAnsi="仿宋" w:eastAsia="仿宋" w:cs="仿宋"/>
          <w:b/>
          <w:bCs/>
          <w:kern w:val="2"/>
          <w:sz w:val="24"/>
          <w:szCs w:val="24"/>
          <w:highlight w:val="none"/>
          <w:lang w:val="en-US" w:eastAsia="zh-CN" w:bidi="ar-SA"/>
        </w:rPr>
      </w:pPr>
      <w:r>
        <w:rPr>
          <w:rFonts w:hint="eastAsia" w:ascii="仿宋" w:hAnsi="仿宋" w:eastAsia="仿宋" w:cs="仿宋"/>
          <w:b/>
          <w:bCs/>
          <w:kern w:val="2"/>
          <w:sz w:val="24"/>
          <w:szCs w:val="24"/>
          <w:highlight w:val="none"/>
          <w:lang w:val="en-US" w:eastAsia="zh-CN" w:bidi="ar-SA"/>
        </w:rPr>
        <w:t>⑤安保服务</w:t>
      </w:r>
    </w:p>
    <w:tbl>
      <w:tblPr>
        <w:tblStyle w:val="3"/>
        <w:tblW w:w="862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841"/>
        <w:gridCol w:w="7780"/>
      </w:tblGrid>
      <w:tr w14:paraId="39E9532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841" w:type="dxa"/>
            <w:tcBorders>
              <w:top w:val="single" w:color="auto" w:sz="12" w:space="0"/>
              <w:bottom w:val="single" w:color="auto" w:sz="12" w:space="0"/>
            </w:tcBorders>
            <w:vAlign w:val="center"/>
          </w:tcPr>
          <w:p w14:paraId="023F014F">
            <w:pPr>
              <w:widowControl w:val="0"/>
              <w:spacing w:line="360" w:lineRule="auto"/>
              <w:jc w:val="center"/>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项目</w:t>
            </w:r>
          </w:p>
        </w:tc>
        <w:tc>
          <w:tcPr>
            <w:tcW w:w="7780" w:type="dxa"/>
            <w:tcBorders>
              <w:top w:val="single" w:color="auto" w:sz="12" w:space="0"/>
              <w:bottom w:val="single" w:color="auto" w:sz="12" w:space="0"/>
            </w:tcBorders>
          </w:tcPr>
          <w:p w14:paraId="3657DA8C">
            <w:pPr>
              <w:widowControl w:val="0"/>
              <w:spacing w:line="360" w:lineRule="auto"/>
              <w:jc w:val="center"/>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内容及标准</w:t>
            </w:r>
          </w:p>
        </w:tc>
      </w:tr>
      <w:tr w14:paraId="3DE4DB4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841" w:type="dxa"/>
            <w:tcBorders>
              <w:top w:val="single" w:color="auto" w:sz="12" w:space="0"/>
              <w:bottom w:val="single" w:color="auto" w:sz="12" w:space="0"/>
            </w:tcBorders>
            <w:vAlign w:val="center"/>
          </w:tcPr>
          <w:p w14:paraId="347361A1">
            <w:pPr>
              <w:widowControl w:val="0"/>
              <w:spacing w:line="360" w:lineRule="auto"/>
              <w:jc w:val="left"/>
              <w:rPr>
                <w:rFonts w:hint="default"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基本要求</w:t>
            </w:r>
          </w:p>
        </w:tc>
        <w:tc>
          <w:tcPr>
            <w:tcW w:w="7780" w:type="dxa"/>
            <w:tcBorders>
              <w:top w:val="single" w:color="auto" w:sz="12" w:space="0"/>
              <w:bottom w:val="single" w:color="auto" w:sz="12" w:space="0"/>
            </w:tcBorders>
          </w:tcPr>
          <w:p w14:paraId="731E9DCD">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（1）维持公共秩序，包括安全管理、在采购人及消防管理部门指导下负责消防系统的管理、巡视、门岗执勤。交通与车辆停放秩序的管理。</w:t>
            </w:r>
          </w:p>
          <w:p w14:paraId="57B485BB">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（2）负责院内形象岗门卫值守、来客登记、定期巡查办公楼公共安全，监控室 24 小时值守。</w:t>
            </w:r>
          </w:p>
          <w:p w14:paraId="34221A0A">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（3）建立保安服务相关制度，并按照执行。</w:t>
            </w:r>
          </w:p>
          <w:p w14:paraId="761CC299">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（4）对巡查、值守及异常情况等做好相关记录，填写规范，保存完好。</w:t>
            </w:r>
          </w:p>
          <w:p w14:paraId="3D0FAA9D">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（5）配备保安服务必要的器材。</w:t>
            </w:r>
          </w:p>
        </w:tc>
      </w:tr>
      <w:tr w14:paraId="50163F8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841" w:type="dxa"/>
            <w:tcBorders>
              <w:top w:val="single" w:color="auto" w:sz="12" w:space="0"/>
              <w:bottom w:val="single" w:color="auto" w:sz="12" w:space="0"/>
            </w:tcBorders>
            <w:vAlign w:val="center"/>
          </w:tcPr>
          <w:p w14:paraId="76B55100">
            <w:pPr>
              <w:widowControl w:val="0"/>
              <w:spacing w:line="360" w:lineRule="auto"/>
              <w:jc w:val="left"/>
              <w:rPr>
                <w:rFonts w:hint="default"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出入管理</w:t>
            </w:r>
          </w:p>
        </w:tc>
        <w:tc>
          <w:tcPr>
            <w:tcW w:w="7780" w:type="dxa"/>
            <w:tcBorders>
              <w:top w:val="single" w:color="auto" w:sz="12" w:space="0"/>
              <w:bottom w:val="single" w:color="auto" w:sz="12" w:space="0"/>
            </w:tcBorders>
          </w:tcPr>
          <w:p w14:paraId="64CD7468">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（1）停车场管理。包括车辆进出、车辆停放和通道出入的秩序管理。</w:t>
            </w:r>
          </w:p>
          <w:p w14:paraId="6A2AD937">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（2）进出车辆实行登记管理，引导车辆有序停放。</w:t>
            </w:r>
          </w:p>
          <w:p w14:paraId="125DC66B">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（3）在出入口对外来人员及其携带大件物品、外来车辆进行询问和记录，并与相关部门取得联系，同意后方可进入。</w:t>
            </w:r>
          </w:p>
          <w:p w14:paraId="1AFD8EE3">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（4）大件物品搬出有相关部门开具的证明和清单，经核实后放行。</w:t>
            </w:r>
          </w:p>
          <w:p w14:paraId="106F6535">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（5）排查可疑人员，对于不出示证件、不按规定登记、不听劝阻而强行闯入者，及时劝离，必要时通知公安机关进行处理。</w:t>
            </w:r>
          </w:p>
          <w:p w14:paraId="2F928A8B">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（6）对搬出大宗物品有严格的管理制度，进出大楼货车要严格检查，对物资要逐一登记，严格汇报制度。</w:t>
            </w:r>
          </w:p>
          <w:p w14:paraId="080DD5B2">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（7）对进出的装修施工人员、服务人员实行临时出入证管理；对可疑人员应进行盘问、登记。</w:t>
            </w:r>
          </w:p>
        </w:tc>
      </w:tr>
      <w:tr w14:paraId="792977C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841" w:type="dxa"/>
            <w:tcBorders>
              <w:top w:val="single" w:color="auto" w:sz="12" w:space="0"/>
              <w:bottom w:val="single" w:color="auto" w:sz="12" w:space="0"/>
            </w:tcBorders>
            <w:vAlign w:val="center"/>
          </w:tcPr>
          <w:p w14:paraId="56609E28">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车辆停放</w:t>
            </w:r>
          </w:p>
        </w:tc>
        <w:tc>
          <w:tcPr>
            <w:tcW w:w="7780" w:type="dxa"/>
            <w:tcBorders>
              <w:top w:val="single" w:color="auto" w:sz="12" w:space="0"/>
              <w:bottom w:val="single" w:color="auto" w:sz="12" w:space="0"/>
            </w:tcBorders>
            <w:vAlign w:val="center"/>
          </w:tcPr>
          <w:p w14:paraId="359AE7CD">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（1）车辆行驶路线设置合理、规范，导向标志完整、清晰。</w:t>
            </w:r>
          </w:p>
          <w:p w14:paraId="54A6FA20">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（2）合理规划车辆停放区域，张贴车辆引导标识，对车辆及停放区域实行规范管理。</w:t>
            </w:r>
          </w:p>
          <w:p w14:paraId="01162F49">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（3）严禁在办公楼的公用走道、楼梯间、安全出口处等公共区域停放车辆或充电。</w:t>
            </w:r>
          </w:p>
          <w:p w14:paraId="015F4F8C">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（4）非机动车定点有序停放。</w:t>
            </w:r>
          </w:p>
          <w:p w14:paraId="62CF4EDB">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（5）发现车辆异常情况及时通知车主，并做好登记；发生交通事故、自然灾害等意外事故时及时赶赴现场疏导和协助处理，响应时间不超过3分钟。</w:t>
            </w:r>
          </w:p>
        </w:tc>
      </w:tr>
      <w:tr w14:paraId="3D253E6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841" w:type="dxa"/>
            <w:tcBorders>
              <w:top w:val="single" w:color="auto" w:sz="12" w:space="0"/>
              <w:bottom w:val="single" w:color="auto" w:sz="12" w:space="0"/>
            </w:tcBorders>
            <w:vAlign w:val="center"/>
          </w:tcPr>
          <w:p w14:paraId="4614530B">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突发事件处理</w:t>
            </w:r>
          </w:p>
        </w:tc>
        <w:tc>
          <w:tcPr>
            <w:tcW w:w="7780" w:type="dxa"/>
            <w:tcBorders>
              <w:top w:val="single" w:color="auto" w:sz="12" w:space="0"/>
              <w:bottom w:val="single" w:color="auto" w:sz="12" w:space="0"/>
            </w:tcBorders>
            <w:vAlign w:val="center"/>
          </w:tcPr>
          <w:p w14:paraId="70D17B70">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（1）制定突发事件安全责任书，明确突发事件责任人及应承担的安全责任。</w:t>
            </w:r>
          </w:p>
          <w:p w14:paraId="57DE9B13">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（2）建立应急突发事件处置队伍，明确各自的职责。</w:t>
            </w:r>
          </w:p>
          <w:p w14:paraId="3A28CC20">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3）负责做好本物业的安全防范工作，发现突发性事件及时采取应急措施，制止事态的扩大，并注意保护好现场，及时向采购人报告，并做好记录。确保对治安事件、暴力事件、停电事件、跑水事件等各类突发事件的安全管理。识别、分析各种潜在风险，针对不同风险类型制定相应解决方案，并配备应急物资。</w:t>
            </w:r>
          </w:p>
          <w:p w14:paraId="74EECA94">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（4）每半年至少开展1次突发事件应急演练，并有相应记录。</w:t>
            </w:r>
          </w:p>
          <w:p w14:paraId="2247C4CF">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（5）发生意外事件时，及时采取应急措施，维护办公区域物业服务正常进行，保护人身财产安全。</w:t>
            </w:r>
          </w:p>
          <w:p w14:paraId="2DD9DAD8">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（6）办公区域物业服务应急预案终止实施后，积极采取措施，在尽可能短的时间内，消除事故带来的不良影响，妥善安置和慰问受害及受影响的人员和部门。</w:t>
            </w:r>
          </w:p>
          <w:p w14:paraId="457FCE09">
            <w:pPr>
              <w:widowControl w:val="0"/>
              <w:spacing w:line="360" w:lineRule="auto"/>
              <w:jc w:val="left"/>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（7）事故处理后，及时形成事故应急总结报告，完善应急救援工作方案。</w:t>
            </w:r>
          </w:p>
        </w:tc>
      </w:tr>
    </w:tbl>
    <w:p w14:paraId="40103EEB">
      <w:bookmarkStart w:id="0" w:name="_GoBack"/>
      <w:bookmarkEnd w:id="0"/>
    </w:p>
    <w:sectPr>
      <w:head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1A4C70">
    <w:pPr>
      <w:widowControl w:val="0"/>
      <w:pBdr>
        <w:bottom w:val="none" w:color="auto" w:sz="0" w:space="1"/>
      </w:pBdr>
      <w:tabs>
        <w:tab w:val="center" w:pos="4153"/>
        <w:tab w:val="right" w:pos="8306"/>
      </w:tabs>
      <w:snapToGrid w:val="0"/>
      <w:ind w:firstLine="420" w:firstLineChars="200"/>
      <w:jc w:val="both"/>
      <w:rPr>
        <w:rFonts w:ascii="Calibri" w:hAnsi="Calibri" w:eastAsia="宋体" w:cs="Times New Roman"/>
        <w:kern w:val="2"/>
        <w:sz w:val="21"/>
        <w:szCs w:val="21"/>
        <w:lang w:val="en-US" w:eastAsia="zh-CN" w:bidi="ar-S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713638">
    <w:pPr>
      <w:widowControl w:val="0"/>
      <w:pBdr>
        <w:bottom w:val="none" w:color="auto" w:sz="0" w:space="1"/>
      </w:pBdr>
      <w:tabs>
        <w:tab w:val="center" w:pos="4153"/>
        <w:tab w:val="right" w:pos="8306"/>
      </w:tabs>
      <w:snapToGrid w:val="0"/>
      <w:ind w:firstLine="420" w:firstLineChars="200"/>
      <w:jc w:val="both"/>
      <w:rPr>
        <w:rFonts w:ascii="Calibri" w:hAnsi="Calibri" w:eastAsia="宋体" w:cs="Times New Roman"/>
        <w:kern w:val="2"/>
        <w:sz w:val="21"/>
        <w:szCs w:val="21"/>
        <w:lang w:val="en-US" w:eastAsia="zh-CN" w:bidi="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AABE42"/>
    <w:multiLevelType w:val="singleLevel"/>
    <w:tmpl w:val="90AABE42"/>
    <w:lvl w:ilvl="0" w:tentative="0">
      <w:start w:val="1"/>
      <w:numFmt w:val="decimal"/>
      <w:suff w:val="nothing"/>
      <w:lvlText w:val="（%1）"/>
      <w:lvlJc w:val="left"/>
    </w:lvl>
  </w:abstractNum>
  <w:abstractNum w:abstractNumId="1">
    <w:nsid w:val="969E4940"/>
    <w:multiLevelType w:val="singleLevel"/>
    <w:tmpl w:val="969E4940"/>
    <w:lvl w:ilvl="0" w:tentative="0">
      <w:start w:val="1"/>
      <w:numFmt w:val="decimal"/>
      <w:suff w:val="nothing"/>
      <w:lvlText w:val="（%1）"/>
      <w:lvlJc w:val="left"/>
      <w:rPr>
        <w:rFonts w:hint="default"/>
        <w:highlight w:val="none"/>
      </w:rPr>
    </w:lvl>
  </w:abstractNum>
  <w:abstractNum w:abstractNumId="2">
    <w:nsid w:val="D971FA59"/>
    <w:multiLevelType w:val="singleLevel"/>
    <w:tmpl w:val="D971FA59"/>
    <w:lvl w:ilvl="0" w:tentative="0">
      <w:start w:val="1"/>
      <w:numFmt w:val="decimal"/>
      <w:suff w:val="nothing"/>
      <w:lvlText w:val="（%1）"/>
      <w:lvlJc w:val="left"/>
    </w:lvl>
  </w:abstractNum>
  <w:abstractNum w:abstractNumId="3">
    <w:nsid w:val="0C3DD0D7"/>
    <w:multiLevelType w:val="singleLevel"/>
    <w:tmpl w:val="0C3DD0D7"/>
    <w:lvl w:ilvl="0" w:tentative="0">
      <w:start w:val="12"/>
      <w:numFmt w:val="chineseCounting"/>
      <w:suff w:val="space"/>
      <w:lvlText w:val="第%1条"/>
      <w:lvlJc w:val="left"/>
      <w:rPr>
        <w:rFonts w:hint="eastAsia"/>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A404B3"/>
    <w:rsid w:val="78A404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2026-07-18T06:11:00Z</dcterms:created>
  <dc:creator>yangj</dc:creator>
  <cp:lastModifiedBy>yangj</cp:lastModifiedBy>
  <dcterms:modified xsi:type="dcterms:W3CDTF">2026-07-18T06:12:41Z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FD47E50F397443FC8AA3C1B2F3214B8F_11</vt:lpwstr>
  </property>
  <property fmtid="{D5CDD505-2E9C-101B-9397-08002B2CF9AE}" pid="4" name="KSOTemplateDocerSaveRecord">
    <vt:lpwstr>eyJoZGlkIjoiMzEwNTM5NzYwMDRjMzkwZTVkZjY2ODkwMGIxNGU0OTUiLCJ1c2VySWQiOiIyNDY3MTk5MTgifQ==</vt:lpwstr>
  </property>
</Properties>
</file>