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版本号：ZX2026-04-7420260513001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2026年陕西省文旅产业运行监测与应急指挥平台运维服务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ZX2026-04-74</w:t>
      </w:r>
      <w:r>
        <w:br/>
      </w:r>
      <w:r>
        <w:br/>
      </w:r>
      <w:r>
        <w:br/>
      </w:r>
    </w:p>
    <w:p>
      <w:pPr>
        <w:pStyle w:val="null3"/>
        <w:jc w:val="center"/>
        <w:outlineLvl w:val="2"/>
      </w:pPr>
      <w:r>
        <w:rPr>
          <w:rFonts w:ascii="仿宋_GB2312" w:hAnsi="仿宋_GB2312" w:cs="仿宋_GB2312" w:eastAsia="仿宋_GB2312"/>
          <w:sz w:val="28"/>
          <w:b/>
        </w:rPr>
        <w:t>陕西省文化和旅游数据中心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陕西省文化和旅游数据中心</w:t>
      </w:r>
      <w:r>
        <w:rPr>
          <w:rFonts w:ascii="仿宋_GB2312" w:hAnsi="仿宋_GB2312" w:cs="仿宋_GB2312" w:eastAsia="仿宋_GB2312"/>
        </w:rPr>
        <w:t>委托，拟对</w:t>
      </w:r>
      <w:r>
        <w:rPr>
          <w:rFonts w:ascii="仿宋_GB2312" w:hAnsi="仿宋_GB2312" w:cs="仿宋_GB2312" w:eastAsia="仿宋_GB2312"/>
        </w:rPr>
        <w:t>2026年陕西省文旅产业运行监测与应急指挥平台运维服务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ZX2026-04-74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2026年陕西省文旅产业运行监测与应急指挥平台运维服务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2026年陕西省文旅产业运行监测与应急指挥平台运维服务，具体详见磋商文件第3章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采购包1（2026年陕西省文旅产业运行监测与应急指挥平台运维服务）：属于专门面向中小企业采购。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陕西省文化和旅游数据中心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西安市新城区西一路197号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029-87272391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采购包1：941,300.00元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采购包1保证金金额：14,740.00元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陕西省文化和旅游数据中心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陕西省文化和旅游数据中心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陕西省文化和旅游数据中心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祁鑫</w:t>
      </w:r>
    </w:p>
    <w:p>
      <w:pPr>
        <w:pStyle w:val="null3"/>
      </w:pPr>
      <w:r>
        <w:rPr>
          <w:rFonts w:ascii="仿宋_GB2312" w:hAnsi="仿宋_GB2312" w:cs="仿宋_GB2312" w:eastAsia="仿宋_GB2312"/>
        </w:rPr>
        <w:t>联系电话：029-88110800转8032（邮箱号：438904813@qq.com）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2026年陕西省文旅产业运行监测与应急指挥平台运维服务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941,300.00</w:t>
      </w:r>
    </w:p>
    <w:p>
      <w:pPr>
        <w:pStyle w:val="null3"/>
      </w:pPr>
      <w:r>
        <w:rPr>
          <w:rFonts w:ascii="仿宋_GB2312" w:hAnsi="仿宋_GB2312" w:cs="仿宋_GB2312" w:eastAsia="仿宋_GB2312"/>
        </w:rPr>
        <w:t>采购包最高限价（元）: 941,300.00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2026年陕西省文旅产业运行监测与应急指挥平台运维服务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941,300.00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标的名称：2026年陕西省文旅产业运行监测与应急指挥平台运维服务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b/>
              </w:rPr>
              <w:t>一、项目内容及目标</w:t>
            </w:r>
          </w:p>
          <w:p>
            <w:pPr>
              <w:pStyle w:val="null3"/>
              <w:ind w:firstLine="400"/>
              <w:jc w:val="both"/>
            </w:pPr>
            <w:r>
              <w:rPr>
                <w:rFonts w:ascii="仿宋_GB2312" w:hAnsi="仿宋_GB2312" w:cs="仿宋_GB2312" w:eastAsia="仿宋_GB2312"/>
                <w:sz w:val="20"/>
              </w:rPr>
              <w:t>对陕西省文旅产业运行监测与应急指挥平台进行运维保障、人员驻场、数据采集系统接口对接以及其他系统服务（视频会议服务、视频通道服务、短信服务）等内容。主要是强化陕西省文旅产业运行监测与应急指挥平台运维，确保平台正常、稳定、安全、高效的运行。</w:t>
            </w:r>
          </w:p>
          <w:p>
            <w:pPr>
              <w:pStyle w:val="null3"/>
              <w:ind w:firstLine="400"/>
            </w:pPr>
            <w:r>
              <w:rPr>
                <w:rFonts w:ascii="仿宋_GB2312" w:hAnsi="仿宋_GB2312" w:cs="仿宋_GB2312" w:eastAsia="仿宋_GB2312"/>
                <w:sz w:val="20"/>
                <w:b/>
              </w:rPr>
              <w:t>二、服务内容</w:t>
            </w:r>
          </w:p>
          <w:p>
            <w:pPr>
              <w:pStyle w:val="null3"/>
              <w:ind w:firstLine="400"/>
            </w:pPr>
            <w:r>
              <w:rPr>
                <w:rFonts w:ascii="仿宋_GB2312" w:hAnsi="仿宋_GB2312" w:cs="仿宋_GB2312" w:eastAsia="仿宋_GB2312"/>
                <w:sz w:val="20"/>
                <w:b/>
              </w:rPr>
              <w:t>（一）系统运维服务</w:t>
            </w:r>
          </w:p>
          <w:p>
            <w:pPr>
              <w:pStyle w:val="null3"/>
              <w:ind w:firstLine="400"/>
            </w:pPr>
            <w:r>
              <w:rPr>
                <w:rFonts w:ascii="仿宋_GB2312" w:hAnsi="仿宋_GB2312" w:cs="仿宋_GB2312" w:eastAsia="仿宋_GB2312"/>
                <w:sz w:val="20"/>
                <w:b/>
              </w:rPr>
              <w:t>1.</w:t>
            </w:r>
            <w:r>
              <w:rPr>
                <w:rFonts w:ascii="仿宋_GB2312" w:hAnsi="仿宋_GB2312" w:cs="仿宋_GB2312" w:eastAsia="仿宋_GB2312"/>
                <w:sz w:val="20"/>
                <w:b/>
              </w:rPr>
              <w:t>平台运维服务</w:t>
            </w:r>
          </w:p>
          <w:p>
            <w:pPr>
              <w:pStyle w:val="null3"/>
              <w:ind w:firstLine="400"/>
              <w:jc w:val="both"/>
            </w:pPr>
            <w:r>
              <w:rPr>
                <w:rFonts w:ascii="仿宋_GB2312" w:hAnsi="仿宋_GB2312" w:cs="仿宋_GB2312" w:eastAsia="仿宋_GB2312"/>
                <w:sz w:val="20"/>
              </w:rPr>
              <w:t>提供面向陕西省文旅产业运行监测与应急指挥平台的运维服务。其中，平台运维保障服务涵盖平台日常运维、小版本迭代升级与优化、节假日值班支持等工作；针对平台中的国标平台、中控平台的运维保障服务，包括各平台的运维保障、小版本迭代升级与优化等工作，以确保各平台全周期稳定运行。</w:t>
            </w:r>
          </w:p>
          <w:p>
            <w:pPr>
              <w:pStyle w:val="null3"/>
              <w:ind w:firstLine="400"/>
            </w:pPr>
            <w:r>
              <w:rPr>
                <w:rFonts w:ascii="仿宋_GB2312" w:hAnsi="仿宋_GB2312" w:cs="仿宋_GB2312" w:eastAsia="仿宋_GB2312"/>
                <w:sz w:val="20"/>
                <w:b/>
              </w:rPr>
              <w:t>2.</w:t>
            </w:r>
            <w:r>
              <w:rPr>
                <w:rFonts w:ascii="仿宋_GB2312" w:hAnsi="仿宋_GB2312" w:cs="仿宋_GB2312" w:eastAsia="仿宋_GB2312"/>
                <w:sz w:val="20"/>
                <w:b/>
              </w:rPr>
              <w:t>人员驻场</w:t>
            </w:r>
          </w:p>
          <w:p>
            <w:pPr>
              <w:pStyle w:val="null3"/>
              <w:ind w:firstLine="400"/>
              <w:jc w:val="both"/>
            </w:pPr>
            <w:r>
              <w:rPr>
                <w:rFonts w:ascii="仿宋_GB2312" w:hAnsi="仿宋_GB2312" w:cs="仿宋_GB2312" w:eastAsia="仿宋_GB2312"/>
                <w:sz w:val="20"/>
              </w:rPr>
              <w:t>提供1名专业的技术工程师驻场服务，服务内容包括配合对陕西省文旅产业运行监测与应急指挥平台进行系统、数据、运维方面的工作支持，辅助完成平台相关各类工作。</w:t>
            </w:r>
          </w:p>
          <w:p>
            <w:pPr>
              <w:pStyle w:val="null3"/>
              <w:ind w:firstLine="400"/>
            </w:pPr>
            <w:r>
              <w:rPr>
                <w:rFonts w:ascii="仿宋_GB2312" w:hAnsi="仿宋_GB2312" w:cs="仿宋_GB2312" w:eastAsia="仿宋_GB2312"/>
                <w:sz w:val="20"/>
                <w:b/>
              </w:rPr>
              <w:t>（二）其他运维</w:t>
            </w:r>
          </w:p>
          <w:p>
            <w:pPr>
              <w:pStyle w:val="null3"/>
              <w:ind w:firstLine="400"/>
            </w:pPr>
            <w:r>
              <w:rPr>
                <w:rFonts w:ascii="仿宋_GB2312" w:hAnsi="仿宋_GB2312" w:cs="仿宋_GB2312" w:eastAsia="仿宋_GB2312"/>
                <w:sz w:val="20"/>
                <w:b/>
              </w:rPr>
              <w:t>1.</w:t>
            </w:r>
            <w:r>
              <w:rPr>
                <w:rFonts w:ascii="仿宋_GB2312" w:hAnsi="仿宋_GB2312" w:cs="仿宋_GB2312" w:eastAsia="仿宋_GB2312"/>
                <w:sz w:val="20"/>
                <w:b/>
              </w:rPr>
              <w:t>视频会议服务</w:t>
            </w:r>
          </w:p>
          <w:p>
            <w:pPr>
              <w:pStyle w:val="null3"/>
              <w:ind w:firstLine="400"/>
              <w:jc w:val="both"/>
            </w:pPr>
            <w:r>
              <w:rPr>
                <w:rFonts w:ascii="仿宋_GB2312" w:hAnsi="仿宋_GB2312" w:cs="仿宋_GB2312" w:eastAsia="仿宋_GB2312"/>
                <w:sz w:val="20"/>
              </w:rPr>
              <w:t>按照系统视频会议需求提供全周期视频会议服务，支持300人同时参会、50人同时打开摄像头，保障平台视频会议功能正常使用。</w:t>
            </w:r>
          </w:p>
          <w:p>
            <w:pPr>
              <w:pStyle w:val="null3"/>
              <w:ind w:firstLine="400"/>
            </w:pPr>
            <w:r>
              <w:rPr>
                <w:rFonts w:ascii="仿宋_GB2312" w:hAnsi="仿宋_GB2312" w:cs="仿宋_GB2312" w:eastAsia="仿宋_GB2312"/>
                <w:sz w:val="20"/>
                <w:b/>
              </w:rPr>
              <w:t>2.</w:t>
            </w:r>
            <w:r>
              <w:rPr>
                <w:rFonts w:ascii="仿宋_GB2312" w:hAnsi="仿宋_GB2312" w:cs="仿宋_GB2312" w:eastAsia="仿宋_GB2312"/>
                <w:sz w:val="20"/>
                <w:b/>
              </w:rPr>
              <w:t>数据采集系统对接服务</w:t>
            </w:r>
          </w:p>
          <w:p>
            <w:pPr>
              <w:pStyle w:val="null3"/>
              <w:ind w:firstLine="400"/>
              <w:jc w:val="both"/>
            </w:pPr>
            <w:r>
              <w:rPr>
                <w:rFonts w:ascii="仿宋_GB2312" w:hAnsi="仿宋_GB2312" w:cs="仿宋_GB2312" w:eastAsia="仿宋_GB2312"/>
                <w:sz w:val="20"/>
              </w:rPr>
              <w:t>对接陕西部分团队数据服务，支持进行团队数据的维护。</w:t>
            </w:r>
          </w:p>
          <w:p>
            <w:pPr>
              <w:pStyle w:val="null3"/>
              <w:ind w:firstLine="400"/>
            </w:pPr>
            <w:r>
              <w:rPr>
                <w:rFonts w:ascii="仿宋_GB2312" w:hAnsi="仿宋_GB2312" w:cs="仿宋_GB2312" w:eastAsia="仿宋_GB2312"/>
                <w:sz w:val="20"/>
                <w:b/>
              </w:rPr>
              <w:t>3.</w:t>
            </w:r>
            <w:r>
              <w:rPr>
                <w:rFonts w:ascii="仿宋_GB2312" w:hAnsi="仿宋_GB2312" w:cs="仿宋_GB2312" w:eastAsia="仿宋_GB2312"/>
                <w:sz w:val="20"/>
                <w:b/>
              </w:rPr>
              <w:t>视频通道服务</w:t>
            </w:r>
          </w:p>
          <w:p>
            <w:pPr>
              <w:pStyle w:val="null3"/>
              <w:ind w:firstLine="400"/>
              <w:jc w:val="both"/>
            </w:pPr>
            <w:r>
              <w:rPr>
                <w:rFonts w:ascii="仿宋_GB2312" w:hAnsi="仿宋_GB2312" w:cs="仿宋_GB2312" w:eastAsia="仿宋_GB2312"/>
                <w:sz w:val="20"/>
              </w:rPr>
              <w:t>对平台的3000路视频通道进行运维保障服务，确保视频通道功能达标、运行稳定。</w:t>
            </w:r>
          </w:p>
          <w:p>
            <w:pPr>
              <w:pStyle w:val="null3"/>
              <w:ind w:firstLine="400"/>
            </w:pPr>
            <w:r>
              <w:rPr>
                <w:rFonts w:ascii="仿宋_GB2312" w:hAnsi="仿宋_GB2312" w:cs="仿宋_GB2312" w:eastAsia="仿宋_GB2312"/>
                <w:sz w:val="20"/>
                <w:b/>
              </w:rPr>
              <w:t>4.</w:t>
            </w:r>
            <w:r>
              <w:rPr>
                <w:rFonts w:ascii="仿宋_GB2312" w:hAnsi="仿宋_GB2312" w:cs="仿宋_GB2312" w:eastAsia="仿宋_GB2312"/>
                <w:sz w:val="20"/>
                <w:b/>
              </w:rPr>
              <w:t>短信服务</w:t>
            </w:r>
          </w:p>
          <w:p>
            <w:pPr>
              <w:pStyle w:val="null3"/>
              <w:ind w:firstLine="400"/>
              <w:jc w:val="both"/>
            </w:pPr>
            <w:r>
              <w:rPr>
                <w:rFonts w:ascii="仿宋_GB2312" w:hAnsi="仿宋_GB2312" w:cs="仿宋_GB2312" w:eastAsia="仿宋_GB2312"/>
                <w:sz w:val="20"/>
              </w:rPr>
              <w:t>提供平台的短信服务，用于平台登录、参会、业务通知等各类业务场景下的短信发送需求，保障短信服务全周期正常可用。</w:t>
            </w:r>
          </w:p>
          <w:p>
            <w:pPr>
              <w:pStyle w:val="null3"/>
              <w:ind w:firstLine="400"/>
            </w:pPr>
            <w:r>
              <w:rPr>
                <w:rFonts w:ascii="仿宋_GB2312" w:hAnsi="仿宋_GB2312" w:cs="仿宋_GB2312" w:eastAsia="仿宋_GB2312"/>
                <w:sz w:val="20"/>
                <w:b/>
              </w:rPr>
              <w:t>5.</w:t>
            </w:r>
            <w:r>
              <w:rPr>
                <w:rFonts w:ascii="仿宋_GB2312" w:hAnsi="仿宋_GB2312" w:cs="仿宋_GB2312" w:eastAsia="仿宋_GB2312"/>
                <w:sz w:val="20"/>
                <w:b/>
              </w:rPr>
              <w:t>客流数据质量管理</w:t>
            </w:r>
          </w:p>
          <w:p>
            <w:pPr>
              <w:pStyle w:val="null3"/>
              <w:ind w:firstLine="400"/>
              <w:jc w:val="both"/>
            </w:pPr>
            <w:r>
              <w:rPr>
                <w:rFonts w:ascii="仿宋_GB2312" w:hAnsi="仿宋_GB2312" w:cs="仿宋_GB2312" w:eastAsia="仿宋_GB2312"/>
                <w:sz w:val="20"/>
              </w:rPr>
              <w:t>对平台接入的客流数据质量进行监控，按照数据标准对客流数据进行分类、标记，并在前端进行展示，对异常数据进行短信通知。</w:t>
            </w:r>
          </w:p>
          <w:p>
            <w:pPr>
              <w:pStyle w:val="null3"/>
              <w:ind w:firstLine="400"/>
            </w:pPr>
            <w:r>
              <w:rPr>
                <w:rFonts w:ascii="仿宋_GB2312" w:hAnsi="仿宋_GB2312" w:cs="仿宋_GB2312" w:eastAsia="仿宋_GB2312"/>
                <w:sz w:val="20"/>
                <w:b/>
              </w:rPr>
              <w:t>三、交付及服务期限</w:t>
            </w:r>
          </w:p>
          <w:p>
            <w:pPr>
              <w:pStyle w:val="null3"/>
              <w:ind w:firstLine="400"/>
            </w:pPr>
            <w:r>
              <w:rPr>
                <w:rFonts w:ascii="仿宋_GB2312" w:hAnsi="仿宋_GB2312" w:cs="仿宋_GB2312" w:eastAsia="仿宋_GB2312"/>
                <w:sz w:val="20"/>
                <w:b/>
              </w:rPr>
              <w:t>1.</w:t>
            </w:r>
            <w:r>
              <w:rPr>
                <w:rFonts w:ascii="仿宋_GB2312" w:hAnsi="仿宋_GB2312" w:cs="仿宋_GB2312" w:eastAsia="仿宋_GB2312"/>
                <w:sz w:val="20"/>
                <w:b/>
              </w:rPr>
              <w:t>交付</w:t>
            </w:r>
          </w:p>
          <w:p>
            <w:pPr>
              <w:pStyle w:val="null3"/>
              <w:ind w:firstLine="400"/>
              <w:jc w:val="both"/>
            </w:pPr>
            <w:r>
              <w:rPr>
                <w:rFonts w:ascii="仿宋_GB2312" w:hAnsi="仿宋_GB2312" w:cs="仿宋_GB2312" w:eastAsia="仿宋_GB2312"/>
                <w:sz w:val="20"/>
              </w:rPr>
              <w:t>本次项目主要为保障系统稳定运行的系统运维服务、人员驻场服务、数据采集系统接口服务和其他系统服务，项目交付周期为30日历天，验收前需要核验各项服务提供的内容。</w:t>
            </w:r>
          </w:p>
          <w:p>
            <w:pPr>
              <w:pStyle w:val="null3"/>
              <w:ind w:firstLine="400"/>
            </w:pPr>
            <w:r>
              <w:rPr>
                <w:rFonts w:ascii="仿宋_GB2312" w:hAnsi="仿宋_GB2312" w:cs="仿宋_GB2312" w:eastAsia="仿宋_GB2312"/>
                <w:sz w:val="20"/>
                <w:b/>
              </w:rPr>
              <w:t>2.服务内容周期</w:t>
            </w:r>
          </w:p>
          <w:tbl>
            <w:tblPr>
              <w:tblBorders>
                <w:top w:val="none" w:color="000000" w:sz="4"/>
                <w:left w:val="none" w:color="000000" w:sz="4"/>
                <w:bottom w:val="none" w:color="000000" w:sz="4"/>
                <w:right w:val="none" w:color="000000" w:sz="4"/>
                <w:insideH w:val="none"/>
                <w:insideV w:val="none"/>
              </w:tblBorders>
            </w:tblPr>
            <w:tblGrid>
              <w:gridCol w:w="395"/>
              <w:gridCol w:w="210"/>
              <w:gridCol w:w="342"/>
              <w:gridCol w:w="1315"/>
              <w:gridCol w:w="289"/>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项目</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模块</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服务内容</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详细描述</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服务</w:t>
                  </w:r>
                </w:p>
                <w:p>
                  <w:pPr>
                    <w:pStyle w:val="null3"/>
                    <w:jc w:val="center"/>
                  </w:pPr>
                  <w:r>
                    <w:rPr>
                      <w:rFonts w:ascii="仿宋_GB2312" w:hAnsi="仿宋_GB2312" w:cs="仿宋_GB2312" w:eastAsia="仿宋_GB2312"/>
                      <w:sz w:val="18"/>
                      <w:b/>
                    </w:rPr>
                    <w:t>周期</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2026</w:t>
                  </w:r>
                  <w:r>
                    <w:rPr>
                      <w:rFonts w:ascii="仿宋_GB2312" w:hAnsi="仿宋_GB2312" w:cs="仿宋_GB2312" w:eastAsia="仿宋_GB2312"/>
                      <w:sz w:val="18"/>
                      <w:b/>
                    </w:rPr>
                    <w:t>年陕西省文旅产业运行监测与应急指挥平台运维服务</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系统运维</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平台运维服务</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b/>
                      <w:color w:val="000000"/>
                    </w:rPr>
                    <w:t>对省文旅监测平台的运维保障服务，包括小版本的迭代升级和优化，节假日值班支持。</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12</w:t>
                  </w:r>
                  <w:r>
                    <w:rPr>
                      <w:rFonts w:ascii="仿宋_GB2312" w:hAnsi="仿宋_GB2312" w:cs="仿宋_GB2312" w:eastAsia="仿宋_GB2312"/>
                      <w:sz w:val="18"/>
                      <w:b/>
                    </w:rPr>
                    <w:t>个月</w:t>
                  </w:r>
                </w:p>
              </w:tc>
            </w:tr>
            <w:tr>
              <w:tc>
                <w:tcPr>
                  <w:tcW w:type="dxa" w:w="395"/>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b/>
                      <w:color w:val="000000"/>
                    </w:rPr>
                    <w:t>对平台中的国标平台、中控平台、数据治理平台的运维保障服务，包括小版本的迭代升级和优化。</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19</w:t>
                  </w:r>
                  <w:r>
                    <w:rPr>
                      <w:rFonts w:ascii="仿宋_GB2312" w:hAnsi="仿宋_GB2312" w:cs="仿宋_GB2312" w:eastAsia="仿宋_GB2312"/>
                      <w:sz w:val="18"/>
                    </w:rPr>
                    <w:t>个月</w:t>
                  </w:r>
                </w:p>
              </w:tc>
            </w:tr>
            <w:tr>
              <w:tc>
                <w:tcPr>
                  <w:tcW w:type="dxa" w:w="395"/>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人员驻场服务</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b/>
                      <w:color w:val="000000"/>
                    </w:rPr>
                    <w:t>安排一名驻场人员（技术工程师）提供驻场服务，配合进行系统、数据、运维方面的工作支持。</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12</w:t>
                  </w:r>
                  <w:r>
                    <w:rPr>
                      <w:rFonts w:ascii="仿宋_GB2312" w:hAnsi="仿宋_GB2312" w:cs="仿宋_GB2312" w:eastAsia="仿宋_GB2312"/>
                      <w:sz w:val="18"/>
                      <w:b/>
                    </w:rPr>
                    <w:t>个月</w:t>
                  </w:r>
                </w:p>
              </w:tc>
            </w:tr>
            <w:tr>
              <w:tc>
                <w:tcPr>
                  <w:tcW w:type="dxa" w:w="395"/>
                  <w:vMerge/>
                  <w:tcBorders>
                    <w:top w:val="none" w:color="000000" w:sz="4"/>
                    <w:left w:val="single" w:color="000000" w:sz="4"/>
                    <w:bottom w:val="single" w:color="000000" w:sz="4"/>
                    <w:right w:val="single" w:color="000000" w:sz="4"/>
                  </w:tcBorders>
                </w:tcP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其他运维</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视频会议服务</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b/>
                      <w:color w:val="000000"/>
                    </w:rPr>
                    <w:t>按照系统视频会议需求提供全周期视频会议服务，支持300人同时参会、50人同时打开摄像头。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12</w:t>
                  </w:r>
                  <w:r>
                    <w:rPr>
                      <w:rFonts w:ascii="仿宋_GB2312" w:hAnsi="仿宋_GB2312" w:cs="仿宋_GB2312" w:eastAsia="仿宋_GB2312"/>
                      <w:sz w:val="18"/>
                      <w:b/>
                    </w:rPr>
                    <w:t>个月</w:t>
                  </w:r>
                </w:p>
              </w:tc>
            </w:tr>
            <w:tr>
              <w:tc>
                <w:tcPr>
                  <w:tcW w:type="dxa" w:w="395"/>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数据采集系统接口对接服务</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b/>
                    </w:rPr>
                    <w:t>数据采集系统接口服务费用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12</w:t>
                  </w:r>
                  <w:r>
                    <w:rPr>
                      <w:rFonts w:ascii="仿宋_GB2312" w:hAnsi="仿宋_GB2312" w:cs="仿宋_GB2312" w:eastAsia="仿宋_GB2312"/>
                      <w:sz w:val="18"/>
                      <w:b/>
                    </w:rPr>
                    <w:t>个月</w:t>
                  </w:r>
                </w:p>
              </w:tc>
            </w:tr>
            <w:tr>
              <w:tc>
                <w:tcPr>
                  <w:tcW w:type="dxa" w:w="395"/>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视频通道服务</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b/>
                      <w:color w:val="000000"/>
                    </w:rPr>
                    <w:t>3000</w:t>
                  </w:r>
                  <w:r>
                    <w:rPr>
                      <w:rFonts w:ascii="仿宋_GB2312" w:hAnsi="仿宋_GB2312" w:cs="仿宋_GB2312" w:eastAsia="仿宋_GB2312"/>
                      <w:sz w:val="18"/>
                      <w:b/>
                      <w:color w:val="000000"/>
                    </w:rPr>
                    <w:t>个视频通道的授权费用。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12</w:t>
                  </w:r>
                  <w:r>
                    <w:rPr>
                      <w:rFonts w:ascii="仿宋_GB2312" w:hAnsi="仿宋_GB2312" w:cs="仿宋_GB2312" w:eastAsia="仿宋_GB2312"/>
                      <w:sz w:val="18"/>
                      <w:b/>
                    </w:rPr>
                    <w:t>个月</w:t>
                  </w:r>
                </w:p>
              </w:tc>
            </w:tr>
            <w:tr>
              <w:tc>
                <w:tcPr>
                  <w:tcW w:type="dxa" w:w="395"/>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短信服务</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b/>
                      <w:color w:val="000000"/>
                    </w:rPr>
                    <w:t>平台登录、参会、业务通知等各类业务场景下的短信发送服务</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12</w:t>
                  </w:r>
                  <w:r>
                    <w:rPr>
                      <w:rFonts w:ascii="仿宋_GB2312" w:hAnsi="仿宋_GB2312" w:cs="仿宋_GB2312" w:eastAsia="仿宋_GB2312"/>
                      <w:sz w:val="18"/>
                      <w:b/>
                    </w:rPr>
                    <w:t>个月</w:t>
                  </w:r>
                </w:p>
              </w:tc>
            </w:tr>
            <w:tr>
              <w:tc>
                <w:tcPr>
                  <w:tcW w:type="dxa" w:w="395"/>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客流数据质量管理</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b/>
                      <w:color w:val="000000"/>
                    </w:rPr>
                    <w:t>数据质量分类；</w:t>
                  </w:r>
                </w:p>
                <w:p>
                  <w:pPr>
                    <w:pStyle w:val="null3"/>
                    <w:jc w:val="left"/>
                  </w:pPr>
                  <w:r>
                    <w:rPr>
                      <w:rFonts w:ascii="仿宋_GB2312" w:hAnsi="仿宋_GB2312" w:cs="仿宋_GB2312" w:eastAsia="仿宋_GB2312"/>
                      <w:sz w:val="18"/>
                      <w:b/>
                      <w:color w:val="000000"/>
                    </w:rPr>
                    <w:t>数据类型展示；</w:t>
                  </w:r>
                </w:p>
                <w:p>
                  <w:pPr>
                    <w:pStyle w:val="null3"/>
                    <w:jc w:val="left"/>
                  </w:pPr>
                  <w:r>
                    <w:rPr>
                      <w:rFonts w:ascii="仿宋_GB2312" w:hAnsi="仿宋_GB2312" w:cs="仿宋_GB2312" w:eastAsia="仿宋_GB2312"/>
                      <w:sz w:val="18"/>
                      <w:b/>
                      <w:color w:val="000000"/>
                    </w:rPr>
                    <w:t>数据异常通知。</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12</w:t>
                  </w:r>
                  <w:r>
                    <w:rPr>
                      <w:rFonts w:ascii="仿宋_GB2312" w:hAnsi="仿宋_GB2312" w:cs="仿宋_GB2312" w:eastAsia="仿宋_GB2312"/>
                      <w:sz w:val="18"/>
                      <w:b/>
                    </w:rPr>
                    <w:t>个月</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1、项目交付周期为30日历天； 2、项目服务周期为12个月，其中平台运维服务中“对平台中的国标平台、中控平台、数据治理平台的运维保障服务，包括小版本的迭代升级和优化”为19个月，详细时间节点以合同为准。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陕西省文化和旅游数据中心指定地点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项目验收合格后，具体以合同约定为准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10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(1)磋商响应文件未按照磋商文件规定要求签署、盖章的；(2)不满足本磋商文件中“服务期限、服务地点、采购资金的支付方式及约定”实质性条款要求的；(3)响应文件有效期不足的或无有效期的；(4)报价超过磋商文件中规定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13其他资料.docx 中小企业声明函 残疾人福利性单位声明函 服务响应偏离表.docx 承诺书.docx 商务部分偏离表.docx 响应函 监狱企业的证明文件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整体运维服务方案</w:t>
            </w:r>
          </w:p>
        </w:tc>
        <w:tc>
          <w:tcPr>
            <w:tcW w:type="dxa" w:w="2492"/>
          </w:tcPr>
          <w:p>
            <w:pPr>
              <w:pStyle w:val="null3"/>
            </w:pPr>
            <w:r>
              <w:rPr>
                <w:rFonts w:ascii="仿宋_GB2312" w:hAnsi="仿宋_GB2312" w:cs="仿宋_GB2312" w:eastAsia="仿宋_GB2312"/>
              </w:rPr>
              <w:t>供应商对本项目提供完整详细的运维服务方案。至少包含①运维目标②运维思路③运维特点④运维服务内容⑤数据采集系统接口对接。 符合采购需求，无瑕疵：12分； 方案内容存在1处瑕疵扣1分； 未提供方案或内容存在12处及以上瑕疵：0分。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1整体运维服务方案.docx</w:t>
            </w:r>
          </w:p>
        </w:tc>
      </w:tr>
      <w:tr>
        <w:tc>
          <w:tcPr>
            <w:tcW w:type="dxa" w:w="831"/>
            <w:vMerge/>
          </w:tcPr>
          <w:p/>
        </w:tc>
        <w:tc>
          <w:tcPr>
            <w:tcW w:type="dxa" w:w="1661"/>
          </w:tcPr>
          <w:p>
            <w:pPr>
              <w:pStyle w:val="null3"/>
            </w:pPr>
            <w:r>
              <w:rPr>
                <w:rFonts w:ascii="仿宋_GB2312" w:hAnsi="仿宋_GB2312" w:cs="仿宋_GB2312" w:eastAsia="仿宋_GB2312"/>
              </w:rPr>
              <w:t>平台运维能力</w:t>
            </w:r>
          </w:p>
        </w:tc>
        <w:tc>
          <w:tcPr>
            <w:tcW w:type="dxa" w:w="2492"/>
          </w:tcPr>
          <w:p>
            <w:pPr>
              <w:pStyle w:val="null3"/>
            </w:pPr>
            <w:r>
              <w:rPr>
                <w:rFonts w:ascii="仿宋_GB2312" w:hAnsi="仿宋_GB2312" w:cs="仿宋_GB2312" w:eastAsia="仿宋_GB2312"/>
              </w:rPr>
              <w:t>供应商针对本项目提供平台运维能力，至少包括：①日常运维②小版本迭代升级与优化③节假日值班④安全维护⑤其他运维服务。 符合采购需求，无瑕疵：12分； 方案内容存在1处瑕疵扣1分； 未提供方案或内容存在12处及以上瑕疵：0分。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2平台运维能力.docx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结合本项目要求阐述运维服务质量保障措施。至少包含①质量把控措施②过程质量管理③结果保障方案④进度计划保障。 符合采购需求，无瑕疵：10分； 方案内容存在1处瑕疵扣1分； 未提供方案或内容存在10处及以上瑕疵：0分。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3质量保证措施.docx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供应商针对本项目提供工作制度方案，至少包含：①工作流程②工作机制③流程规范④项目组织管理。 满足项目实施要求，无瑕疵计8分； 每存在一处瑕疵，扣1分； 上述内容均未提供或内容存在8处及以上瑕疵不计分。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4工作制度.docx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针对本次项目实施过程中的重点、难点分析，至少包含①重点、难点分析②解决措施及方案。 符合采购需求，无瑕疵：4分； 方案内容存在1处瑕疵扣1分； 未提供方案或内容存在4处及以上瑕疵：0分。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5重难点分析.docx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提供针对本项目的人员配置方案（含驻场技术工程师），至少包括：①拟投入的服务团队人员数量及清单②人员分工及职责划分③人员专业性及工作经验（需提供学历证明、从业经验、相关证书等证明材料）。 符合采购需求，无瑕疵：10分； 方案内容存在1处瑕疵扣1分； 未提供方案或内容存在10处及以上瑕疵：0分。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6团队人员.docx</w:t>
            </w:r>
          </w:p>
        </w:tc>
      </w:tr>
      <w:tr>
        <w:tc>
          <w:tcPr>
            <w:tcW w:type="dxa" w:w="831"/>
            <w:vMerge/>
          </w:tcPr>
          <w:p/>
        </w:tc>
        <w:tc>
          <w:tcPr>
            <w:tcW w:type="dxa" w:w="1661"/>
          </w:tcPr>
          <w:p>
            <w:pPr>
              <w:pStyle w:val="null3"/>
            </w:pPr>
            <w:r>
              <w:rPr>
                <w:rFonts w:ascii="仿宋_GB2312" w:hAnsi="仿宋_GB2312" w:cs="仿宋_GB2312" w:eastAsia="仿宋_GB2312"/>
              </w:rPr>
              <w:t>安全与应急响应能力</w:t>
            </w:r>
          </w:p>
        </w:tc>
        <w:tc>
          <w:tcPr>
            <w:tcW w:type="dxa" w:w="2492"/>
          </w:tcPr>
          <w:p>
            <w:pPr>
              <w:pStyle w:val="null3"/>
            </w:pPr>
            <w:r>
              <w:rPr>
                <w:rFonts w:ascii="仿宋_GB2312" w:hAnsi="仿宋_GB2312" w:cs="仿宋_GB2312" w:eastAsia="仿宋_GB2312"/>
              </w:rPr>
              <w:t>供应商针对本项目提供安全与应急响应能力，至少包括：①平台整体安全维护机制（如漏洞修复等）②应急预案及风险应对措施③应急响应与善后复盘④风险替代措施应急指挥机制方案。 符合采购需求，无瑕疵：8分； 方案内容存在1处瑕疵扣1分； 未提供方案或内容存在8处及以上瑕疵：0分。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7安全与应急响应能力.docx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供应商在服务期间，需不定时开展平台系统功能应用培训。至少包括：①培训计划②培训内容③培训方式④培训对象⑤培训地点。 符合采购需求，无瑕疵：5分； 方案内容存在1处瑕疵扣1分； 未提供方案或内容存在5处及以上瑕疵：0分。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（1）在项目实施地具有稳定的技术支撑，服务机构健全，具有本地化履约能力的计1分。 （2）供应商根据项目需求提供售后服务方案，至少包含：①服务人员②服务方式③服务内容（故障处理、维护服务、技术支持、应急响应服务等）。 符合采购需求，无瑕疵：5分； 方案内容存在1处瑕疵扣1分； 未提供方案或内容存在5处及以上瑕疵：0分。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供应商承诺接受采购人对服务的监督及管理，定期调研采购人对运维服务质量的满意度并加以改进，确保运维服务工作的优质高效，承诺得2分，未承诺不得分。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11服务承诺.docx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除采购人要求的服务外，供应商能够提供经专家一致认定有利于项目顺利实施的其他合理化建议，每提供1条计1.5分，满分3分。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12合理化建议.docx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详见附件：1整体运维服务方案.docx</w:t>
      </w:r>
    </w:p>
    <w:p>
      <w:pPr>
        <w:pStyle w:val="null3"/>
        <w:ind w:firstLine="960"/>
      </w:pPr>
      <w:r>
        <w:rPr>
          <w:rFonts w:ascii="仿宋_GB2312" w:hAnsi="仿宋_GB2312" w:cs="仿宋_GB2312" w:eastAsia="仿宋_GB2312"/>
        </w:rPr>
        <w:t>详见附件：2平台运维能力.docx</w:t>
      </w:r>
    </w:p>
    <w:p>
      <w:pPr>
        <w:pStyle w:val="null3"/>
        <w:ind w:firstLine="960"/>
      </w:pPr>
      <w:r>
        <w:rPr>
          <w:rFonts w:ascii="仿宋_GB2312" w:hAnsi="仿宋_GB2312" w:cs="仿宋_GB2312" w:eastAsia="仿宋_GB2312"/>
        </w:rPr>
        <w:t>详见附件：3质量保证措施.docx</w:t>
      </w:r>
    </w:p>
    <w:p>
      <w:pPr>
        <w:pStyle w:val="null3"/>
        <w:ind w:firstLine="960"/>
      </w:pPr>
      <w:r>
        <w:rPr>
          <w:rFonts w:ascii="仿宋_GB2312" w:hAnsi="仿宋_GB2312" w:cs="仿宋_GB2312" w:eastAsia="仿宋_GB2312"/>
        </w:rPr>
        <w:t>详见附件：4工作制度.docx</w:t>
      </w:r>
    </w:p>
    <w:p>
      <w:pPr>
        <w:pStyle w:val="null3"/>
        <w:ind w:firstLine="960"/>
      </w:pPr>
      <w:r>
        <w:rPr>
          <w:rFonts w:ascii="仿宋_GB2312" w:hAnsi="仿宋_GB2312" w:cs="仿宋_GB2312" w:eastAsia="仿宋_GB2312"/>
        </w:rPr>
        <w:t>详见附件：5重难点分析.docx</w:t>
      </w:r>
    </w:p>
    <w:p>
      <w:pPr>
        <w:pStyle w:val="null3"/>
        <w:ind w:firstLine="960"/>
      </w:pPr>
      <w:r>
        <w:rPr>
          <w:rFonts w:ascii="仿宋_GB2312" w:hAnsi="仿宋_GB2312" w:cs="仿宋_GB2312" w:eastAsia="仿宋_GB2312"/>
        </w:rPr>
        <w:t>详见附件：6团队人员.docx</w:t>
      </w:r>
    </w:p>
    <w:p>
      <w:pPr>
        <w:pStyle w:val="null3"/>
        <w:ind w:firstLine="960"/>
      </w:pPr>
      <w:r>
        <w:rPr>
          <w:rFonts w:ascii="仿宋_GB2312" w:hAnsi="仿宋_GB2312" w:cs="仿宋_GB2312" w:eastAsia="仿宋_GB2312"/>
        </w:rPr>
        <w:t>详见附件：7安全与应急响应能力.docx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详见附件：10售后服务.docx</w:t>
      </w:r>
    </w:p>
    <w:p>
      <w:pPr>
        <w:pStyle w:val="null3"/>
        <w:ind w:firstLine="960"/>
      </w:pPr>
      <w:r>
        <w:rPr>
          <w:rFonts w:ascii="仿宋_GB2312" w:hAnsi="仿宋_GB2312" w:cs="仿宋_GB2312" w:eastAsia="仿宋_GB2312"/>
        </w:rPr>
        <w:t>详见附件：11服务承诺.docx</w:t>
      </w:r>
    </w:p>
    <w:p>
      <w:pPr>
        <w:pStyle w:val="null3"/>
        <w:ind w:firstLine="960"/>
      </w:pPr>
      <w:r>
        <w:rPr>
          <w:rFonts w:ascii="仿宋_GB2312" w:hAnsi="仿宋_GB2312" w:cs="仿宋_GB2312" w:eastAsia="仿宋_GB2312"/>
        </w:rPr>
        <w:t>详见附件：12合理化建议.docx</w:t>
      </w:r>
    </w:p>
    <w:p>
      <w:pPr>
        <w:pStyle w:val="null3"/>
        <w:ind w:firstLine="960"/>
      </w:pPr>
      <w:r>
        <w:rPr>
          <w:rFonts w:ascii="仿宋_GB2312" w:hAnsi="仿宋_GB2312" w:cs="仿宋_GB2312" w:eastAsia="仿宋_GB2312"/>
        </w:rPr>
        <w:t>详见附件：13其他资料.docx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