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media/image3.svg" ContentType="image/svg+xml"/>
  <Override PartName="/word/media/image5.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A55B2">
      <w:pPr>
        <w:snapToGrid w:val="0"/>
        <w:spacing w:line="360" w:lineRule="auto"/>
        <w:jc w:val="left"/>
        <w:rPr>
          <w:rFonts w:ascii="宋体" w:hAnsi="宋体" w:cs="宋体"/>
          <w:b/>
          <w:color w:val="auto"/>
          <w:sz w:val="30"/>
          <w:highlight w:val="none"/>
        </w:rPr>
      </w:pPr>
    </w:p>
    <w:p w14:paraId="344DC6E6">
      <w:pPr>
        <w:tabs>
          <w:tab w:val="left" w:pos="5041"/>
        </w:tabs>
        <w:snapToGrid w:val="0"/>
        <w:spacing w:line="360" w:lineRule="auto"/>
        <w:jc w:val="left"/>
        <w:rPr>
          <w:rFonts w:ascii="宋体" w:hAnsi="宋体" w:cs="宋体"/>
          <w:b/>
          <w:color w:val="auto"/>
          <w:sz w:val="30"/>
          <w:highlight w:val="none"/>
        </w:rPr>
      </w:pPr>
      <w:r>
        <w:rPr>
          <w:rFonts w:ascii="宋体" w:hAnsi="宋体" w:cs="宋体"/>
          <w:b/>
          <w:color w:val="auto"/>
          <w:sz w:val="30"/>
          <w:highlight w:val="none"/>
        </w:rPr>
        <w:t>项目编号：</w:t>
      </w:r>
      <w:r>
        <w:rPr>
          <w:rFonts w:hint="eastAsia" w:ascii="宋体" w:hAnsi="宋体" w:cs="宋体"/>
          <w:b/>
          <w:color w:val="auto"/>
          <w:sz w:val="30"/>
          <w:highlight w:val="none"/>
          <w:lang w:eastAsia="zh-CN"/>
        </w:rPr>
        <w:t>ZMZB2026AKYY-241.1B1</w:t>
      </w:r>
      <w:r>
        <w:rPr>
          <w:rFonts w:ascii="宋体" w:hAnsi="宋体" w:cs="宋体"/>
          <w:b/>
          <w:color w:val="auto"/>
          <w:sz w:val="30"/>
          <w:highlight w:val="none"/>
        </w:rPr>
        <w:tab/>
      </w:r>
    </w:p>
    <w:p w14:paraId="3645C486">
      <w:pPr>
        <w:snapToGrid w:val="0"/>
        <w:spacing w:line="360" w:lineRule="auto"/>
        <w:rPr>
          <w:rFonts w:ascii="宋体" w:hAnsi="宋体" w:cs="宋体"/>
          <w:b/>
          <w:color w:val="auto"/>
          <w:sz w:val="52"/>
          <w:szCs w:val="52"/>
          <w:highlight w:val="none"/>
        </w:rPr>
      </w:pPr>
    </w:p>
    <w:p w14:paraId="602865C2">
      <w:pPr>
        <w:snapToGrid w:val="0"/>
        <w:spacing w:line="360" w:lineRule="auto"/>
        <w:jc w:val="center"/>
        <w:rPr>
          <w:rFonts w:ascii="宋体" w:hAnsi="宋体" w:cs="宋体"/>
          <w:b/>
          <w:color w:val="auto"/>
          <w:sz w:val="52"/>
          <w:szCs w:val="52"/>
          <w:highlight w:val="none"/>
        </w:rPr>
      </w:pPr>
      <w:bookmarkStart w:id="0" w:name="OLE_LINK2"/>
      <w:bookmarkStart w:id="1" w:name="OLE_LINK1"/>
      <w:r>
        <w:rPr>
          <w:rFonts w:hint="eastAsia" w:ascii="宋体" w:hAnsi="宋体" w:cs="宋体"/>
          <w:b/>
          <w:color w:val="auto"/>
          <w:sz w:val="52"/>
          <w:szCs w:val="52"/>
          <w:highlight w:val="none"/>
        </w:rPr>
        <w:t>安康市人民医院</w:t>
      </w:r>
      <w:bookmarkEnd w:id="0"/>
      <w:bookmarkEnd w:id="1"/>
    </w:p>
    <w:p w14:paraId="5C27700C">
      <w:pPr>
        <w:snapToGrid w:val="0"/>
        <w:spacing w:line="360" w:lineRule="auto"/>
        <w:jc w:val="center"/>
        <w:rPr>
          <w:rFonts w:hint="eastAsia" w:ascii="宋体" w:hAnsi="宋体" w:cs="宋体"/>
          <w:b/>
          <w:color w:val="auto"/>
          <w:sz w:val="52"/>
          <w:szCs w:val="52"/>
          <w:highlight w:val="none"/>
          <w:lang w:eastAsia="zh-CN"/>
        </w:rPr>
      </w:pPr>
      <w:r>
        <w:rPr>
          <w:rFonts w:hint="eastAsia" w:ascii="宋体" w:hAnsi="宋体" w:cs="宋体"/>
          <w:b/>
          <w:color w:val="auto"/>
          <w:sz w:val="52"/>
          <w:szCs w:val="52"/>
          <w:highlight w:val="none"/>
          <w:lang w:eastAsia="zh-CN"/>
        </w:rPr>
        <w:t>病房改造提升项目实施阶段</w:t>
      </w:r>
    </w:p>
    <w:p w14:paraId="11BA2A5E">
      <w:pPr>
        <w:snapToGrid w:val="0"/>
        <w:spacing w:line="360" w:lineRule="auto"/>
        <w:jc w:val="center"/>
        <w:rPr>
          <w:rFonts w:hint="eastAsia" w:ascii="宋体" w:hAnsi="宋体" w:eastAsia="宋体" w:cs="宋体"/>
          <w:b/>
          <w:color w:val="auto"/>
          <w:sz w:val="52"/>
          <w:szCs w:val="52"/>
          <w:highlight w:val="none"/>
          <w:lang w:eastAsia="zh-CN"/>
        </w:rPr>
      </w:pPr>
      <w:r>
        <w:rPr>
          <w:rFonts w:hint="eastAsia" w:ascii="宋体" w:hAnsi="宋体" w:cs="宋体"/>
          <w:b/>
          <w:color w:val="auto"/>
          <w:sz w:val="52"/>
          <w:szCs w:val="52"/>
          <w:highlight w:val="none"/>
          <w:lang w:eastAsia="zh-CN"/>
        </w:rPr>
        <w:t>全过程造价跟踪审核审计服务（二次）</w:t>
      </w:r>
    </w:p>
    <w:p w14:paraId="7DD20514">
      <w:pPr>
        <w:snapToGrid w:val="0"/>
        <w:spacing w:line="360" w:lineRule="auto"/>
        <w:jc w:val="left"/>
        <w:rPr>
          <w:rFonts w:ascii="宋体" w:hAnsi="宋体" w:cs="宋体"/>
          <w:b/>
          <w:color w:val="auto"/>
          <w:sz w:val="52"/>
          <w:szCs w:val="52"/>
          <w:highlight w:val="none"/>
        </w:rPr>
      </w:pPr>
      <w:r>
        <w:rPr>
          <w:rFonts w:ascii="宋体" w:hAnsi="宋体" w:cs="宋体"/>
          <w:b/>
          <w:color w:val="auto"/>
          <w:sz w:val="52"/>
          <w:szCs w:val="52"/>
          <w:highlight w:val="none"/>
        </w:rPr>
        <w:drawing>
          <wp:anchor distT="0" distB="0" distL="114935" distR="114935" simplePos="0" relativeHeight="251676672" behindDoc="0" locked="0" layoutInCell="0" allowOverlap="1">
            <wp:simplePos x="0" y="0"/>
            <wp:positionH relativeFrom="column">
              <wp:posOffset>1707515</wp:posOffset>
            </wp:positionH>
            <wp:positionV relativeFrom="paragraph">
              <wp:posOffset>232410</wp:posOffset>
            </wp:positionV>
            <wp:extent cx="2095500" cy="108712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5"/>
                    <a:srcRect l="-11" t="-24" r="-11" b="-24"/>
                    <a:stretch>
                      <a:fillRect/>
                    </a:stretch>
                  </pic:blipFill>
                  <pic:spPr>
                    <a:xfrm>
                      <a:off x="0" y="0"/>
                      <a:ext cx="2095500" cy="1087120"/>
                    </a:xfrm>
                    <a:prstGeom prst="rect">
                      <a:avLst/>
                    </a:prstGeom>
                  </pic:spPr>
                </pic:pic>
              </a:graphicData>
            </a:graphic>
          </wp:anchor>
        </w:drawing>
      </w:r>
    </w:p>
    <w:p w14:paraId="45890D54">
      <w:pPr>
        <w:snapToGrid w:val="0"/>
        <w:spacing w:line="360" w:lineRule="auto"/>
        <w:jc w:val="left"/>
        <w:rPr>
          <w:rFonts w:ascii="宋体" w:hAnsi="宋体" w:cs="宋体"/>
          <w:b/>
          <w:color w:val="auto"/>
          <w:sz w:val="52"/>
          <w:szCs w:val="21"/>
          <w:highlight w:val="none"/>
        </w:rPr>
      </w:pPr>
    </w:p>
    <w:p w14:paraId="4FDA3238">
      <w:pPr>
        <w:tabs>
          <w:tab w:val="left" w:pos="0"/>
        </w:tabs>
        <w:snapToGrid w:val="0"/>
        <w:spacing w:line="360" w:lineRule="auto"/>
        <w:jc w:val="center"/>
        <w:rPr>
          <w:rFonts w:ascii="宋体" w:hAnsi="宋体" w:cs="宋体"/>
          <w:b/>
          <w:color w:val="auto"/>
          <w:szCs w:val="21"/>
          <w:highlight w:val="none"/>
        </w:rPr>
      </w:pPr>
    </w:p>
    <w:p w14:paraId="707FAE2C">
      <w:pPr>
        <w:tabs>
          <w:tab w:val="left" w:pos="0"/>
        </w:tabs>
        <w:snapToGrid w:val="0"/>
        <w:spacing w:line="360" w:lineRule="auto"/>
        <w:jc w:val="center"/>
        <w:rPr>
          <w:rFonts w:ascii="宋体" w:hAnsi="宋体" w:cs="宋体"/>
          <w:b/>
          <w:color w:val="auto"/>
          <w:sz w:val="72"/>
          <w:szCs w:val="72"/>
          <w:highlight w:val="none"/>
        </w:rPr>
      </w:pPr>
    </w:p>
    <w:p w14:paraId="326658CC">
      <w:pPr>
        <w:tabs>
          <w:tab w:val="left" w:pos="0"/>
        </w:tabs>
        <w:snapToGrid w:val="0"/>
        <w:spacing w:line="360" w:lineRule="auto"/>
        <w:jc w:val="center"/>
        <w:rPr>
          <w:rFonts w:ascii="宋体" w:hAnsi="宋体" w:cs="宋体"/>
          <w:b/>
          <w:color w:val="auto"/>
          <w:sz w:val="32"/>
          <w:szCs w:val="24"/>
          <w:highlight w:val="none"/>
        </w:rPr>
      </w:pPr>
      <w:r>
        <w:rPr>
          <w:rFonts w:ascii="宋体" w:hAnsi="宋体" w:cs="宋体"/>
          <w:b/>
          <w:color w:val="auto"/>
          <w:sz w:val="96"/>
          <w:szCs w:val="96"/>
          <w:highlight w:val="none"/>
        </w:rPr>
        <w:t>竞争性磋商文件</w:t>
      </w:r>
    </w:p>
    <w:p w14:paraId="7BA41E80">
      <w:pPr>
        <w:snapToGrid w:val="0"/>
        <w:spacing w:line="360" w:lineRule="auto"/>
        <w:rPr>
          <w:rFonts w:ascii="宋体" w:hAnsi="宋体" w:cs="宋体"/>
          <w:b/>
          <w:color w:val="auto"/>
          <w:sz w:val="30"/>
          <w:highlight w:val="none"/>
        </w:rPr>
      </w:pPr>
      <w:r>
        <w:rPr>
          <w:rFonts w:ascii="宋体" w:hAnsi="宋体" w:cs="宋体"/>
          <w:b/>
          <w:color w:val="auto"/>
          <w:sz w:val="30"/>
          <w:highlight w:val="none"/>
        </w:rPr>
        <w:tab/>
      </w:r>
    </w:p>
    <w:p w14:paraId="005550A9">
      <w:pPr>
        <w:snapToGrid w:val="0"/>
        <w:spacing w:line="360" w:lineRule="auto"/>
        <w:jc w:val="center"/>
        <w:rPr>
          <w:rFonts w:ascii="宋体" w:hAnsi="宋体" w:cs="宋体"/>
          <w:b/>
          <w:color w:val="auto"/>
          <w:sz w:val="32"/>
          <w:szCs w:val="32"/>
          <w:highlight w:val="none"/>
        </w:rPr>
      </w:pPr>
    </w:p>
    <w:p w14:paraId="7B3F3EE2">
      <w:pPr>
        <w:snapToGrid w:val="0"/>
        <w:spacing w:line="360" w:lineRule="auto"/>
        <w:jc w:val="center"/>
        <w:rPr>
          <w:rFonts w:ascii="宋体" w:hAnsi="宋体" w:cs="宋体"/>
          <w:b/>
          <w:color w:val="auto"/>
          <w:sz w:val="36"/>
          <w:szCs w:val="36"/>
          <w:highlight w:val="none"/>
        </w:rPr>
      </w:pPr>
      <w:r>
        <w:rPr>
          <w:rFonts w:ascii="宋体" w:hAnsi="宋体" w:cs="宋体"/>
          <w:b/>
          <w:color w:val="auto"/>
          <w:sz w:val="36"/>
          <w:szCs w:val="36"/>
          <w:highlight w:val="none"/>
        </w:rPr>
        <w:t>陕西卓佲项目管理有限公司</w:t>
      </w:r>
    </w:p>
    <w:p w14:paraId="7F96E220">
      <w:pPr>
        <w:snapToGrid w:val="0"/>
        <w:spacing w:line="600" w:lineRule="auto"/>
        <w:jc w:val="center"/>
        <w:rPr>
          <w:rFonts w:ascii="宋体" w:hAnsi="宋体" w:cs="宋体"/>
          <w:b/>
          <w:color w:val="auto"/>
          <w:sz w:val="40"/>
          <w:szCs w:val="40"/>
          <w:highlight w:val="none"/>
        </w:rPr>
        <w:sectPr>
          <w:headerReference r:id="rId3" w:type="default"/>
          <w:footerReference r:id="rId4" w:type="default"/>
          <w:pgSz w:w="11906" w:h="16838"/>
          <w:pgMar w:top="1440" w:right="1486" w:bottom="1440" w:left="1800" w:header="851" w:footer="992" w:gutter="0"/>
          <w:pgNumType w:start="1"/>
          <w:cols w:space="720" w:num="1"/>
          <w:formProt w:val="0"/>
          <w:docGrid w:type="lines" w:linePitch="312" w:charSpace="0"/>
        </w:sectPr>
      </w:pPr>
      <w:r>
        <w:rPr>
          <w:rFonts w:ascii="宋体" w:hAnsi="宋体" w:cs="宋体"/>
          <w:b/>
          <w:color w:val="auto"/>
          <w:sz w:val="40"/>
          <w:szCs w:val="40"/>
          <w:highlight w:val="none"/>
        </w:rPr>
        <w:t>202</w:t>
      </w:r>
      <w:r>
        <w:rPr>
          <w:rFonts w:hint="eastAsia" w:ascii="宋体" w:hAnsi="宋体" w:cs="宋体"/>
          <w:b/>
          <w:color w:val="auto"/>
          <w:sz w:val="40"/>
          <w:szCs w:val="40"/>
          <w:highlight w:val="none"/>
        </w:rPr>
        <w:t>6</w:t>
      </w:r>
      <w:r>
        <w:rPr>
          <w:rFonts w:ascii="宋体" w:hAnsi="宋体" w:cs="宋体"/>
          <w:b/>
          <w:color w:val="auto"/>
          <w:sz w:val="40"/>
          <w:szCs w:val="40"/>
          <w:highlight w:val="none"/>
        </w:rPr>
        <w:t>年</w:t>
      </w:r>
      <w:r>
        <w:rPr>
          <w:rFonts w:hint="eastAsia" w:ascii="宋体" w:hAnsi="宋体" w:cs="宋体"/>
          <w:b/>
          <w:color w:val="auto"/>
          <w:sz w:val="40"/>
          <w:szCs w:val="40"/>
          <w:highlight w:val="none"/>
          <w:lang w:val="en-US" w:eastAsia="zh-CN"/>
        </w:rPr>
        <w:t>7</w:t>
      </w:r>
      <w:r>
        <w:rPr>
          <w:rFonts w:ascii="宋体" w:hAnsi="宋体" w:cs="宋体"/>
          <w:b/>
          <w:color w:val="auto"/>
          <w:sz w:val="40"/>
          <w:szCs w:val="40"/>
          <w:highlight w:val="none"/>
        </w:rPr>
        <w:t>月</w:t>
      </w:r>
    </w:p>
    <w:sdt>
      <w:sdtPr>
        <w:rPr>
          <w:rFonts w:ascii="宋体" w:hAnsi="宋体"/>
          <w:b/>
          <w:bCs/>
          <w:color w:val="auto"/>
          <w:sz w:val="44"/>
          <w:szCs w:val="48"/>
          <w:highlight w:val="none"/>
        </w:rPr>
        <w:id w:val="147464497"/>
        <w:docPartObj>
          <w:docPartGallery w:val="Table of Contents"/>
          <w:docPartUnique/>
        </w:docPartObj>
      </w:sdtPr>
      <w:sdtEndPr>
        <w:rPr>
          <w:rFonts w:ascii="Times New Roman" w:hAnsi="Times New Roman"/>
          <w:b/>
          <w:bCs/>
          <w:color w:val="auto"/>
          <w:sz w:val="21"/>
          <w:szCs w:val="22"/>
          <w:highlight w:val="none"/>
        </w:rPr>
      </w:sdtEndPr>
      <w:sdtContent>
        <w:p w14:paraId="1022FB4C">
          <w:pPr>
            <w:jc w:val="center"/>
            <w:rPr>
              <w:b/>
              <w:bCs/>
              <w:color w:val="auto"/>
              <w:sz w:val="44"/>
              <w:szCs w:val="48"/>
              <w:highlight w:val="none"/>
            </w:rPr>
          </w:pPr>
          <w:r>
            <w:rPr>
              <w:rFonts w:ascii="宋体" w:hAnsi="宋体"/>
              <w:b/>
              <w:bCs/>
              <w:color w:val="auto"/>
              <w:sz w:val="44"/>
              <w:szCs w:val="48"/>
              <w:highlight w:val="none"/>
            </w:rPr>
            <w:t>目录</w:t>
          </w:r>
        </w:p>
        <w:p w14:paraId="1E67EFD7">
          <w:pPr>
            <w:pStyle w:val="14"/>
            <w:tabs>
              <w:tab w:val="right" w:leader="dot" w:pos="8306"/>
            </w:tabs>
            <w:rPr>
              <w:color w:val="auto"/>
              <w:highlight w:val="none"/>
            </w:rPr>
          </w:pPr>
        </w:p>
        <w:p w14:paraId="3198DDF8">
          <w:pPr>
            <w:pStyle w:val="14"/>
            <w:tabs>
              <w:tab w:val="right" w:leader="dot" w:pos="8306"/>
            </w:tabs>
            <w:rPr>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_Toc16016 </w:instrText>
          </w:r>
          <w:r>
            <w:rPr>
              <w:color w:val="auto"/>
              <w:highlight w:val="none"/>
            </w:rPr>
            <w:fldChar w:fldCharType="separate"/>
          </w:r>
          <w:r>
            <w:rPr>
              <w:rFonts w:ascii="宋体" w:hAnsi="宋体" w:cs="宋体"/>
              <w:color w:val="auto"/>
              <w:highlight w:val="none"/>
            </w:rPr>
            <w:t>第一部分  竞争性磋商公告</w:t>
          </w:r>
          <w:r>
            <w:rPr>
              <w:color w:val="auto"/>
              <w:highlight w:val="none"/>
            </w:rPr>
            <w:tab/>
          </w:r>
          <w:r>
            <w:rPr>
              <w:color w:val="auto"/>
              <w:highlight w:val="none"/>
            </w:rPr>
            <w:fldChar w:fldCharType="begin"/>
          </w:r>
          <w:r>
            <w:rPr>
              <w:color w:val="auto"/>
              <w:highlight w:val="none"/>
            </w:rPr>
            <w:instrText xml:space="preserve"> PAGEREF _Toc16016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2ECB37B7">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_Toc26378 </w:instrText>
          </w:r>
          <w:r>
            <w:rPr>
              <w:color w:val="auto"/>
              <w:highlight w:val="none"/>
            </w:rPr>
            <w:fldChar w:fldCharType="separate"/>
          </w:r>
          <w:r>
            <w:rPr>
              <w:rFonts w:cs="宋体"/>
              <w:color w:val="auto"/>
              <w:highlight w:val="none"/>
            </w:rPr>
            <w:t xml:space="preserve">第二部分 </w:t>
          </w:r>
          <w:r>
            <w:rPr>
              <w:rFonts w:ascii="宋体" w:hAnsi="宋体" w:cs="宋体"/>
              <w:color w:val="auto"/>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_Toc26378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087320E1">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_Toc25641 </w:instrText>
          </w:r>
          <w:r>
            <w:rPr>
              <w:color w:val="auto"/>
              <w:highlight w:val="none"/>
            </w:rPr>
            <w:fldChar w:fldCharType="separate"/>
          </w:r>
          <w:r>
            <w:rPr>
              <w:rFonts w:ascii="宋体" w:hAnsi="宋体" w:cs="宋体"/>
              <w:color w:val="auto"/>
              <w:highlight w:val="none"/>
            </w:rPr>
            <w:t>第三部分  供应商须知</w:t>
          </w:r>
          <w:r>
            <w:rPr>
              <w:color w:val="auto"/>
              <w:highlight w:val="none"/>
            </w:rPr>
            <w:tab/>
          </w:r>
          <w:r>
            <w:rPr>
              <w:color w:val="auto"/>
              <w:highlight w:val="none"/>
            </w:rPr>
            <w:fldChar w:fldCharType="begin"/>
          </w:r>
          <w:r>
            <w:rPr>
              <w:color w:val="auto"/>
              <w:highlight w:val="none"/>
            </w:rPr>
            <w:instrText xml:space="preserve"> PAGEREF _Toc25641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0CC8C2E0">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_Toc10644 </w:instrText>
          </w:r>
          <w:r>
            <w:rPr>
              <w:color w:val="auto"/>
              <w:highlight w:val="none"/>
            </w:rPr>
            <w:fldChar w:fldCharType="separate"/>
          </w:r>
          <w:r>
            <w:rPr>
              <w:rFonts w:ascii="宋体" w:hAnsi="宋体" w:cs="Times New Roman"/>
              <w:bCs/>
              <w:color w:val="auto"/>
              <w:kern w:val="0"/>
              <w:szCs w:val="28"/>
              <w:highlight w:val="none"/>
            </w:rPr>
            <w:t xml:space="preserve">一、 </w:t>
          </w:r>
          <w:r>
            <w:rPr>
              <w:rFonts w:ascii="宋体" w:hAnsi="宋体" w:cs="宋体"/>
              <w:bCs/>
              <w:color w:val="auto"/>
              <w:kern w:val="0"/>
              <w:szCs w:val="28"/>
              <w:highlight w:val="none"/>
            </w:rPr>
            <w:t>总则</w:t>
          </w:r>
          <w:r>
            <w:rPr>
              <w:color w:val="auto"/>
              <w:highlight w:val="none"/>
            </w:rPr>
            <w:tab/>
          </w:r>
          <w:r>
            <w:rPr>
              <w:color w:val="auto"/>
              <w:highlight w:val="none"/>
            </w:rPr>
            <w:fldChar w:fldCharType="begin"/>
          </w:r>
          <w:r>
            <w:rPr>
              <w:color w:val="auto"/>
              <w:highlight w:val="none"/>
            </w:rPr>
            <w:instrText xml:space="preserve"> PAGEREF _Toc10644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55155F59">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_Toc427 </w:instrText>
          </w:r>
          <w:r>
            <w:rPr>
              <w:color w:val="auto"/>
              <w:highlight w:val="none"/>
            </w:rPr>
            <w:fldChar w:fldCharType="separate"/>
          </w:r>
          <w:r>
            <w:rPr>
              <w:rFonts w:ascii="宋体" w:hAnsi="宋体" w:cs="Times New Roman"/>
              <w:bCs/>
              <w:color w:val="auto"/>
              <w:kern w:val="0"/>
              <w:szCs w:val="28"/>
              <w:highlight w:val="none"/>
            </w:rPr>
            <w:t xml:space="preserve">二、 </w:t>
          </w:r>
          <w:r>
            <w:rPr>
              <w:rFonts w:ascii="宋体" w:hAnsi="宋体" w:cs="宋体"/>
              <w:bCs/>
              <w:color w:val="auto"/>
              <w:kern w:val="0"/>
              <w:szCs w:val="28"/>
              <w:highlight w:val="none"/>
            </w:rPr>
            <w:t>竞争性磋商文件</w:t>
          </w:r>
          <w:r>
            <w:rPr>
              <w:color w:val="auto"/>
              <w:highlight w:val="none"/>
            </w:rPr>
            <w:tab/>
          </w:r>
          <w:r>
            <w:rPr>
              <w:color w:val="auto"/>
              <w:highlight w:val="none"/>
            </w:rPr>
            <w:fldChar w:fldCharType="begin"/>
          </w:r>
          <w:r>
            <w:rPr>
              <w:color w:val="auto"/>
              <w:highlight w:val="none"/>
            </w:rPr>
            <w:instrText xml:space="preserve"> PAGEREF _Toc427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10A292AE">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_Toc9296 </w:instrText>
          </w:r>
          <w:r>
            <w:rPr>
              <w:color w:val="auto"/>
              <w:highlight w:val="none"/>
            </w:rPr>
            <w:fldChar w:fldCharType="separate"/>
          </w:r>
          <w:r>
            <w:rPr>
              <w:rFonts w:ascii="宋体" w:hAnsi="宋体" w:cs="Times New Roman"/>
              <w:bCs/>
              <w:color w:val="auto"/>
              <w:kern w:val="0"/>
              <w:szCs w:val="28"/>
              <w:highlight w:val="none"/>
            </w:rPr>
            <w:t xml:space="preserve">三、 </w:t>
          </w:r>
          <w:r>
            <w:rPr>
              <w:rFonts w:ascii="宋体" w:hAnsi="宋体" w:cs="宋体"/>
              <w:bCs/>
              <w:color w:val="auto"/>
              <w:kern w:val="0"/>
              <w:szCs w:val="28"/>
              <w:highlight w:val="none"/>
            </w:rPr>
            <w:t>响应文件</w:t>
          </w:r>
          <w:r>
            <w:rPr>
              <w:color w:val="auto"/>
              <w:highlight w:val="none"/>
            </w:rPr>
            <w:tab/>
          </w:r>
          <w:r>
            <w:rPr>
              <w:color w:val="auto"/>
              <w:highlight w:val="none"/>
            </w:rPr>
            <w:fldChar w:fldCharType="begin"/>
          </w:r>
          <w:r>
            <w:rPr>
              <w:color w:val="auto"/>
              <w:highlight w:val="none"/>
            </w:rPr>
            <w:instrText xml:space="preserve"> PAGEREF _Toc9296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6F8265A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_Toc4059 </w:instrText>
          </w:r>
          <w:r>
            <w:rPr>
              <w:color w:val="auto"/>
              <w:highlight w:val="none"/>
            </w:rPr>
            <w:fldChar w:fldCharType="separate"/>
          </w:r>
          <w:r>
            <w:rPr>
              <w:rFonts w:ascii="宋体" w:hAnsi="宋体" w:cs="Times New Roman"/>
              <w:bCs/>
              <w:color w:val="auto"/>
              <w:kern w:val="0"/>
              <w:szCs w:val="28"/>
              <w:highlight w:val="none"/>
            </w:rPr>
            <w:t xml:space="preserve">四、 </w:t>
          </w:r>
          <w:r>
            <w:rPr>
              <w:rFonts w:ascii="宋体" w:hAnsi="宋体" w:cs="宋体"/>
              <w:bCs/>
              <w:color w:val="auto"/>
              <w:kern w:val="0"/>
              <w:szCs w:val="28"/>
              <w:highlight w:val="none"/>
            </w:rPr>
            <w:t>响应文件的</w:t>
          </w:r>
          <w:r>
            <w:rPr>
              <w:rFonts w:hint="eastAsia" w:ascii="宋体" w:hAnsi="宋体" w:cs="宋体"/>
              <w:bCs/>
              <w:color w:val="auto"/>
              <w:kern w:val="0"/>
              <w:szCs w:val="28"/>
              <w:highlight w:val="none"/>
            </w:rPr>
            <w:t>加密和</w:t>
          </w:r>
          <w:r>
            <w:rPr>
              <w:rFonts w:ascii="宋体" w:hAnsi="宋体" w:cs="宋体"/>
              <w:bCs/>
              <w:color w:val="auto"/>
              <w:kern w:val="0"/>
              <w:szCs w:val="28"/>
              <w:highlight w:val="none"/>
            </w:rPr>
            <w:t>递交</w:t>
          </w:r>
          <w:r>
            <w:rPr>
              <w:color w:val="auto"/>
              <w:highlight w:val="none"/>
            </w:rPr>
            <w:tab/>
          </w:r>
          <w:r>
            <w:rPr>
              <w:color w:val="auto"/>
              <w:highlight w:val="none"/>
            </w:rPr>
            <w:fldChar w:fldCharType="begin"/>
          </w:r>
          <w:r>
            <w:rPr>
              <w:color w:val="auto"/>
              <w:highlight w:val="none"/>
            </w:rPr>
            <w:instrText xml:space="preserve"> PAGEREF _Toc4059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7FF1496F">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_Toc5691 </w:instrText>
          </w:r>
          <w:r>
            <w:rPr>
              <w:color w:val="auto"/>
              <w:highlight w:val="none"/>
            </w:rPr>
            <w:fldChar w:fldCharType="separate"/>
          </w:r>
          <w:r>
            <w:rPr>
              <w:rFonts w:ascii="宋体" w:hAnsi="宋体" w:cs="Times New Roman"/>
              <w:bCs/>
              <w:color w:val="auto"/>
              <w:kern w:val="0"/>
              <w:szCs w:val="28"/>
              <w:highlight w:val="none"/>
            </w:rPr>
            <w:t xml:space="preserve">五、 </w:t>
          </w:r>
          <w:r>
            <w:rPr>
              <w:rFonts w:ascii="宋体" w:hAnsi="宋体" w:cs="宋体"/>
              <w:bCs/>
              <w:color w:val="auto"/>
              <w:kern w:val="0"/>
              <w:szCs w:val="28"/>
              <w:highlight w:val="none"/>
            </w:rPr>
            <w:t>磋商、评审、定标</w:t>
          </w:r>
          <w:r>
            <w:rPr>
              <w:color w:val="auto"/>
              <w:highlight w:val="none"/>
            </w:rPr>
            <w:tab/>
          </w:r>
          <w:r>
            <w:rPr>
              <w:color w:val="auto"/>
              <w:highlight w:val="none"/>
            </w:rPr>
            <w:fldChar w:fldCharType="begin"/>
          </w:r>
          <w:r>
            <w:rPr>
              <w:color w:val="auto"/>
              <w:highlight w:val="none"/>
            </w:rPr>
            <w:instrText xml:space="preserve"> PAGEREF _Toc5691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8936F2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_Toc7621 </w:instrText>
          </w:r>
          <w:r>
            <w:rPr>
              <w:color w:val="auto"/>
              <w:highlight w:val="none"/>
            </w:rPr>
            <w:fldChar w:fldCharType="separate"/>
          </w:r>
          <w:r>
            <w:rPr>
              <w:rFonts w:ascii="宋体" w:hAnsi="宋体" w:cs="Times New Roman"/>
              <w:bCs/>
              <w:color w:val="auto"/>
              <w:kern w:val="0"/>
              <w:szCs w:val="28"/>
              <w:highlight w:val="none"/>
            </w:rPr>
            <w:t xml:space="preserve">六、 </w:t>
          </w:r>
          <w:r>
            <w:rPr>
              <w:rFonts w:ascii="宋体" w:hAnsi="宋体" w:cs="宋体"/>
              <w:bCs/>
              <w:color w:val="auto"/>
              <w:kern w:val="0"/>
              <w:szCs w:val="28"/>
              <w:highlight w:val="none"/>
            </w:rPr>
            <w:t>签订合同</w:t>
          </w:r>
          <w:r>
            <w:rPr>
              <w:color w:val="auto"/>
              <w:highlight w:val="none"/>
            </w:rPr>
            <w:tab/>
          </w:r>
          <w:r>
            <w:rPr>
              <w:color w:val="auto"/>
              <w:highlight w:val="none"/>
            </w:rPr>
            <w:fldChar w:fldCharType="begin"/>
          </w:r>
          <w:r>
            <w:rPr>
              <w:color w:val="auto"/>
              <w:highlight w:val="none"/>
            </w:rPr>
            <w:instrText xml:space="preserve"> PAGEREF _Toc7621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25BAC44A">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_Toc5654 </w:instrText>
          </w:r>
          <w:r>
            <w:rPr>
              <w:color w:val="auto"/>
              <w:highlight w:val="none"/>
            </w:rPr>
            <w:fldChar w:fldCharType="separate"/>
          </w:r>
          <w:r>
            <w:rPr>
              <w:rFonts w:ascii="宋体" w:hAnsi="宋体" w:cs="宋体"/>
              <w:bCs/>
              <w:color w:val="auto"/>
              <w:kern w:val="0"/>
              <w:szCs w:val="28"/>
              <w:highlight w:val="none"/>
            </w:rPr>
            <w:t>七、质疑和投诉</w:t>
          </w:r>
          <w:r>
            <w:rPr>
              <w:color w:val="auto"/>
              <w:highlight w:val="none"/>
            </w:rPr>
            <w:tab/>
          </w:r>
          <w:r>
            <w:rPr>
              <w:color w:val="auto"/>
              <w:highlight w:val="none"/>
            </w:rPr>
            <w:fldChar w:fldCharType="begin"/>
          </w:r>
          <w:r>
            <w:rPr>
              <w:color w:val="auto"/>
              <w:highlight w:val="none"/>
            </w:rPr>
            <w:instrText xml:space="preserve"> PAGEREF _Toc5654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63311FAA">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_Toc9094 </w:instrText>
          </w:r>
          <w:r>
            <w:rPr>
              <w:color w:val="auto"/>
              <w:highlight w:val="none"/>
            </w:rPr>
            <w:fldChar w:fldCharType="separate"/>
          </w:r>
          <w:r>
            <w:rPr>
              <w:rFonts w:ascii="宋体" w:hAnsi="宋体" w:cs="宋体"/>
              <w:bCs/>
              <w:color w:val="auto"/>
              <w:szCs w:val="36"/>
              <w:highlight w:val="none"/>
            </w:rPr>
            <w:t>第四部分 评分标准</w:t>
          </w:r>
          <w:r>
            <w:rPr>
              <w:color w:val="auto"/>
              <w:highlight w:val="none"/>
            </w:rPr>
            <w:tab/>
          </w:r>
          <w:r>
            <w:rPr>
              <w:color w:val="auto"/>
              <w:highlight w:val="none"/>
            </w:rPr>
            <w:fldChar w:fldCharType="begin"/>
          </w:r>
          <w:r>
            <w:rPr>
              <w:color w:val="auto"/>
              <w:highlight w:val="none"/>
            </w:rPr>
            <w:instrText xml:space="preserve"> PAGEREF _Toc9094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02A1E2E5">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_Toc28287 </w:instrText>
          </w:r>
          <w:r>
            <w:rPr>
              <w:color w:val="auto"/>
              <w:highlight w:val="none"/>
            </w:rPr>
            <w:fldChar w:fldCharType="separate"/>
          </w:r>
          <w:r>
            <w:rPr>
              <w:color w:val="auto"/>
              <w:highlight w:val="none"/>
            </w:rPr>
            <w:t>第五部分 采购要求</w:t>
          </w:r>
          <w:r>
            <w:rPr>
              <w:color w:val="auto"/>
              <w:highlight w:val="none"/>
            </w:rPr>
            <w:tab/>
          </w:r>
          <w:r>
            <w:rPr>
              <w:color w:val="auto"/>
              <w:highlight w:val="none"/>
            </w:rPr>
            <w:fldChar w:fldCharType="begin"/>
          </w:r>
          <w:r>
            <w:rPr>
              <w:color w:val="auto"/>
              <w:highlight w:val="none"/>
            </w:rPr>
            <w:instrText xml:space="preserve"> PAGEREF _Toc28287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11003E7">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_Toc28781 </w:instrText>
          </w:r>
          <w:r>
            <w:rPr>
              <w:color w:val="auto"/>
              <w:highlight w:val="none"/>
            </w:rPr>
            <w:fldChar w:fldCharType="separate"/>
          </w:r>
          <w:r>
            <w:rPr>
              <w:rFonts w:ascii="宋体" w:hAnsi="宋体" w:cs="宋体"/>
              <w:color w:val="auto"/>
              <w:highlight w:val="none"/>
            </w:rPr>
            <w:t xml:space="preserve">第六部分 </w:t>
          </w:r>
          <w:r>
            <w:rPr>
              <w:rFonts w:ascii="宋体" w:hAnsi="宋体" w:cs="宋体"/>
              <w:color w:val="auto"/>
              <w:szCs w:val="32"/>
              <w:highlight w:val="none"/>
            </w:rPr>
            <w:t>合同条款</w:t>
          </w:r>
          <w:r>
            <w:rPr>
              <w:color w:val="auto"/>
              <w:highlight w:val="none"/>
            </w:rPr>
            <w:tab/>
          </w:r>
          <w:r>
            <w:rPr>
              <w:color w:val="auto"/>
              <w:highlight w:val="none"/>
            </w:rPr>
            <w:fldChar w:fldCharType="begin"/>
          </w:r>
          <w:r>
            <w:rPr>
              <w:color w:val="auto"/>
              <w:highlight w:val="none"/>
            </w:rPr>
            <w:instrText xml:space="preserve"> PAGEREF _Toc28781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026EBE7">
          <w:pPr>
            <w:pStyle w:val="14"/>
            <w:tabs>
              <w:tab w:val="right" w:leader="dot" w:pos="8306"/>
            </w:tabs>
            <w:rPr>
              <w:color w:val="auto"/>
              <w:highlight w:val="none"/>
            </w:rPr>
          </w:pPr>
          <w:r>
            <w:rPr>
              <w:color w:val="auto"/>
              <w:highlight w:val="none"/>
            </w:rPr>
            <w:fldChar w:fldCharType="begin"/>
          </w:r>
          <w:r>
            <w:rPr>
              <w:color w:val="auto"/>
              <w:highlight w:val="none"/>
            </w:rPr>
            <w:instrText xml:space="preserve"> HYPERLINK \l _Toc19460 </w:instrText>
          </w:r>
          <w:r>
            <w:rPr>
              <w:color w:val="auto"/>
              <w:highlight w:val="none"/>
            </w:rPr>
            <w:fldChar w:fldCharType="separate"/>
          </w:r>
          <w:r>
            <w:rPr>
              <w:rFonts w:ascii="宋体" w:hAnsi="宋体" w:cs="宋体"/>
              <w:color w:val="auto"/>
              <w:szCs w:val="36"/>
              <w:highlight w:val="none"/>
            </w:rPr>
            <w:t>第七部分  响应文件格式</w:t>
          </w:r>
          <w:r>
            <w:rPr>
              <w:color w:val="auto"/>
              <w:highlight w:val="none"/>
            </w:rPr>
            <w:tab/>
          </w:r>
          <w:r>
            <w:rPr>
              <w:color w:val="auto"/>
              <w:highlight w:val="none"/>
            </w:rPr>
            <w:fldChar w:fldCharType="begin"/>
          </w:r>
          <w:r>
            <w:rPr>
              <w:color w:val="auto"/>
              <w:highlight w:val="none"/>
            </w:rPr>
            <w:instrText xml:space="preserve"> PAGEREF _Toc19460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6479122F">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_Toc14150 </w:instrText>
          </w:r>
          <w:r>
            <w:rPr>
              <w:color w:val="auto"/>
              <w:highlight w:val="none"/>
            </w:rPr>
            <w:fldChar w:fldCharType="separate"/>
          </w:r>
          <w:r>
            <w:rPr>
              <w:rFonts w:ascii="宋体" w:hAnsi="宋体" w:cs="宋体"/>
              <w:color w:val="auto"/>
              <w:szCs w:val="36"/>
              <w:highlight w:val="none"/>
            </w:rPr>
            <w:t>第一部分  响应函</w:t>
          </w:r>
          <w:r>
            <w:rPr>
              <w:color w:val="auto"/>
              <w:highlight w:val="none"/>
            </w:rPr>
            <w:tab/>
          </w:r>
          <w:r>
            <w:rPr>
              <w:color w:val="auto"/>
              <w:highlight w:val="none"/>
            </w:rPr>
            <w:fldChar w:fldCharType="begin"/>
          </w:r>
          <w:r>
            <w:rPr>
              <w:color w:val="auto"/>
              <w:highlight w:val="none"/>
            </w:rPr>
            <w:instrText xml:space="preserve"> PAGEREF _Toc14150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5BF08543">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_Toc21722 </w:instrText>
          </w:r>
          <w:r>
            <w:rPr>
              <w:color w:val="auto"/>
              <w:highlight w:val="none"/>
            </w:rPr>
            <w:fldChar w:fldCharType="separate"/>
          </w:r>
          <w:r>
            <w:rPr>
              <w:rFonts w:ascii="宋体" w:hAnsi="宋体" w:cs="宋体"/>
              <w:color w:val="auto"/>
              <w:szCs w:val="36"/>
              <w:highlight w:val="none"/>
            </w:rPr>
            <w:t>第二部分  响应一览表</w:t>
          </w:r>
          <w:r>
            <w:rPr>
              <w:color w:val="auto"/>
              <w:highlight w:val="none"/>
            </w:rPr>
            <w:tab/>
          </w:r>
          <w:r>
            <w:rPr>
              <w:color w:val="auto"/>
              <w:highlight w:val="none"/>
            </w:rPr>
            <w:fldChar w:fldCharType="begin"/>
          </w:r>
          <w:r>
            <w:rPr>
              <w:color w:val="auto"/>
              <w:highlight w:val="none"/>
            </w:rPr>
            <w:instrText xml:space="preserve"> PAGEREF _Toc21722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6243448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_Toc4547 </w:instrText>
          </w:r>
          <w:r>
            <w:rPr>
              <w:color w:val="auto"/>
              <w:highlight w:val="none"/>
            </w:rPr>
            <w:fldChar w:fldCharType="separate"/>
          </w:r>
          <w:r>
            <w:rPr>
              <w:rFonts w:ascii="宋体" w:hAnsi="宋体" w:cs="宋体"/>
              <w:color w:val="auto"/>
              <w:szCs w:val="36"/>
              <w:highlight w:val="none"/>
            </w:rPr>
            <w:t>第三部分  商务及技术响应说明</w:t>
          </w:r>
          <w:r>
            <w:rPr>
              <w:color w:val="auto"/>
              <w:highlight w:val="none"/>
            </w:rPr>
            <w:tab/>
          </w:r>
          <w:r>
            <w:rPr>
              <w:color w:val="auto"/>
              <w:highlight w:val="none"/>
            </w:rPr>
            <w:fldChar w:fldCharType="begin"/>
          </w:r>
          <w:r>
            <w:rPr>
              <w:color w:val="auto"/>
              <w:highlight w:val="none"/>
            </w:rPr>
            <w:instrText xml:space="preserve"> PAGEREF _Toc4547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76A37DEC">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_Toc16138 </w:instrText>
          </w:r>
          <w:r>
            <w:rPr>
              <w:color w:val="auto"/>
              <w:highlight w:val="none"/>
            </w:rPr>
            <w:fldChar w:fldCharType="separate"/>
          </w:r>
          <w:r>
            <w:rPr>
              <w:rFonts w:ascii="宋体" w:hAnsi="宋体" w:cs="宋体"/>
              <w:color w:val="auto"/>
              <w:highlight w:val="none"/>
            </w:rPr>
            <w:t>第四部分  供应商资格要求</w:t>
          </w:r>
          <w:r>
            <w:rPr>
              <w:color w:val="auto"/>
              <w:highlight w:val="none"/>
            </w:rPr>
            <w:tab/>
          </w:r>
          <w:r>
            <w:rPr>
              <w:color w:val="auto"/>
              <w:highlight w:val="none"/>
            </w:rPr>
            <w:fldChar w:fldCharType="begin"/>
          </w:r>
          <w:r>
            <w:rPr>
              <w:color w:val="auto"/>
              <w:highlight w:val="none"/>
            </w:rPr>
            <w:instrText xml:space="preserve"> PAGEREF _Toc16138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331DC25C">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_Toc23645 </w:instrText>
          </w:r>
          <w:r>
            <w:rPr>
              <w:color w:val="auto"/>
              <w:highlight w:val="none"/>
            </w:rPr>
            <w:fldChar w:fldCharType="separate"/>
          </w:r>
          <w:r>
            <w:rPr>
              <w:rFonts w:ascii="宋体" w:hAnsi="宋体" w:cs="宋体"/>
              <w:color w:val="auto"/>
              <w:szCs w:val="36"/>
              <w:highlight w:val="none"/>
            </w:rPr>
            <w:t xml:space="preserve">第五部分 </w:t>
          </w:r>
          <w:r>
            <w:rPr>
              <w:rFonts w:hint="eastAsia" w:ascii="宋体" w:hAnsi="宋体" w:cs="宋体"/>
              <w:color w:val="auto"/>
              <w:szCs w:val="36"/>
              <w:highlight w:val="none"/>
              <w:lang w:val="en-US" w:eastAsia="zh-CN"/>
            </w:rPr>
            <w:t>服务</w:t>
          </w:r>
          <w:r>
            <w:rPr>
              <w:rFonts w:hint="eastAsia" w:ascii="宋体" w:hAnsi="宋体" w:cs="宋体"/>
              <w:color w:val="auto"/>
              <w:szCs w:val="36"/>
              <w:highlight w:val="none"/>
            </w:rPr>
            <w:t>方案</w:t>
          </w:r>
          <w:r>
            <w:rPr>
              <w:color w:val="auto"/>
              <w:highlight w:val="none"/>
            </w:rPr>
            <w:tab/>
          </w:r>
          <w:r>
            <w:rPr>
              <w:color w:val="auto"/>
              <w:highlight w:val="none"/>
            </w:rPr>
            <w:fldChar w:fldCharType="begin"/>
          </w:r>
          <w:r>
            <w:rPr>
              <w:color w:val="auto"/>
              <w:highlight w:val="none"/>
            </w:rPr>
            <w:instrText xml:space="preserve"> PAGEREF _Toc23645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75138809">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_Toc24923 </w:instrText>
          </w:r>
          <w:r>
            <w:rPr>
              <w:color w:val="auto"/>
              <w:highlight w:val="none"/>
            </w:rPr>
            <w:fldChar w:fldCharType="separate"/>
          </w:r>
          <w:r>
            <w:rPr>
              <w:rFonts w:ascii="宋体" w:hAnsi="宋体" w:cs="宋体"/>
              <w:color w:val="auto"/>
              <w:szCs w:val="36"/>
              <w:highlight w:val="none"/>
            </w:rPr>
            <w:t xml:space="preserve">第六部分  </w:t>
          </w:r>
          <w:r>
            <w:rPr>
              <w:rFonts w:hint="eastAsia"/>
              <w:color w:val="auto"/>
              <w:spacing w:val="-11"/>
              <w:highlight w:val="none"/>
              <w:lang w:eastAsia="zh-CN"/>
            </w:rPr>
            <w:t>项目服务团队</w:t>
          </w:r>
          <w:r>
            <w:rPr>
              <w:color w:val="auto"/>
              <w:highlight w:val="none"/>
            </w:rPr>
            <w:tab/>
          </w:r>
          <w:r>
            <w:rPr>
              <w:color w:val="auto"/>
              <w:highlight w:val="none"/>
            </w:rPr>
            <w:fldChar w:fldCharType="begin"/>
          </w:r>
          <w:r>
            <w:rPr>
              <w:color w:val="auto"/>
              <w:highlight w:val="none"/>
            </w:rPr>
            <w:instrText xml:space="preserve"> PAGEREF _Toc24923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1DB2F06C">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_Toc5677 </w:instrText>
          </w:r>
          <w:r>
            <w:rPr>
              <w:color w:val="auto"/>
              <w:highlight w:val="none"/>
            </w:rPr>
            <w:fldChar w:fldCharType="separate"/>
          </w:r>
          <w:r>
            <w:rPr>
              <w:rFonts w:ascii="宋体" w:hAnsi="宋体" w:cs="宋体"/>
              <w:color w:val="auto"/>
              <w:szCs w:val="36"/>
              <w:highlight w:val="none"/>
            </w:rPr>
            <w:t>第</w:t>
          </w:r>
          <w:r>
            <w:rPr>
              <w:rFonts w:hint="eastAsia" w:ascii="宋体" w:hAnsi="宋体" w:cs="宋体"/>
              <w:color w:val="auto"/>
              <w:szCs w:val="36"/>
              <w:highlight w:val="none"/>
              <w:lang w:val="en-US" w:eastAsia="zh-CN"/>
            </w:rPr>
            <w:t>七</w:t>
          </w:r>
          <w:r>
            <w:rPr>
              <w:rFonts w:ascii="宋体" w:hAnsi="宋体" w:cs="宋体"/>
              <w:color w:val="auto"/>
              <w:szCs w:val="36"/>
              <w:highlight w:val="none"/>
            </w:rPr>
            <w:t xml:space="preserve">部分  </w:t>
          </w:r>
          <w:r>
            <w:rPr>
              <w:rFonts w:hint="eastAsia"/>
              <w:color w:val="auto"/>
              <w:spacing w:val="-11"/>
              <w:highlight w:val="none"/>
              <w:lang w:val="en-US" w:eastAsia="zh-CN"/>
            </w:rPr>
            <w:t>人员承诺</w:t>
          </w:r>
          <w:r>
            <w:rPr>
              <w:color w:val="auto"/>
              <w:highlight w:val="none"/>
            </w:rPr>
            <w:tab/>
          </w:r>
          <w:r>
            <w:rPr>
              <w:color w:val="auto"/>
              <w:highlight w:val="none"/>
            </w:rPr>
            <w:fldChar w:fldCharType="begin"/>
          </w:r>
          <w:r>
            <w:rPr>
              <w:color w:val="auto"/>
              <w:highlight w:val="none"/>
            </w:rPr>
            <w:instrText xml:space="preserve"> PAGEREF _Toc5677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415EF58E">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_Toc23621 </w:instrText>
          </w:r>
          <w:r>
            <w:rPr>
              <w:color w:val="auto"/>
              <w:highlight w:val="none"/>
            </w:rPr>
            <w:fldChar w:fldCharType="separate"/>
          </w:r>
          <w:r>
            <w:rPr>
              <w:rFonts w:ascii="宋体" w:hAnsi="宋体" w:cs="宋体"/>
              <w:color w:val="auto"/>
              <w:szCs w:val="36"/>
              <w:highlight w:val="none"/>
            </w:rPr>
            <w:t>第</w:t>
          </w:r>
          <w:r>
            <w:rPr>
              <w:rFonts w:hint="eastAsia" w:ascii="宋体" w:hAnsi="宋体" w:cs="宋体"/>
              <w:color w:val="auto"/>
              <w:szCs w:val="36"/>
              <w:highlight w:val="none"/>
              <w:lang w:val="en-US" w:eastAsia="zh-CN"/>
            </w:rPr>
            <w:t>八</w:t>
          </w:r>
          <w:r>
            <w:rPr>
              <w:rFonts w:ascii="宋体" w:hAnsi="宋体" w:cs="宋体"/>
              <w:color w:val="auto"/>
              <w:szCs w:val="36"/>
              <w:highlight w:val="none"/>
            </w:rPr>
            <w:t>部分  业绩一览表</w:t>
          </w:r>
          <w:r>
            <w:rPr>
              <w:color w:val="auto"/>
              <w:highlight w:val="none"/>
            </w:rPr>
            <w:tab/>
          </w:r>
          <w:r>
            <w:rPr>
              <w:color w:val="auto"/>
              <w:highlight w:val="none"/>
            </w:rPr>
            <w:fldChar w:fldCharType="begin"/>
          </w:r>
          <w:r>
            <w:rPr>
              <w:color w:val="auto"/>
              <w:highlight w:val="none"/>
            </w:rPr>
            <w:instrText xml:space="preserve"> PAGEREF _Toc23621 \h </w:instrText>
          </w:r>
          <w:r>
            <w:rPr>
              <w:color w:val="auto"/>
              <w:highlight w:val="none"/>
            </w:rPr>
            <w:fldChar w:fldCharType="separate"/>
          </w:r>
          <w:r>
            <w:rPr>
              <w:color w:val="auto"/>
              <w:highlight w:val="none"/>
            </w:rPr>
            <w:t>67</w:t>
          </w:r>
          <w:r>
            <w:rPr>
              <w:color w:val="auto"/>
              <w:highlight w:val="none"/>
            </w:rPr>
            <w:fldChar w:fldCharType="end"/>
          </w:r>
          <w:r>
            <w:rPr>
              <w:color w:val="auto"/>
              <w:highlight w:val="none"/>
            </w:rPr>
            <w:fldChar w:fldCharType="end"/>
          </w:r>
        </w:p>
        <w:p w14:paraId="2608BFA6">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_Toc3204 </w:instrText>
          </w:r>
          <w:r>
            <w:rPr>
              <w:color w:val="auto"/>
              <w:highlight w:val="none"/>
            </w:rPr>
            <w:fldChar w:fldCharType="separate"/>
          </w:r>
          <w:r>
            <w:rPr>
              <w:rFonts w:ascii="宋体" w:hAnsi="宋体" w:cs="宋体"/>
              <w:color w:val="auto"/>
              <w:szCs w:val="36"/>
              <w:highlight w:val="none"/>
            </w:rPr>
            <w:t>第</w:t>
          </w:r>
          <w:r>
            <w:rPr>
              <w:rFonts w:hint="eastAsia" w:ascii="宋体" w:hAnsi="宋体" w:cs="宋体"/>
              <w:color w:val="auto"/>
              <w:szCs w:val="36"/>
              <w:highlight w:val="none"/>
              <w:lang w:val="en-US" w:eastAsia="zh-CN"/>
            </w:rPr>
            <w:t>九</w:t>
          </w:r>
          <w:r>
            <w:rPr>
              <w:rFonts w:ascii="宋体" w:hAnsi="宋体" w:cs="宋体"/>
              <w:color w:val="auto"/>
              <w:szCs w:val="36"/>
              <w:highlight w:val="none"/>
            </w:rPr>
            <w:t>部分  供应商认为有必要说明的其他问题</w:t>
          </w:r>
          <w:r>
            <w:rPr>
              <w:color w:val="auto"/>
              <w:highlight w:val="none"/>
            </w:rPr>
            <w:tab/>
          </w:r>
          <w:r>
            <w:rPr>
              <w:color w:val="auto"/>
              <w:highlight w:val="none"/>
            </w:rPr>
            <w:fldChar w:fldCharType="begin"/>
          </w:r>
          <w:r>
            <w:rPr>
              <w:color w:val="auto"/>
              <w:highlight w:val="none"/>
            </w:rPr>
            <w:instrText xml:space="preserve"> PAGEREF _Toc3204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71C03332">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_Toc9127 </w:instrText>
          </w:r>
          <w:r>
            <w:rPr>
              <w:color w:val="auto"/>
              <w:highlight w:val="none"/>
            </w:rPr>
            <w:fldChar w:fldCharType="separate"/>
          </w:r>
          <w:r>
            <w:rPr>
              <w:rFonts w:ascii="宋体" w:hAnsi="宋体" w:cs="宋体"/>
              <w:color w:val="auto"/>
              <w:highlight w:val="none"/>
            </w:rPr>
            <w:t>附件</w:t>
          </w:r>
          <w:r>
            <w:rPr>
              <w:rFonts w:hint="eastAsia" w:ascii="宋体" w:hAnsi="宋体" w:cs="宋体"/>
              <w:color w:val="auto"/>
              <w:highlight w:val="none"/>
            </w:rPr>
            <w:t>一</w:t>
          </w:r>
          <w:r>
            <w:rPr>
              <w:rFonts w:ascii="宋体" w:hAnsi="宋体" w:cs="宋体"/>
              <w:color w:val="auto"/>
              <w:highlight w:val="none"/>
            </w:rPr>
            <w:t>、</w:t>
          </w:r>
          <w:r>
            <w:rPr>
              <w:rFonts w:hint="eastAsia" w:ascii="宋体" w:hAnsi="宋体" w:cs="宋体"/>
              <w:color w:val="auto"/>
              <w:highlight w:val="none"/>
            </w:rPr>
            <w:t>中小企业声明函（服务）</w:t>
          </w:r>
          <w:r>
            <w:rPr>
              <w:color w:val="auto"/>
              <w:highlight w:val="none"/>
            </w:rPr>
            <w:tab/>
          </w:r>
          <w:r>
            <w:rPr>
              <w:color w:val="auto"/>
              <w:highlight w:val="none"/>
            </w:rPr>
            <w:fldChar w:fldCharType="begin"/>
          </w:r>
          <w:r>
            <w:rPr>
              <w:color w:val="auto"/>
              <w:highlight w:val="none"/>
            </w:rPr>
            <w:instrText xml:space="preserve"> PAGEREF _Toc9127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096AB5E2">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_Toc6220 </w:instrText>
          </w:r>
          <w:r>
            <w:rPr>
              <w:color w:val="auto"/>
              <w:highlight w:val="none"/>
            </w:rPr>
            <w:fldChar w:fldCharType="separate"/>
          </w:r>
          <w:r>
            <w:rPr>
              <w:rFonts w:ascii="宋体" w:hAnsi="宋体" w:cs="宋体"/>
              <w:color w:val="auto"/>
              <w:highlight w:val="none"/>
            </w:rPr>
            <w:t>附件</w:t>
          </w:r>
          <w:r>
            <w:rPr>
              <w:rFonts w:hint="eastAsia" w:ascii="宋体" w:hAnsi="宋体" w:cs="宋体"/>
              <w:color w:val="auto"/>
              <w:highlight w:val="none"/>
            </w:rPr>
            <w:t>二</w:t>
          </w:r>
          <w:r>
            <w:rPr>
              <w:rFonts w:ascii="宋体" w:hAnsi="宋体" w:cs="宋体"/>
              <w:color w:val="auto"/>
              <w:highlight w:val="none"/>
            </w:rPr>
            <w:t>、残疾人福利性单位声明</w:t>
          </w:r>
          <w:r>
            <w:rPr>
              <w:color w:val="auto"/>
              <w:highlight w:val="none"/>
            </w:rPr>
            <w:tab/>
          </w:r>
          <w:r>
            <w:rPr>
              <w:color w:val="auto"/>
              <w:highlight w:val="none"/>
            </w:rPr>
            <w:fldChar w:fldCharType="begin"/>
          </w:r>
          <w:r>
            <w:rPr>
              <w:color w:val="auto"/>
              <w:highlight w:val="none"/>
            </w:rPr>
            <w:instrText xml:space="preserve"> PAGEREF _Toc6220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05AFC9AD">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_Toc14114 </w:instrText>
          </w:r>
          <w:r>
            <w:rPr>
              <w:color w:val="auto"/>
              <w:highlight w:val="none"/>
            </w:rPr>
            <w:fldChar w:fldCharType="separate"/>
          </w:r>
          <w:r>
            <w:rPr>
              <w:rFonts w:ascii="宋体" w:hAnsi="宋体" w:cs="宋体"/>
              <w:color w:val="auto"/>
              <w:highlight w:val="none"/>
            </w:rPr>
            <w:t>附件</w:t>
          </w:r>
          <w:r>
            <w:rPr>
              <w:rFonts w:hint="eastAsia" w:ascii="宋体" w:hAnsi="宋体" w:cs="宋体"/>
              <w:color w:val="auto"/>
              <w:highlight w:val="none"/>
            </w:rPr>
            <w:t>三</w:t>
          </w:r>
          <w:r>
            <w:rPr>
              <w:rFonts w:ascii="宋体" w:hAnsi="宋体" w:cs="宋体"/>
              <w:color w:val="auto"/>
              <w:highlight w:val="none"/>
            </w:rPr>
            <w:t>、监狱企业证明文件</w:t>
          </w:r>
          <w:r>
            <w:rPr>
              <w:color w:val="auto"/>
              <w:highlight w:val="none"/>
            </w:rPr>
            <w:tab/>
          </w:r>
          <w:r>
            <w:rPr>
              <w:color w:val="auto"/>
              <w:highlight w:val="none"/>
            </w:rPr>
            <w:fldChar w:fldCharType="begin"/>
          </w:r>
          <w:r>
            <w:rPr>
              <w:color w:val="auto"/>
              <w:highlight w:val="none"/>
            </w:rPr>
            <w:instrText xml:space="preserve"> PAGEREF _Toc14114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2A5735A9">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_Toc9087 </w:instrText>
          </w:r>
          <w:r>
            <w:rPr>
              <w:color w:val="auto"/>
              <w:highlight w:val="none"/>
            </w:rPr>
            <w:fldChar w:fldCharType="separate"/>
          </w:r>
          <w:r>
            <w:rPr>
              <w:rFonts w:ascii="宋体" w:hAnsi="宋体" w:cs="宋体"/>
              <w:color w:val="auto"/>
              <w:highlight w:val="none"/>
            </w:rPr>
            <w:t>附件</w:t>
          </w:r>
          <w:r>
            <w:rPr>
              <w:rFonts w:hint="eastAsia" w:ascii="宋体" w:hAnsi="宋体" w:cs="宋体"/>
              <w:color w:val="auto"/>
              <w:highlight w:val="none"/>
            </w:rPr>
            <w:t>四</w:t>
          </w:r>
          <w:r>
            <w:rPr>
              <w:rFonts w:ascii="宋体" w:hAnsi="宋体" w:cs="宋体"/>
              <w:color w:val="auto"/>
              <w:highlight w:val="none"/>
            </w:rPr>
            <w:t>、“节能产品”，“环境标志产品”证明材料</w:t>
          </w:r>
          <w:r>
            <w:rPr>
              <w:color w:val="auto"/>
              <w:highlight w:val="none"/>
            </w:rPr>
            <w:tab/>
          </w:r>
          <w:r>
            <w:rPr>
              <w:color w:val="auto"/>
              <w:highlight w:val="none"/>
            </w:rPr>
            <w:fldChar w:fldCharType="begin"/>
          </w:r>
          <w:r>
            <w:rPr>
              <w:color w:val="auto"/>
              <w:highlight w:val="none"/>
            </w:rPr>
            <w:instrText xml:space="preserve"> PAGEREF _Toc9087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3858231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_Toc1598 </w:instrText>
          </w:r>
          <w:r>
            <w:rPr>
              <w:color w:val="auto"/>
              <w:highlight w:val="none"/>
            </w:rPr>
            <w:fldChar w:fldCharType="separate"/>
          </w:r>
          <w:r>
            <w:rPr>
              <w:rFonts w:ascii="宋体" w:hAnsi="宋体" w:cs="宋体"/>
              <w:color w:val="auto"/>
              <w:highlight w:val="none"/>
            </w:rPr>
            <w:t>附件</w:t>
          </w:r>
          <w:r>
            <w:rPr>
              <w:rFonts w:hint="eastAsia" w:ascii="宋体" w:hAnsi="宋体" w:cs="宋体"/>
              <w:color w:val="auto"/>
              <w:highlight w:val="none"/>
            </w:rPr>
            <w:t>五</w:t>
          </w:r>
          <w:r>
            <w:rPr>
              <w:rFonts w:ascii="宋体" w:hAnsi="宋体" w:cs="宋体"/>
              <w:color w:val="auto"/>
              <w:highlight w:val="none"/>
            </w:rPr>
            <w:t>、质疑函范本</w:t>
          </w:r>
          <w:r>
            <w:rPr>
              <w:color w:val="auto"/>
              <w:highlight w:val="none"/>
            </w:rPr>
            <w:tab/>
          </w:r>
          <w:r>
            <w:rPr>
              <w:color w:val="auto"/>
              <w:highlight w:val="none"/>
            </w:rPr>
            <w:fldChar w:fldCharType="begin"/>
          </w:r>
          <w:r>
            <w:rPr>
              <w:color w:val="auto"/>
              <w:highlight w:val="none"/>
            </w:rPr>
            <w:instrText xml:space="preserve"> PAGEREF _Toc1598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2CFD6B39">
          <w:pPr>
            <w:pStyle w:val="14"/>
            <w:tabs>
              <w:tab w:val="right" w:leader="dot" w:pos="8306"/>
            </w:tabs>
            <w:rPr>
              <w:color w:val="auto"/>
              <w:highlight w:val="none"/>
            </w:rPr>
          </w:pPr>
          <w:r>
            <w:rPr>
              <w:color w:val="auto"/>
              <w:highlight w:val="none"/>
            </w:rPr>
            <w:fldChar w:fldCharType="end"/>
          </w:r>
        </w:p>
      </w:sdtContent>
    </w:sdt>
    <w:p w14:paraId="65C721D5">
      <w:pPr>
        <w:rPr>
          <w:color w:val="auto"/>
          <w:highlight w:val="none"/>
        </w:rPr>
      </w:pPr>
    </w:p>
    <w:p w14:paraId="78576BC4">
      <w:pPr>
        <w:rPr>
          <w:color w:val="auto"/>
          <w:highlight w:val="none"/>
        </w:rPr>
      </w:pPr>
    </w:p>
    <w:p w14:paraId="4F623029">
      <w:pPr>
        <w:spacing w:line="360" w:lineRule="auto"/>
        <w:rPr>
          <w:rFonts w:ascii="宋体" w:hAnsi="宋体" w:cs="宋体"/>
          <w:color w:val="auto"/>
          <w:highlight w:val="none"/>
        </w:rPr>
        <w:sectPr>
          <w:headerReference r:id="rId5" w:type="default"/>
          <w:footerReference r:id="rId6" w:type="default"/>
          <w:pgSz w:w="11906" w:h="16838"/>
          <w:pgMar w:top="1440" w:right="1800" w:bottom="1440" w:left="1800" w:header="851" w:footer="992" w:gutter="0"/>
          <w:pgNumType w:start="1"/>
          <w:cols w:space="720" w:num="1"/>
          <w:formProt w:val="0"/>
          <w:docGrid w:type="lines" w:linePitch="312" w:charSpace="0"/>
        </w:sectPr>
      </w:pPr>
    </w:p>
    <w:p w14:paraId="520FAC7A">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432C90D1">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安康市公共资源交易平台全流程电子化、政府采购项目内容</w:t>
      </w:r>
    </w:p>
    <w:p w14:paraId="12136571">
      <w:pPr>
        <w:numPr>
          <w:ilvl w:val="0"/>
          <w:numId w:val="2"/>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关于需要特别提醒供应商的内容</w:t>
      </w:r>
    </w:p>
    <w:p w14:paraId="106AF25F">
      <w:pPr>
        <w:numPr>
          <w:ilvl w:val="0"/>
          <w:numId w:val="3"/>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本项目采用电子化投标及远程不见面开标方式（无需提供纸质版文件，无需到开标现场）。开标时请务必携带数字认证证书，如因供应商自身原因未携带数字认证证书造成无法解密投标文件，按无效投标对待。</w:t>
      </w:r>
    </w:p>
    <w:p w14:paraId="5359779B">
      <w:pPr>
        <w:numPr>
          <w:ilvl w:val="0"/>
          <w:numId w:val="3"/>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电子开标、评标无法进行时，按照《安康市公共资源交易平台电子化交易应急处置管理办法(试行)》规定执行。</w:t>
      </w:r>
    </w:p>
    <w:p w14:paraId="77C8134E">
      <w:pPr>
        <w:numPr>
          <w:ilvl w:val="0"/>
          <w:numId w:val="3"/>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制作电子投标文件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7A58C40">
      <w:pPr>
        <w:numPr>
          <w:ilvl w:val="0"/>
          <w:numId w:val="3"/>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318A6AE3">
      <w:pPr>
        <w:numPr>
          <w:ilvl w:val="0"/>
          <w:numId w:val="2"/>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关于投标</w:t>
      </w:r>
    </w:p>
    <w:p w14:paraId="56DC799B">
      <w:pPr>
        <w:numPr>
          <w:ilvl w:val="0"/>
          <w:numId w:val="4"/>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投标须知：使用捆绑省交易平台的 CA 锁登录电子交易平台，通过政府采购系统企业端进入，点击我要投标，完善相关投标信息；</w:t>
      </w:r>
    </w:p>
    <w:p w14:paraId="1E25A2C8">
      <w:pPr>
        <w:numPr>
          <w:ilvl w:val="0"/>
          <w:numId w:val="4"/>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未完成网上投标成功的或未在规定时间内在平台上下载文件的，无法完成后续流程；</w:t>
      </w:r>
    </w:p>
    <w:p w14:paraId="048436A2">
      <w:pPr>
        <w:numPr>
          <w:ilvl w:val="0"/>
          <w:numId w:val="4"/>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本项目采用电子化投标及远程不见面开标方式（无需提供纸质版文件，无需到开标现场）的方式，相关操作流程详见全国公共资源交易平台（陕西省）网站[服务指南-下载专区]中的《陕西省公共资源交易中心政府采购项目投标指南》；</w:t>
      </w:r>
    </w:p>
    <w:p w14:paraId="52C78F62">
      <w:pPr>
        <w:numPr>
          <w:ilvl w:val="0"/>
          <w:numId w:val="4"/>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电子招标文件技术支持：4009280095、4009980000。</w:t>
      </w:r>
    </w:p>
    <w:p w14:paraId="3501430E">
      <w:pPr>
        <w:numPr>
          <w:ilvl w:val="0"/>
          <w:numId w:val="2"/>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关于文件的制作和签名</w:t>
      </w:r>
    </w:p>
    <w:p w14:paraId="47FA21F6">
      <w:pPr>
        <w:numPr>
          <w:ilvl w:val="0"/>
          <w:numId w:val="5"/>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为确保采购项目顺利开展，本项目采用电子化投标及远程不见面开标方式（无需提供纸质版文件，无需到开标现场）。投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278A79C9">
      <w:pPr>
        <w:numPr>
          <w:ilvl w:val="0"/>
          <w:numId w:val="5"/>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编制电子投标文件时，应使用最新发布的电子招标文件及专用制作工具进行编制。并使用数字认证证书（CA）对电子投标文件进行签署、加密、递交及开标时解密等相关操作。</w:t>
      </w:r>
    </w:p>
    <w:p w14:paraId="24B16E47">
      <w:pPr>
        <w:numPr>
          <w:ilvl w:val="0"/>
          <w:numId w:val="6"/>
        </w:numPr>
        <w:spacing w:line="360" w:lineRule="auto"/>
        <w:ind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电子招标文件下载供应商登录全国公共资源交易平台（陕西省）网站[电子交易平台-企业端]后，在[我的项目]中点击“项目流程-交易文件下载”下载电子招标文件（*.SXSZF）;注意：该项目如有变更文件，则应点击“项目流程&gt;答疑文件下载”下载更新后的电子招标文件（*.SXSCF），使用旧版电子招标文件制作的电子投标文件，系统将拒绝接收。</w:t>
      </w:r>
    </w:p>
    <w:p w14:paraId="576B89B1">
      <w:pPr>
        <w:numPr>
          <w:ilvl w:val="0"/>
          <w:numId w:val="6"/>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电子招标文件需要使用专用软件打开、浏览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http://www.sxggzyjy.cn/fwzn/004003/20170821/c3afa05b-f5e6-4e64-9fb0-e397ef73413d.html；</w:t>
      </w:r>
    </w:p>
    <w:p w14:paraId="20F49B5D">
      <w:pPr>
        <w:numPr>
          <w:ilvl w:val="0"/>
          <w:numId w:val="6"/>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制作电子投标文件电子投标文件同样需要使用上述软件进行编制。在编制过程中，如有技术性问题，请先翻阅操作手册或致电软件开发商，技术支持热线：4009280095、4009980000。</w:t>
      </w:r>
    </w:p>
    <w:p w14:paraId="1556A625">
      <w:pPr>
        <w:numPr>
          <w:ilvl w:val="0"/>
          <w:numId w:val="2"/>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关于响应文件递交与解密</w:t>
      </w:r>
    </w:p>
    <w:p w14:paraId="42F0958B">
      <w:pPr>
        <w:numPr>
          <w:ilvl w:val="0"/>
          <w:numId w:val="7"/>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文件递交</w:t>
      </w:r>
    </w:p>
    <w:p w14:paraId="40DCD63D">
      <w:pPr>
        <w:numPr>
          <w:ilvl w:val="0"/>
          <w:numId w:val="8"/>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66826A2B">
      <w:pPr>
        <w:numPr>
          <w:ilvl w:val="0"/>
          <w:numId w:val="8"/>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本项目招标投标采用电子化投标及远程不见面开标方式进行，（无需提供纸质版文件，无需到开标现场）。不见面开标网址：</w:t>
      </w:r>
      <w:r>
        <w:rPr>
          <w:color w:val="auto"/>
          <w:highlight w:val="none"/>
        </w:rPr>
        <w:fldChar w:fldCharType="begin"/>
      </w:r>
      <w:r>
        <w:rPr>
          <w:color w:val="auto"/>
          <w:highlight w:val="none"/>
        </w:rPr>
        <w:instrText xml:space="preserve"> HYPERLINK "http://219.145.206.209/BidOpeningHall/bidopeninghallaction/hall/login" </w:instrText>
      </w:r>
      <w:r>
        <w:rPr>
          <w:color w:val="auto"/>
          <w:highlight w:val="none"/>
        </w:rPr>
        <w:fldChar w:fldCharType="separate"/>
      </w:r>
      <w:r>
        <w:rPr>
          <w:rStyle w:val="31"/>
          <w:rFonts w:hint="eastAsia" w:ascii="宋体" w:hAnsi="宋体" w:cs="宋体"/>
          <w:b/>
          <w:bCs/>
          <w:color w:val="auto"/>
          <w:sz w:val="24"/>
          <w:szCs w:val="24"/>
          <w:highlight w:val="none"/>
        </w:rPr>
        <w:t>http://219.145.206.209/BidOpeningHall/bidopeninghallaction/hall/login</w:t>
      </w:r>
      <w:r>
        <w:rPr>
          <w:rStyle w:val="31"/>
          <w:rFonts w:hint="eastAsia" w:ascii="宋体" w:hAnsi="宋体" w:cs="宋体"/>
          <w:b/>
          <w:bCs/>
          <w:color w:val="auto"/>
          <w:sz w:val="24"/>
          <w:szCs w:val="24"/>
          <w:highlight w:val="none"/>
        </w:rPr>
        <w:fldChar w:fldCharType="end"/>
      </w:r>
    </w:p>
    <w:p w14:paraId="0EADF448">
      <w:pPr>
        <w:numPr>
          <w:ilvl w:val="0"/>
          <w:numId w:val="7"/>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文件开启与解密</w:t>
      </w:r>
    </w:p>
    <w:p w14:paraId="4A2B2F31">
      <w:pPr>
        <w:numPr>
          <w:ilvl w:val="0"/>
          <w:numId w:val="9"/>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开标时，供应商须使用电子投标文件加密时所用的数字认证证书（CA锁）在各自办公场所的电脑上自行解密电子投标文件。涉及到二次报价的，一定携带主锁报价，只有主锁才有签章功能，二次报价才能完成。</w:t>
      </w:r>
    </w:p>
    <w:p w14:paraId="70FA1C38">
      <w:pPr>
        <w:numPr>
          <w:ilvl w:val="0"/>
          <w:numId w:val="9"/>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电子开标、评标无法进行时，按照《安康市公共资源交易平台电子化交易应急处置管理办法(试行)》规定执行。</w:t>
      </w:r>
    </w:p>
    <w:p w14:paraId="1221B641">
      <w:pPr>
        <w:numPr>
          <w:ilvl w:val="0"/>
          <w:numId w:val="9"/>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编制的电子投标文件，须使用数字认证证书（CA）对电子投标文件进行签署、加密、递交及开标时解密等相关操作。响应文件中签名不能采用机打签名方式，应采用手写方式，因此导致废标或未中标，投标供应商自行承担责任。</w:t>
      </w:r>
    </w:p>
    <w:p w14:paraId="74FDBD4F">
      <w:pPr>
        <w:numPr>
          <w:ilvl w:val="0"/>
          <w:numId w:val="9"/>
        </w:numPr>
        <w:spacing w:line="360" w:lineRule="auto"/>
        <w:ind w:firstLine="361" w:firstLineChars="15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在开标环节出现下列情况之一的，其电子投标文件视为无效文件：a.供应商拒绝对电子投标文件进行解密的；b.因供应商自身原因（如未带CA锁、或所带CA锁与制作电子投标文件使用的CA锁不一致、或沿用旧版招标文件编制投标文件等情形），导致在规定时间内无法解密投标文件的；c.上传的电子投标文件无法打开的；d.政府采购法律法规规定的其他无效情形。</w:t>
      </w:r>
    </w:p>
    <w:p w14:paraId="49AE05CF">
      <w:pPr>
        <w:spacing w:line="360" w:lineRule="auto"/>
        <w:ind w:firstLine="361" w:firstLineChars="150"/>
        <w:jc w:val="left"/>
        <w:rPr>
          <w:rFonts w:ascii="宋体" w:hAnsi="宋体" w:cs="宋体"/>
          <w:b/>
          <w:bCs/>
          <w:color w:val="auto"/>
          <w:sz w:val="24"/>
          <w:szCs w:val="24"/>
          <w:highlight w:val="none"/>
        </w:rPr>
        <w:sectPr>
          <w:headerReference r:id="rId7" w:type="default"/>
          <w:footerReference r:id="rId8" w:type="default"/>
          <w:pgSz w:w="11906" w:h="16838"/>
          <w:pgMar w:top="1440" w:right="1706" w:bottom="1440" w:left="1800" w:header="851" w:footer="992" w:gutter="0"/>
          <w:pgNumType w:start="1"/>
          <w:cols w:space="720" w:num="1"/>
          <w:formProt w:val="0"/>
          <w:docGrid w:type="lines" w:linePitch="312" w:charSpace="0"/>
        </w:sectPr>
      </w:pPr>
      <w:r>
        <w:rPr>
          <w:rFonts w:hint="eastAsia" w:ascii="宋体" w:hAnsi="宋体" w:cs="宋体"/>
          <w:b/>
          <w:bCs/>
          <w:color w:val="auto"/>
          <w:sz w:val="24"/>
          <w:szCs w:val="24"/>
          <w:highlight w:val="none"/>
        </w:rPr>
        <w:t>（5）特殊情形下的应急处置在开标、评审过程中，如因停电、断网、电子化系统故障等特殊原因导致电子化开、评标无法正常进行时，按照《安康市公共资源交易平台电子化交易应急处置管理办法(试行)》规定执行。</w:t>
      </w:r>
    </w:p>
    <w:p w14:paraId="79B96AB6">
      <w:pPr>
        <w:pStyle w:val="2"/>
        <w:rPr>
          <w:rFonts w:ascii="宋体" w:hAnsi="宋体" w:cs="宋体"/>
          <w:color w:val="auto"/>
          <w:spacing w:val="-5"/>
          <w:kern w:val="0"/>
          <w:sz w:val="24"/>
          <w:szCs w:val="24"/>
          <w:highlight w:val="none"/>
        </w:rPr>
      </w:pPr>
      <w:bookmarkStart w:id="2" w:name="_Toc16016"/>
      <w:bookmarkStart w:id="3" w:name="_Toc8905"/>
      <w:bookmarkStart w:id="4" w:name="_Toc930"/>
      <w:r>
        <w:rPr>
          <w:rFonts w:ascii="宋体" w:hAnsi="宋体" w:cs="宋体"/>
          <w:color w:val="auto"/>
          <w:highlight w:val="none"/>
        </w:rPr>
        <w:t>第一部分  竞争性磋商公告</w:t>
      </w:r>
      <w:bookmarkEnd w:id="2"/>
      <w:bookmarkEnd w:id="3"/>
      <w:bookmarkEnd w:id="4"/>
    </w:p>
    <w:p w14:paraId="0AA87DCF">
      <w:pPr>
        <w:pStyle w:val="56"/>
        <w:spacing w:line="360" w:lineRule="auto"/>
        <w:jc w:val="center"/>
        <w:rPr>
          <w:rFonts w:hint="default"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t>安康市人民医院</w:t>
      </w:r>
      <w:r>
        <w:rPr>
          <w:rFonts w:hint="eastAsia" w:ascii="宋体" w:hAnsi="宋体" w:eastAsia="宋体" w:cs="宋体"/>
          <w:b/>
          <w:color w:val="auto"/>
          <w:sz w:val="24"/>
          <w:szCs w:val="24"/>
          <w:highlight w:val="none"/>
          <w:lang w:eastAsia="zh-CN"/>
        </w:rPr>
        <w:t>病房改造提升项目实施阶段全过程造价跟踪审核审计服务（二次）</w:t>
      </w:r>
    </w:p>
    <w:p w14:paraId="1C80959B">
      <w:pPr>
        <w:pStyle w:val="56"/>
        <w:spacing w:line="360" w:lineRule="auto"/>
        <w:jc w:val="center"/>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竞争性磋商公告</w:t>
      </w:r>
    </w:p>
    <w:p w14:paraId="281D2AA1">
      <w:pPr>
        <w:pStyle w:val="56"/>
        <w:spacing w:line="360" w:lineRule="auto"/>
        <w:outlineLvl w:val="5"/>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 xml:space="preserve"> 项目概况</w:t>
      </w:r>
    </w:p>
    <w:p w14:paraId="2CB439C9">
      <w:pPr>
        <w:pStyle w:val="56"/>
        <w:spacing w:line="360" w:lineRule="auto"/>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病房改造提升项目实施阶段全过程造价跟踪审核审计服务（二次）</w:t>
      </w:r>
      <w:r>
        <w:rPr>
          <w:rFonts w:ascii="宋体" w:hAnsi="宋体" w:eastAsia="宋体" w:cs="宋体"/>
          <w:color w:val="auto"/>
          <w:sz w:val="24"/>
          <w:szCs w:val="24"/>
          <w:highlight w:val="none"/>
        </w:rPr>
        <w:t>的潜在供应商应在全国公共资源交易平台（陕西省 安康市）获取采购文件，并于202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16</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 （北京时间）前提交响应文件。</w:t>
      </w:r>
    </w:p>
    <w:p w14:paraId="07E67C61">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一、项目基本情况</w:t>
      </w:r>
    </w:p>
    <w:p w14:paraId="61FDC39D">
      <w:pPr>
        <w:pStyle w:val="56"/>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ZMZB2026AKYY-241.1B1</w:t>
      </w:r>
    </w:p>
    <w:p w14:paraId="25C2161E">
      <w:pPr>
        <w:pStyle w:val="56"/>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病房改造提升项目实施阶段全过程造价跟踪审核审计服务（二次）</w:t>
      </w:r>
    </w:p>
    <w:p w14:paraId="4D8E3FEB">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采购方式：竞争性磋商</w:t>
      </w:r>
    </w:p>
    <w:p w14:paraId="41515548">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600,000.00</w:t>
      </w:r>
      <w:r>
        <w:rPr>
          <w:rFonts w:ascii="宋体" w:hAnsi="宋体" w:eastAsia="宋体" w:cs="宋体"/>
          <w:color w:val="auto"/>
          <w:sz w:val="24"/>
          <w:szCs w:val="24"/>
          <w:highlight w:val="none"/>
        </w:rPr>
        <w:t>元</w:t>
      </w:r>
    </w:p>
    <w:p w14:paraId="019083EF">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采购需求：</w:t>
      </w:r>
    </w:p>
    <w:p w14:paraId="05086355">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病房改造提升项目实施阶段全过程造价跟踪审核审计服务（二次）</w:t>
      </w:r>
      <w:r>
        <w:rPr>
          <w:rFonts w:ascii="宋体" w:hAnsi="宋体" w:eastAsia="宋体" w:cs="宋体"/>
          <w:color w:val="auto"/>
          <w:sz w:val="24"/>
          <w:szCs w:val="24"/>
          <w:highlight w:val="none"/>
        </w:rPr>
        <w:t>):</w:t>
      </w:r>
    </w:p>
    <w:p w14:paraId="1B3137CA">
      <w:pPr>
        <w:pStyle w:val="56"/>
        <w:spacing w:line="360" w:lineRule="auto"/>
        <w:ind w:firstLine="63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合同包预算金额：</w:t>
      </w:r>
      <w:r>
        <w:rPr>
          <w:rFonts w:hint="eastAsia" w:ascii="宋体" w:hAnsi="宋体" w:eastAsia="宋体" w:cs="宋体"/>
          <w:color w:val="auto"/>
          <w:sz w:val="24"/>
          <w:szCs w:val="24"/>
          <w:highlight w:val="none"/>
          <w:lang w:eastAsia="zh-CN"/>
        </w:rPr>
        <w:t>600,000.00</w:t>
      </w:r>
      <w:r>
        <w:rPr>
          <w:rFonts w:ascii="宋体" w:hAnsi="宋体" w:eastAsia="宋体" w:cs="宋体"/>
          <w:color w:val="auto"/>
          <w:sz w:val="24"/>
          <w:szCs w:val="24"/>
          <w:highlight w:val="none"/>
        </w:rPr>
        <w:t>元</w:t>
      </w:r>
    </w:p>
    <w:p w14:paraId="0AB0025A">
      <w:pPr>
        <w:pStyle w:val="56"/>
        <w:spacing w:line="360" w:lineRule="auto"/>
        <w:ind w:firstLine="63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合同包最高限价：</w:t>
      </w:r>
      <w:r>
        <w:rPr>
          <w:rFonts w:hint="eastAsia" w:ascii="宋体" w:hAnsi="宋体" w:eastAsia="宋体" w:cs="宋体"/>
          <w:color w:val="auto"/>
          <w:sz w:val="24"/>
          <w:szCs w:val="24"/>
          <w:highlight w:val="none"/>
          <w:lang w:eastAsia="zh-CN"/>
        </w:rPr>
        <w:t>600,000.00</w:t>
      </w:r>
      <w:r>
        <w:rPr>
          <w:rFonts w:ascii="宋体" w:hAnsi="宋体" w:eastAsia="宋体" w:cs="宋体"/>
          <w:color w:val="auto"/>
          <w:sz w:val="24"/>
          <w:szCs w:val="24"/>
          <w:highlight w:val="none"/>
        </w:rPr>
        <w:t>元</w:t>
      </w:r>
    </w:p>
    <w:tbl>
      <w:tblPr>
        <w:tblStyle w:val="20"/>
        <w:tblW w:w="93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97"/>
        <w:gridCol w:w="1499"/>
        <w:gridCol w:w="1515"/>
        <w:gridCol w:w="1523"/>
        <w:gridCol w:w="1515"/>
        <w:gridCol w:w="1848"/>
      </w:tblGrid>
      <w:tr w14:paraId="1BAB9C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798" w:hRule="atLeast"/>
        </w:trPr>
        <w:tc>
          <w:tcPr>
            <w:tcW w:w="1497" w:type="dxa"/>
          </w:tcPr>
          <w:p w14:paraId="27B7C218">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品目号</w:t>
            </w:r>
          </w:p>
        </w:tc>
        <w:tc>
          <w:tcPr>
            <w:tcW w:w="1499" w:type="dxa"/>
          </w:tcPr>
          <w:p w14:paraId="35EEE91C">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品目名称</w:t>
            </w:r>
          </w:p>
        </w:tc>
        <w:tc>
          <w:tcPr>
            <w:tcW w:w="1515" w:type="dxa"/>
          </w:tcPr>
          <w:p w14:paraId="361F414C">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采购标的</w:t>
            </w:r>
          </w:p>
        </w:tc>
        <w:tc>
          <w:tcPr>
            <w:tcW w:w="1523" w:type="dxa"/>
          </w:tcPr>
          <w:p w14:paraId="3CD86CA2">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数量（单位）</w:t>
            </w:r>
          </w:p>
        </w:tc>
        <w:tc>
          <w:tcPr>
            <w:tcW w:w="1515" w:type="dxa"/>
          </w:tcPr>
          <w:p w14:paraId="6ECA7E6E">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技术规格、参数及要求</w:t>
            </w:r>
          </w:p>
        </w:tc>
        <w:tc>
          <w:tcPr>
            <w:tcW w:w="1848" w:type="dxa"/>
          </w:tcPr>
          <w:p w14:paraId="2F1A9EBF">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品目预算(元)</w:t>
            </w:r>
          </w:p>
        </w:tc>
      </w:tr>
      <w:tr w14:paraId="63C74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01" w:hRule="atLeast"/>
        </w:trPr>
        <w:tc>
          <w:tcPr>
            <w:tcW w:w="1497" w:type="dxa"/>
          </w:tcPr>
          <w:p w14:paraId="32B4A726">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1-1</w:t>
            </w:r>
          </w:p>
        </w:tc>
        <w:tc>
          <w:tcPr>
            <w:tcW w:w="1499" w:type="dxa"/>
          </w:tcPr>
          <w:p w14:paraId="15DECC40">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工程造价鉴定服务</w:t>
            </w:r>
          </w:p>
        </w:tc>
        <w:tc>
          <w:tcPr>
            <w:tcW w:w="1515" w:type="dxa"/>
          </w:tcPr>
          <w:p w14:paraId="52FC48DC">
            <w:pPr>
              <w:pStyle w:val="56"/>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病房改造提升项目实施阶段全过程造价跟踪审核审计服务（二次）</w:t>
            </w:r>
          </w:p>
        </w:tc>
        <w:tc>
          <w:tcPr>
            <w:tcW w:w="1523" w:type="dxa"/>
          </w:tcPr>
          <w:p w14:paraId="34AE039A">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1(项)</w:t>
            </w:r>
          </w:p>
        </w:tc>
        <w:tc>
          <w:tcPr>
            <w:tcW w:w="1515" w:type="dxa"/>
          </w:tcPr>
          <w:p w14:paraId="59287846">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详见采购文件</w:t>
            </w:r>
          </w:p>
        </w:tc>
        <w:tc>
          <w:tcPr>
            <w:tcW w:w="1848" w:type="dxa"/>
          </w:tcPr>
          <w:p w14:paraId="05C3ED3D">
            <w:pPr>
              <w:pStyle w:val="56"/>
              <w:spacing w:line="360" w:lineRule="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600,000.00</w:t>
            </w:r>
          </w:p>
        </w:tc>
      </w:tr>
    </w:tbl>
    <w:p w14:paraId="0D75F42E">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本合同包不接受联合体投标</w:t>
      </w:r>
    </w:p>
    <w:p w14:paraId="373EF8AC">
      <w:pPr>
        <w:pStyle w:val="56"/>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 合同履行期限：</w:t>
      </w:r>
      <w:r>
        <w:rPr>
          <w:rFonts w:hint="eastAsia" w:ascii="宋体" w:hAnsi="宋体" w:eastAsia="宋体" w:cs="宋体"/>
          <w:color w:val="auto"/>
          <w:sz w:val="24"/>
          <w:szCs w:val="24"/>
          <w:highlight w:val="none"/>
          <w:lang w:eastAsia="zh-CN"/>
        </w:rPr>
        <w:t>合同签订后至工程竣工验收并工程竣工财务决算审计结束。</w:t>
      </w:r>
    </w:p>
    <w:p w14:paraId="60619142">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二、申请人的资格要求：</w:t>
      </w:r>
    </w:p>
    <w:p w14:paraId="2F9DED61">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1.满足《中华人民共和国政府采购法》第二十二条规定;</w:t>
      </w:r>
    </w:p>
    <w:p w14:paraId="3D2F9EBA">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2.落实政府采购政策需满足的资格要求：</w:t>
      </w:r>
    </w:p>
    <w:p w14:paraId="63000541">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病房改造提升项目实施阶段全过程造价跟踪审核审计服务（二次）</w:t>
      </w:r>
      <w:r>
        <w:rPr>
          <w:rFonts w:ascii="宋体" w:hAnsi="宋体" w:eastAsia="宋体" w:cs="宋体"/>
          <w:color w:val="auto"/>
          <w:sz w:val="24"/>
          <w:szCs w:val="24"/>
          <w:highlight w:val="none"/>
        </w:rPr>
        <w:t>)落实政府采购政策需满足的资格要求如下:</w:t>
      </w:r>
    </w:p>
    <w:p w14:paraId="4821D15A">
      <w:pPr>
        <w:pStyle w:val="56"/>
        <w:spacing w:line="360" w:lineRule="auto"/>
        <w:ind w:left="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本项目为专门面向</w:t>
      </w:r>
      <w:r>
        <w:rPr>
          <w:rFonts w:hint="eastAsia" w:ascii="宋体" w:hAnsi="宋体" w:eastAsia="宋体" w:cs="宋体"/>
          <w:color w:val="auto"/>
          <w:sz w:val="24"/>
          <w:szCs w:val="24"/>
          <w:highlight w:val="none"/>
          <w:lang w:val="en-US" w:eastAsia="zh-CN"/>
        </w:rPr>
        <w:t>中小</w:t>
      </w:r>
      <w:r>
        <w:rPr>
          <w:rFonts w:ascii="宋体" w:hAnsi="宋体" w:eastAsia="宋体" w:cs="宋体"/>
          <w:color w:val="auto"/>
          <w:sz w:val="24"/>
          <w:szCs w:val="24"/>
          <w:highlight w:val="none"/>
        </w:rPr>
        <w:t>企业采购的项目。</w:t>
      </w:r>
    </w:p>
    <w:p w14:paraId="020ACCA9">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3.本项目的特定资格要求：</w:t>
      </w:r>
    </w:p>
    <w:p w14:paraId="47078F8D">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病房改造提升项目实施阶段全过程造价跟踪审核审计服务（二次）</w:t>
      </w:r>
      <w:r>
        <w:rPr>
          <w:rFonts w:ascii="宋体" w:hAnsi="宋体" w:eastAsia="宋体" w:cs="宋体"/>
          <w:color w:val="auto"/>
          <w:sz w:val="24"/>
          <w:szCs w:val="24"/>
          <w:highlight w:val="none"/>
        </w:rPr>
        <w:t>)特定资格要求如下:</w:t>
      </w:r>
    </w:p>
    <w:p w14:paraId="13DC7530">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1B214925">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财务状况证明：供应商提供2024年度或2025年度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p w14:paraId="3F5460E5">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（3）具有履行合同所必需的设备和专业技术能力的书面声明；</w:t>
      </w:r>
    </w:p>
    <w:p w14:paraId="5CA7757E">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（4）税收缴纳证明：提供</w:t>
      </w:r>
      <w:r>
        <w:rPr>
          <w:rFonts w:hint="eastAsia" w:ascii="宋体" w:hAnsi="宋体" w:eastAsia="宋体" w:cs="宋体"/>
          <w:color w:val="auto"/>
          <w:sz w:val="24"/>
          <w:szCs w:val="24"/>
          <w:highlight w:val="none"/>
          <w:lang w:eastAsia="zh-CN"/>
        </w:rPr>
        <w:t>2025年6月（含6月）以来任意一个月</w:t>
      </w:r>
      <w:r>
        <w:rPr>
          <w:rFonts w:hint="default" w:ascii="宋体" w:hAnsi="宋体" w:eastAsia="宋体" w:cs="宋体"/>
          <w:color w:val="auto"/>
          <w:sz w:val="24"/>
          <w:szCs w:val="24"/>
          <w:highlight w:val="none"/>
        </w:rPr>
        <w:t>的依法缴纳税收的相关凭据（时间以税款所属时期为准），凭据应有税务机关或代收机关的公章或业务专用章。依法免税或无须缴纳税收的供应商，应提供相应证明文件；</w:t>
      </w:r>
    </w:p>
    <w:p w14:paraId="04719B74">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（5）社会保障资金缴纳证明：提供</w:t>
      </w:r>
      <w:r>
        <w:rPr>
          <w:rFonts w:hint="eastAsia" w:ascii="宋体" w:hAnsi="宋体" w:eastAsia="宋体" w:cs="宋体"/>
          <w:color w:val="auto"/>
          <w:sz w:val="24"/>
          <w:szCs w:val="24"/>
          <w:highlight w:val="none"/>
          <w:lang w:eastAsia="zh-CN"/>
        </w:rPr>
        <w:t>2025年6月（含6月）以来任意一个月</w:t>
      </w:r>
      <w:r>
        <w:rPr>
          <w:rFonts w:hint="default" w:ascii="宋体" w:hAnsi="宋体" w:eastAsia="宋体" w:cs="宋体"/>
          <w:color w:val="auto"/>
          <w:sz w:val="24"/>
          <w:szCs w:val="24"/>
          <w:highlight w:val="none"/>
        </w:rPr>
        <w:t>的社会保障资金缴存单据或社保机构开具的社会保险参保缴费情况证明。依法不需要缴纳社会保障资金的供应商应提供相关文件证明；</w:t>
      </w:r>
    </w:p>
    <w:p w14:paraId="6776BE98">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（6）参加政府采购活动前3年内在经营活动中没有重大违法记录的书面声明；</w:t>
      </w:r>
    </w:p>
    <w:p w14:paraId="0B588F4A">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（7）法定代表人授权书：非法定代表人参加开标的，须提供法定代表人委托授权书及被授权人</w:t>
      </w:r>
      <w:r>
        <w:rPr>
          <w:rFonts w:hint="eastAsia" w:ascii="宋体" w:hAnsi="宋体" w:eastAsia="宋体" w:cs="宋体"/>
          <w:color w:val="auto"/>
          <w:sz w:val="24"/>
          <w:szCs w:val="24"/>
          <w:highlight w:val="none"/>
          <w:lang w:val="en-US" w:eastAsia="zh-CN"/>
        </w:rPr>
        <w:t>2026年1月1日至今</w:t>
      </w:r>
      <w:r>
        <w:rPr>
          <w:rFonts w:hint="default" w:ascii="宋体" w:hAnsi="宋体" w:eastAsia="宋体" w:cs="宋体"/>
          <w:color w:val="auto"/>
          <w:sz w:val="24"/>
          <w:szCs w:val="24"/>
          <w:highlight w:val="none"/>
        </w:rPr>
        <w:t>任意</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rPr>
        <w:t>个月的社会保障资金（养老保险或医疗保险）的缴纳证明及被授权人身份证，法定代表人参加开标时,只需提供法定代表人身份证；</w:t>
      </w:r>
    </w:p>
    <w:p w14:paraId="225B4A66">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（8）供应商通过“信用中国”网站(www.creditchina.gov.cn)和中国政府采购网(www.ccgp.gov.cn) 查询相关主体信用记录，截止时点为采购文件发出至投标文件递交截止时间内，网页截图。对列入失信被执行人、重大税收违法案件当事人名单、政府采购严重违法失信行为记录名单的供应商，将被视为不合格供应商；</w:t>
      </w:r>
    </w:p>
    <w:p w14:paraId="0E5F4346">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（9）拟派项目负责人须具备一级注册造价工程师（土建专业）资格，且在本单位注册并缴纳社保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提供2026年1月1日至今</w:t>
      </w:r>
      <w:r>
        <w:rPr>
          <w:rFonts w:hint="default" w:ascii="宋体" w:hAnsi="宋体" w:eastAsia="宋体" w:cs="宋体"/>
          <w:color w:val="auto"/>
          <w:sz w:val="24"/>
          <w:szCs w:val="24"/>
          <w:highlight w:val="none"/>
        </w:rPr>
        <w:t>任意</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rPr>
        <w:t>个月的社会保障资金缴纳证明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w:t>
      </w:r>
    </w:p>
    <w:p w14:paraId="7645DDA1">
      <w:pPr>
        <w:pStyle w:val="56"/>
        <w:spacing w:line="360" w:lineRule="auto"/>
        <w:ind w:firstLine="480" w:firstLineChars="200"/>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（10）本项目不接受联合体；</w:t>
      </w:r>
    </w:p>
    <w:p w14:paraId="496B0829">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三、获取采购文件</w:t>
      </w:r>
    </w:p>
    <w:p w14:paraId="3B323DB0">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时间： 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10</w:t>
      </w:r>
      <w:r>
        <w:rPr>
          <w:rFonts w:ascii="宋体" w:hAnsi="宋体" w:eastAsia="宋体" w:cs="宋体"/>
          <w:color w:val="auto"/>
          <w:sz w:val="24"/>
          <w:szCs w:val="24"/>
          <w:highlight w:val="none"/>
        </w:rPr>
        <w:t>日 至 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16</w:t>
      </w:r>
      <w:r>
        <w:rPr>
          <w:rFonts w:ascii="宋体" w:hAnsi="宋体" w:eastAsia="宋体" w:cs="宋体"/>
          <w:color w:val="auto"/>
          <w:sz w:val="24"/>
          <w:szCs w:val="24"/>
          <w:highlight w:val="none"/>
        </w:rPr>
        <w:t>日 ，每天上午00:00:00至12:00:00，下午12:00:00至23:59:59（北京时间）</w:t>
      </w:r>
    </w:p>
    <w:p w14:paraId="5F6AB9D2">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途径：全国公共资源交易平台（陕西省 安康市）</w:t>
      </w:r>
    </w:p>
    <w:p w14:paraId="5D796DA5">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方式：在线获取</w:t>
      </w:r>
    </w:p>
    <w:p w14:paraId="3A1549C7">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售价：免费获取</w:t>
      </w:r>
    </w:p>
    <w:p w14:paraId="25D91358">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四、响应文件提交</w:t>
      </w:r>
    </w:p>
    <w:p w14:paraId="09BFF848">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截止时间：202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16</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分00秒 （北京时间）</w:t>
      </w:r>
    </w:p>
    <w:p w14:paraId="6F7B938C">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地点：全国公共资源交易中心平台（陕西省 安康市）（上传电子响应文件）</w:t>
      </w:r>
    </w:p>
    <w:p w14:paraId="3A0C927C">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五、开启</w:t>
      </w:r>
    </w:p>
    <w:p w14:paraId="1B9E4B9F">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时间：202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16</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分00秒 （北京时间）</w:t>
      </w:r>
    </w:p>
    <w:p w14:paraId="4257FB53">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地点：全国公共资源交易平台（陕西省·安康市）不见面开标系统</w:t>
      </w:r>
    </w:p>
    <w:p w14:paraId="0AAFFDAC">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六、公告期限</w:t>
      </w:r>
    </w:p>
    <w:p w14:paraId="66A0C054">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自本公告发布之日起3个工作日。</w:t>
      </w:r>
    </w:p>
    <w:p w14:paraId="37996AFF">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七、其他补充事宜</w:t>
      </w:r>
    </w:p>
    <w:p w14:paraId="37FFFE6A">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1.落实的政府采购政策:</w:t>
      </w:r>
    </w:p>
    <w:p w14:paraId="130C40B6">
      <w:pPr>
        <w:pStyle w:val="56"/>
        <w:spacing w:line="360" w:lineRule="auto"/>
        <w:ind w:firstLine="480"/>
        <w:jc w:val="both"/>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依据《中华人民共和国政府采购法》和《中华人民共和国政府采购法实施条例》的有关规定，落实政府采购“优先购买节能环保产品、扶持小微企业、监狱企业、福利企业”等相关政策。</w:t>
      </w:r>
    </w:p>
    <w:p w14:paraId="39199E70">
      <w:pPr>
        <w:pStyle w:val="56"/>
        <w:spacing w:line="360" w:lineRule="auto"/>
        <w:ind w:firstLine="480" w:firstLineChars="20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rPr>
        <w:t>《政府采购促进中小企业发展管理办法》（财库〔2020〕46号）；</w:t>
      </w:r>
    </w:p>
    <w:p w14:paraId="34773A7C">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rPr>
        <w:t>《财政部司法部关于政府采购支持监狱企业发展有关问题的通知》（财库〔2014〕68号）；</w:t>
      </w:r>
    </w:p>
    <w:p w14:paraId="0E0039D9">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《国务院办公厅关于建立政府强制采购节能产品制度的通知》（国办发〔2007〕51号）；</w:t>
      </w:r>
    </w:p>
    <w:p w14:paraId="3C562033">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rPr>
        <w:t>《财政部 发展改革委 生态环境部 市场监管总局关于调整优化节能产品、环境标志产品政府采购执行机制的通知》（财库[2019]9号）</w:t>
      </w:r>
    </w:p>
    <w:p w14:paraId="76497B08">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rPr>
        <w:t>《市场监管总局关于发布参与实施政府采购节能产品、环境标志产品认证机构名录的公告》（2019年第16号）</w:t>
      </w:r>
    </w:p>
    <w:p w14:paraId="29E89B5C">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rPr>
        <w:t>《三部门联合发布关于促进残疾人就业政府采购政策的通知》（财库〔2017〕141号）。</w:t>
      </w:r>
    </w:p>
    <w:p w14:paraId="661A4C23">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rPr>
        <w:t>《陕西省中小企业政府采购信用融资办法》（陕财办采〔2018〕23号）</w:t>
      </w:r>
    </w:p>
    <w:p w14:paraId="2058328F">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rPr>
        <w:t>《国务院办公厅关于在政府采购中实施本国产品标准及相关政策的通知》（国办发〔2025〕34号）</w:t>
      </w:r>
    </w:p>
    <w:p w14:paraId="251744EB">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rPr>
        <w:t>《关于推动解决政府采购异常低价问题的通知》（财库〔2026〕2号）</w:t>
      </w:r>
    </w:p>
    <w:p w14:paraId="24192B10">
      <w:pPr>
        <w:pStyle w:val="56"/>
        <w:spacing w:line="360" w:lineRule="auto"/>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default" w:ascii="宋体" w:hAnsi="宋体" w:eastAsia="宋体" w:cs="宋体"/>
          <w:color w:val="auto"/>
          <w:sz w:val="24"/>
          <w:szCs w:val="24"/>
          <w:highlight w:val="none"/>
        </w:rPr>
        <w:t>如有最新颁布的政府采购政策，按最新的文件执行。</w:t>
      </w:r>
    </w:p>
    <w:p w14:paraId="51B63C8B">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2.注意事项：</w:t>
      </w:r>
    </w:p>
    <w:p w14:paraId="25782B2B">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（1）获取须知：投标供应商使用捆绑省交易平台的CA锁登录电子交易平台，选择电子交易平台中的陕西政府采购交易系统企业端进行登录，登录后选择“交易乙方”身份进入供应商界面进行网上报名。</w:t>
      </w:r>
    </w:p>
    <w:p w14:paraId="1EC81DE1">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（2）未完成网上投标成功的或未在规定时间内在平台上下载文件的，导致无法完成后续流程或因供应商未提交报名资料无法接收后续相关信息的责任自负。</w:t>
      </w:r>
    </w:p>
    <w:p w14:paraId="76806597">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3）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响应文件，按无效投标对待。</w:t>
      </w:r>
    </w:p>
    <w:p w14:paraId="48B90D44">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（4）电子投标文件技术支持：4009280095、4009980000。</w:t>
      </w:r>
    </w:p>
    <w:p w14:paraId="1AE14DB3">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（5）请各供应商购买磋商文件后，按照陕西省财政厅《关于政府采购供应商注册登记有关事项的通知》要求，通过陕西省政府采购网注册登记加入陕西省政府采购供应商库。</w:t>
      </w:r>
    </w:p>
    <w:p w14:paraId="642B8A73">
      <w:pPr>
        <w:pStyle w:val="56"/>
        <w:spacing w:line="360" w:lineRule="auto"/>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八、对本次招标提出询问，请按以下方式联系。</w:t>
      </w:r>
    </w:p>
    <w:p w14:paraId="3F9751F6">
      <w:pPr>
        <w:pStyle w:val="56"/>
        <w:spacing w:line="360" w:lineRule="auto"/>
        <w:outlineLvl w:val="5"/>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1.采购人信息</w:t>
      </w:r>
    </w:p>
    <w:p w14:paraId="457CEEC1">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名称：安康市人民医院</w:t>
      </w:r>
    </w:p>
    <w:p w14:paraId="685DE499">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地址：安康市江北大街38号</w:t>
      </w:r>
    </w:p>
    <w:p w14:paraId="021BF2B8">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联系方式：0915-3368395</w:t>
      </w:r>
    </w:p>
    <w:p w14:paraId="58146490">
      <w:pPr>
        <w:pStyle w:val="56"/>
        <w:spacing w:line="360" w:lineRule="auto"/>
        <w:outlineLvl w:val="5"/>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2.采购代理机构信息</w:t>
      </w:r>
    </w:p>
    <w:p w14:paraId="35A03AA4">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名称：陕西卓佲项目管理有限公司</w:t>
      </w:r>
    </w:p>
    <w:p w14:paraId="2D6A164C">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地址：西安市雁塔区科技路30号合力紫郡B座21层</w:t>
      </w:r>
    </w:p>
    <w:p w14:paraId="4801B1F2">
      <w:pPr>
        <w:pStyle w:val="56"/>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联系方式：1777896606</w:t>
      </w:r>
      <w:r>
        <w:rPr>
          <w:rFonts w:ascii="宋体" w:hAnsi="宋体" w:eastAsia="宋体" w:cs="宋体"/>
          <w:color w:val="auto"/>
          <w:sz w:val="24"/>
          <w:szCs w:val="24"/>
          <w:highlight w:val="none"/>
          <w:lang w:eastAsia="zh-CN"/>
        </w:rPr>
        <w:t>2</w:t>
      </w:r>
    </w:p>
    <w:p w14:paraId="4964ABAD">
      <w:pPr>
        <w:pStyle w:val="56"/>
        <w:spacing w:line="360" w:lineRule="auto"/>
        <w:outlineLvl w:val="5"/>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3.项目联系方式</w:t>
      </w:r>
    </w:p>
    <w:p w14:paraId="04F409DB">
      <w:pPr>
        <w:pStyle w:val="56"/>
        <w:spacing w:line="36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项目联系人：米文佳 </w:t>
      </w:r>
      <w:r>
        <w:rPr>
          <w:rFonts w:hint="eastAsia" w:ascii="宋体" w:hAnsi="宋体" w:eastAsia="宋体" w:cs="宋体"/>
          <w:color w:val="auto"/>
          <w:sz w:val="24"/>
          <w:szCs w:val="24"/>
          <w:highlight w:val="none"/>
          <w:lang w:val="en-US" w:eastAsia="zh-CN"/>
        </w:rPr>
        <w:t>马魏臣</w:t>
      </w:r>
    </w:p>
    <w:p w14:paraId="001B3EA5">
      <w:pPr>
        <w:pStyle w:val="56"/>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电话：1777896606</w:t>
      </w:r>
      <w:r>
        <w:rPr>
          <w:rFonts w:ascii="宋体" w:hAnsi="宋体" w:eastAsia="宋体" w:cs="宋体"/>
          <w:color w:val="auto"/>
          <w:sz w:val="24"/>
          <w:szCs w:val="24"/>
          <w:highlight w:val="none"/>
          <w:lang w:eastAsia="zh-CN"/>
        </w:rPr>
        <w:t>2</w:t>
      </w:r>
    </w:p>
    <w:p w14:paraId="3A1801AA">
      <w:pPr>
        <w:pStyle w:val="56"/>
        <w:spacing w:line="360" w:lineRule="auto"/>
        <w:rPr>
          <w:rFonts w:hint="default" w:ascii="宋体" w:hAnsi="宋体" w:eastAsia="宋体" w:cs="宋体"/>
          <w:color w:val="auto"/>
          <w:sz w:val="24"/>
          <w:szCs w:val="24"/>
          <w:highlight w:val="none"/>
        </w:rPr>
      </w:pPr>
    </w:p>
    <w:p w14:paraId="212B54FD">
      <w:pPr>
        <w:widowControl/>
        <w:spacing w:line="336" w:lineRule="auto"/>
        <w:jc w:val="right"/>
        <w:rPr>
          <w:rFonts w:ascii="宋体" w:hAnsi="宋体" w:cs="宋体"/>
          <w:b/>
          <w:bCs/>
          <w:color w:val="auto"/>
          <w:kern w:val="44"/>
          <w:sz w:val="32"/>
          <w:szCs w:val="32"/>
          <w:highlight w:val="none"/>
        </w:rPr>
      </w:pPr>
      <w:r>
        <w:rPr>
          <w:rFonts w:hint="eastAsia" w:ascii="宋体" w:hAnsi="宋体" w:cs="宋体"/>
          <w:color w:val="auto"/>
          <w:sz w:val="24"/>
          <w:szCs w:val="24"/>
          <w:highlight w:val="none"/>
        </w:rPr>
        <w:t>陕西卓佲项目管理有限公司</w:t>
      </w:r>
    </w:p>
    <w:p w14:paraId="292BE23C">
      <w:pPr>
        <w:spacing w:line="360" w:lineRule="auto"/>
        <w:jc w:val="right"/>
        <w:rPr>
          <w:rFonts w:ascii="宋体" w:hAnsi="宋体" w:cs="宋体"/>
          <w:bCs/>
          <w:color w:val="auto"/>
          <w:sz w:val="24"/>
          <w:szCs w:val="24"/>
          <w:highlight w:val="none"/>
        </w:rPr>
      </w:pPr>
      <w:r>
        <w:rPr>
          <w:rFonts w:hint="eastAsia" w:ascii="宋体" w:hAnsi="宋体" w:cs="宋体"/>
          <w:bCs/>
          <w:color w:val="auto"/>
          <w:sz w:val="24"/>
          <w:szCs w:val="24"/>
          <w:highlight w:val="none"/>
        </w:rPr>
        <w:t>2026年</w:t>
      </w:r>
      <w:r>
        <w:rPr>
          <w:rFonts w:hint="eastAsia" w:ascii="宋体" w:hAnsi="宋体" w:cs="宋体"/>
          <w:bCs/>
          <w:color w:val="auto"/>
          <w:sz w:val="24"/>
          <w:szCs w:val="24"/>
          <w:highlight w:val="none"/>
          <w:lang w:val="en-US" w:eastAsia="zh-CN"/>
        </w:rPr>
        <w:t>07</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lang w:val="en-US" w:eastAsia="zh-CN"/>
        </w:rPr>
        <w:t>09</w:t>
      </w:r>
      <w:r>
        <w:rPr>
          <w:rFonts w:hint="eastAsia" w:ascii="宋体" w:hAnsi="宋体" w:cs="宋体"/>
          <w:bCs/>
          <w:color w:val="auto"/>
          <w:sz w:val="24"/>
          <w:szCs w:val="24"/>
          <w:highlight w:val="none"/>
        </w:rPr>
        <w:t>日</w:t>
      </w:r>
    </w:p>
    <w:p w14:paraId="61003E78">
      <w:pPr>
        <w:rPr>
          <w:rFonts w:ascii="宋体" w:hAnsi="宋体" w:cs="宋体"/>
          <w:bCs/>
          <w:color w:val="auto"/>
          <w:sz w:val="24"/>
          <w:szCs w:val="24"/>
          <w:highlight w:val="none"/>
        </w:rPr>
      </w:pPr>
      <w:r>
        <w:rPr>
          <w:rFonts w:hint="eastAsia" w:ascii="宋体" w:hAnsi="宋体" w:cs="宋体"/>
          <w:bCs/>
          <w:color w:val="auto"/>
          <w:sz w:val="24"/>
          <w:szCs w:val="24"/>
          <w:highlight w:val="none"/>
        </w:rPr>
        <w:br w:type="page"/>
      </w:r>
    </w:p>
    <w:p w14:paraId="5B2EB3CF">
      <w:pPr>
        <w:pStyle w:val="2"/>
        <w:numPr>
          <w:ilvl w:val="0"/>
          <w:numId w:val="10"/>
        </w:numPr>
        <w:rPr>
          <w:rFonts w:cs="宋体"/>
          <w:color w:val="auto"/>
          <w:highlight w:val="none"/>
        </w:rPr>
      </w:pPr>
      <w:bookmarkStart w:id="5" w:name="_Toc26378"/>
      <w:bookmarkStart w:id="6" w:name="_Toc2923"/>
      <w:bookmarkStart w:id="7" w:name="_Toc9040"/>
      <w:r>
        <w:rPr>
          <w:rFonts w:ascii="宋体" w:hAnsi="宋体" w:cs="宋体"/>
          <w:color w:val="auto"/>
          <w:highlight w:val="none"/>
        </w:rPr>
        <w:t>供应商须知前附表</w:t>
      </w:r>
      <w:bookmarkEnd w:id="5"/>
      <w:bookmarkEnd w:id="6"/>
      <w:bookmarkEnd w:id="7"/>
    </w:p>
    <w:tbl>
      <w:tblPr>
        <w:tblStyle w:val="20"/>
        <w:tblW w:w="9420" w:type="dxa"/>
        <w:tblInd w:w="-711" w:type="dxa"/>
        <w:tblLayout w:type="fixed"/>
        <w:tblCellMar>
          <w:top w:w="0" w:type="dxa"/>
          <w:left w:w="28" w:type="dxa"/>
          <w:bottom w:w="0" w:type="dxa"/>
          <w:right w:w="28" w:type="dxa"/>
        </w:tblCellMar>
      </w:tblPr>
      <w:tblGrid>
        <w:gridCol w:w="600"/>
        <w:gridCol w:w="1652"/>
        <w:gridCol w:w="7168"/>
      </w:tblGrid>
      <w:tr w14:paraId="1AA80E2D">
        <w:tblPrEx>
          <w:tblCellMar>
            <w:top w:w="0" w:type="dxa"/>
            <w:left w:w="28" w:type="dxa"/>
            <w:bottom w:w="0" w:type="dxa"/>
            <w:right w:w="28" w:type="dxa"/>
          </w:tblCellMar>
        </w:tblPrEx>
        <w:trPr>
          <w:trHeight w:val="101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0A0DAC1">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652" w:type="dxa"/>
            <w:tcBorders>
              <w:top w:val="single" w:color="000000" w:sz="6" w:space="0"/>
              <w:left w:val="single" w:color="000000" w:sz="6" w:space="0"/>
              <w:bottom w:val="single" w:color="000000" w:sz="6" w:space="0"/>
              <w:right w:val="single" w:color="000000" w:sz="6" w:space="0"/>
            </w:tcBorders>
            <w:vAlign w:val="center"/>
          </w:tcPr>
          <w:p w14:paraId="10BB3D69">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7168" w:type="dxa"/>
            <w:tcBorders>
              <w:top w:val="single" w:color="000000" w:sz="6" w:space="0"/>
              <w:left w:val="single" w:color="000000" w:sz="6" w:space="0"/>
              <w:bottom w:val="single" w:color="000000" w:sz="6" w:space="0"/>
              <w:right w:val="single" w:color="000000" w:sz="6" w:space="0"/>
            </w:tcBorders>
          </w:tcPr>
          <w:p w14:paraId="403A9D19">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说明和要求</w:t>
            </w:r>
          </w:p>
        </w:tc>
      </w:tr>
      <w:tr w14:paraId="7AEA0608">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87304FB">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1</w:t>
            </w:r>
          </w:p>
        </w:tc>
        <w:tc>
          <w:tcPr>
            <w:tcW w:w="1652" w:type="dxa"/>
            <w:tcBorders>
              <w:top w:val="single" w:color="000000" w:sz="6" w:space="0"/>
              <w:left w:val="single" w:color="000000" w:sz="6" w:space="0"/>
              <w:bottom w:val="single" w:color="000000" w:sz="6" w:space="0"/>
              <w:right w:val="single" w:color="000000" w:sz="6" w:space="0"/>
            </w:tcBorders>
            <w:vAlign w:val="center"/>
          </w:tcPr>
          <w:p w14:paraId="63082FCF">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资格要求</w:t>
            </w:r>
          </w:p>
        </w:tc>
        <w:tc>
          <w:tcPr>
            <w:tcW w:w="7168" w:type="dxa"/>
            <w:tcBorders>
              <w:top w:val="single" w:color="000000" w:sz="6" w:space="0"/>
              <w:left w:val="single" w:color="000000" w:sz="6" w:space="0"/>
              <w:bottom w:val="single" w:color="000000" w:sz="6" w:space="0"/>
              <w:right w:val="single" w:color="000000" w:sz="6" w:space="0"/>
            </w:tcBorders>
            <w:vAlign w:val="center"/>
          </w:tcPr>
          <w:p w14:paraId="1AA9326B">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1.满足《中华人民共和国政府采购法》第二十二条规定;</w:t>
            </w:r>
          </w:p>
          <w:p w14:paraId="62BFA2CA">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2.落实政府采购政策需满足的资格要求：本项目为专门面向</w:t>
            </w:r>
            <w:r>
              <w:rPr>
                <w:rFonts w:hint="eastAsia" w:ascii="宋体" w:hAnsi="宋体" w:eastAsia="宋体" w:cs="宋体"/>
                <w:color w:val="auto"/>
                <w:sz w:val="24"/>
                <w:szCs w:val="24"/>
                <w:highlight w:val="none"/>
                <w:lang w:val="en-US" w:eastAsia="zh-CN"/>
              </w:rPr>
              <w:t>中小</w:t>
            </w:r>
            <w:r>
              <w:rPr>
                <w:rFonts w:ascii="宋体" w:hAnsi="宋体" w:eastAsia="宋体" w:cs="宋体"/>
                <w:color w:val="auto"/>
                <w:sz w:val="24"/>
                <w:szCs w:val="24"/>
                <w:highlight w:val="none"/>
              </w:rPr>
              <w:t>企业采购的项目。</w:t>
            </w:r>
          </w:p>
          <w:p w14:paraId="6A708506">
            <w:pPr>
              <w:pStyle w:val="56"/>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3.本项目的特定资格要求：</w:t>
            </w:r>
          </w:p>
          <w:p w14:paraId="50E19213">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310007DC">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财务状况证明：供应商提供2024年度或2025年度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p w14:paraId="5C908723">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（3）具有履行合同所必需的设备和专业技术能力的书面声明；</w:t>
            </w:r>
          </w:p>
          <w:p w14:paraId="7A085AFC">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税收缴纳证明：提供2025年6月（含6月）以来任意一个月的依法缴纳税收的相关凭据（时间以税款所属时期为准），凭据应有税务机关或代收机关的公章或业务专用章。依法免税或无须缴纳税收的供应商，应提供相应证明文件；</w:t>
            </w:r>
          </w:p>
          <w:p w14:paraId="22A285B6">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（5）社会保障资金缴纳证明：提供2025年6月（含6月）以来任意一个月的社会保障资金缴存单据或社保机构开具的社会保险参保缴费情况证明。依法不需要缴纳社会保障资金的供应商应提供相关文件证明；</w:t>
            </w:r>
          </w:p>
          <w:p w14:paraId="374B5DA3">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（6）参加政府采购活动前3年内在经营活动中没有重大违法记录的书面声明；</w:t>
            </w:r>
          </w:p>
          <w:p w14:paraId="24AFCC48">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（7）法定代表人授权书：非法定代表人参加开标的，须提供法定代表人委托授权书及被授权人</w:t>
            </w:r>
            <w:r>
              <w:rPr>
                <w:rFonts w:hint="eastAsia" w:ascii="宋体" w:hAnsi="宋体" w:eastAsia="宋体" w:cs="宋体"/>
                <w:color w:val="auto"/>
                <w:sz w:val="24"/>
                <w:szCs w:val="24"/>
                <w:highlight w:val="none"/>
                <w:lang w:val="en-US" w:eastAsia="zh-CN"/>
              </w:rPr>
              <w:t>2026年1月1日至今</w:t>
            </w:r>
            <w:r>
              <w:rPr>
                <w:rFonts w:hint="default" w:ascii="宋体" w:hAnsi="宋体" w:eastAsia="宋体" w:cs="宋体"/>
                <w:color w:val="auto"/>
                <w:sz w:val="24"/>
                <w:szCs w:val="24"/>
                <w:highlight w:val="none"/>
              </w:rPr>
              <w:t>任意</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rPr>
              <w:t>个月的社会保障资金（养老保险或医疗保险）的缴纳证明及被授权人身份证，法定代表人参加开标时,只需提供法定代表人身份证；</w:t>
            </w:r>
          </w:p>
          <w:p w14:paraId="68F39992">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（8）供应商通过“信用中国”网站(www.creditchina.gov.cn)和中国政府采购网(www.ccgp.gov.cn) 查询相关主体信用记录，截止时点为采购文件发出至投标文件递交截止时间内，网页截图。对列入失信被执行人、重大税收违法案件当事人名单、政府采购严重违法失信行为记录名单的供应商，将被视为不合格供应商；</w:t>
            </w:r>
          </w:p>
          <w:p w14:paraId="4F57B2AB">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（9）拟派项目负责人须具备一级注册造价工程师（土建专业）资格，且在本单位注册并缴纳社保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提供2026年1月1日至今</w:t>
            </w:r>
            <w:r>
              <w:rPr>
                <w:rFonts w:hint="default" w:ascii="宋体" w:hAnsi="宋体" w:eastAsia="宋体" w:cs="宋体"/>
                <w:color w:val="auto"/>
                <w:sz w:val="24"/>
                <w:szCs w:val="24"/>
                <w:highlight w:val="none"/>
              </w:rPr>
              <w:t>任意</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rPr>
              <w:t>个月的社会保障资金缴纳证明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w:t>
            </w:r>
          </w:p>
          <w:p w14:paraId="41D702FE">
            <w:pPr>
              <w:pStyle w:val="56"/>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（10）本项目不接受联合体；</w:t>
            </w:r>
          </w:p>
          <w:p w14:paraId="39543D7A">
            <w:pPr>
              <w:spacing w:line="336"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以上项为资格审查必备资质。响应文件须附上述资格证明文件，缺少其中一项或某项达不到采购文件要求，其响应文件按无效文件处理。</w:t>
            </w:r>
          </w:p>
        </w:tc>
      </w:tr>
      <w:tr w14:paraId="2527593C">
        <w:tblPrEx>
          <w:tblCellMar>
            <w:top w:w="0" w:type="dxa"/>
            <w:left w:w="28" w:type="dxa"/>
            <w:bottom w:w="0" w:type="dxa"/>
            <w:right w:w="28" w:type="dxa"/>
          </w:tblCellMar>
        </w:tblPrEx>
        <w:trPr>
          <w:trHeight w:val="12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56C5CADB">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2</w:t>
            </w:r>
          </w:p>
        </w:tc>
        <w:tc>
          <w:tcPr>
            <w:tcW w:w="1652" w:type="dxa"/>
            <w:tcBorders>
              <w:top w:val="single" w:color="000000" w:sz="6" w:space="0"/>
              <w:left w:val="single" w:color="000000" w:sz="6" w:space="0"/>
              <w:bottom w:val="single" w:color="000000" w:sz="6" w:space="0"/>
              <w:right w:val="single" w:color="000000" w:sz="6" w:space="0"/>
            </w:tcBorders>
            <w:vAlign w:val="center"/>
          </w:tcPr>
          <w:p w14:paraId="202C248B">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符合性审查</w:t>
            </w:r>
          </w:p>
        </w:tc>
        <w:tc>
          <w:tcPr>
            <w:tcW w:w="7168" w:type="dxa"/>
            <w:tcBorders>
              <w:top w:val="single" w:color="000000" w:sz="6" w:space="0"/>
              <w:left w:val="single" w:color="000000" w:sz="6" w:space="0"/>
              <w:bottom w:val="single" w:color="000000" w:sz="6" w:space="0"/>
              <w:right w:val="single" w:color="000000" w:sz="6" w:space="0"/>
            </w:tcBorders>
          </w:tcPr>
          <w:p w14:paraId="4323F812">
            <w:pPr>
              <w:pStyle w:val="42"/>
              <w:snapToGrid w:val="0"/>
              <w:spacing w:line="336" w:lineRule="auto"/>
              <w:rPr>
                <w:rFonts w:cs="宋体"/>
                <w:color w:val="auto"/>
                <w:sz w:val="24"/>
                <w:szCs w:val="24"/>
                <w:highlight w:val="none"/>
              </w:rPr>
            </w:pPr>
            <w:r>
              <w:rPr>
                <w:rFonts w:hint="eastAsia" w:cs="宋体"/>
                <w:color w:val="auto"/>
                <w:sz w:val="24"/>
                <w:szCs w:val="24"/>
                <w:highlight w:val="none"/>
              </w:rPr>
              <w:t>有下列情形之一的，应在符合性审查时按照无效响应处理。</w:t>
            </w:r>
          </w:p>
          <w:p w14:paraId="00FA553A">
            <w:pPr>
              <w:pStyle w:val="42"/>
              <w:snapToGrid w:val="0"/>
              <w:spacing w:line="336" w:lineRule="auto"/>
              <w:rPr>
                <w:rFonts w:cs="宋体"/>
                <w:color w:val="auto"/>
                <w:sz w:val="24"/>
                <w:szCs w:val="24"/>
                <w:highlight w:val="none"/>
              </w:rPr>
            </w:pPr>
            <w:r>
              <w:rPr>
                <w:rFonts w:hint="eastAsia" w:cs="宋体"/>
                <w:color w:val="auto"/>
                <w:sz w:val="24"/>
                <w:szCs w:val="24"/>
                <w:highlight w:val="none"/>
              </w:rPr>
              <w:t>（1）响应报价超过采购预算或者最高限价；</w:t>
            </w:r>
          </w:p>
          <w:p w14:paraId="16EBA3A0">
            <w:pPr>
              <w:pStyle w:val="42"/>
              <w:snapToGrid w:val="0"/>
              <w:spacing w:line="336" w:lineRule="auto"/>
              <w:rPr>
                <w:rFonts w:cs="宋体"/>
                <w:color w:val="auto"/>
                <w:sz w:val="24"/>
                <w:szCs w:val="24"/>
                <w:highlight w:val="none"/>
              </w:rPr>
            </w:pPr>
            <w:r>
              <w:rPr>
                <w:rFonts w:hint="eastAsia" w:cs="宋体"/>
                <w:color w:val="auto"/>
                <w:sz w:val="24"/>
                <w:szCs w:val="24"/>
                <w:highlight w:val="none"/>
              </w:rPr>
              <w:t>（2）</w:t>
            </w:r>
            <w:r>
              <w:rPr>
                <w:rFonts w:hint="eastAsia" w:cs="宋体"/>
                <w:color w:val="auto"/>
                <w:sz w:val="24"/>
                <w:szCs w:val="24"/>
                <w:highlight w:val="none"/>
                <w:lang w:val="en-US" w:eastAsia="zh-CN"/>
              </w:rPr>
              <w:t>商务条款</w:t>
            </w:r>
            <w:r>
              <w:rPr>
                <w:rFonts w:hint="eastAsia" w:cs="宋体"/>
                <w:color w:val="auto"/>
                <w:sz w:val="24"/>
                <w:szCs w:val="24"/>
                <w:highlight w:val="none"/>
              </w:rPr>
              <w:t>不满足竞争性磋商文件要求；</w:t>
            </w:r>
          </w:p>
          <w:p w14:paraId="560445B6">
            <w:pPr>
              <w:pStyle w:val="42"/>
              <w:snapToGrid w:val="0"/>
              <w:spacing w:line="336" w:lineRule="auto"/>
              <w:rPr>
                <w:rFonts w:cs="宋体"/>
                <w:color w:val="auto"/>
                <w:sz w:val="24"/>
                <w:szCs w:val="24"/>
                <w:highlight w:val="none"/>
              </w:rPr>
            </w:pPr>
            <w:r>
              <w:rPr>
                <w:rFonts w:hint="eastAsia" w:cs="宋体"/>
                <w:color w:val="auto"/>
                <w:sz w:val="24"/>
                <w:szCs w:val="24"/>
                <w:highlight w:val="none"/>
              </w:rPr>
              <w:t>（3）响应文件的签署、盖章不符合竞争性磋商文件要求；</w:t>
            </w:r>
          </w:p>
          <w:p w14:paraId="6AFE348B">
            <w:pPr>
              <w:pStyle w:val="42"/>
              <w:snapToGrid w:val="0"/>
              <w:spacing w:line="336" w:lineRule="auto"/>
              <w:rPr>
                <w:rFonts w:cs="宋体"/>
                <w:color w:val="auto"/>
                <w:sz w:val="24"/>
                <w:szCs w:val="24"/>
                <w:highlight w:val="none"/>
              </w:rPr>
            </w:pPr>
            <w:r>
              <w:rPr>
                <w:rFonts w:hint="eastAsia" w:cs="宋体"/>
                <w:color w:val="auto"/>
                <w:sz w:val="24"/>
                <w:szCs w:val="24"/>
                <w:highlight w:val="none"/>
              </w:rPr>
              <w:t>（4）响应文件无响应有效期或有效期达不到竞争性磋商文件要求的；</w:t>
            </w:r>
          </w:p>
          <w:p w14:paraId="18549319">
            <w:pPr>
              <w:pStyle w:val="42"/>
              <w:snapToGrid w:val="0"/>
              <w:spacing w:line="336" w:lineRule="auto"/>
              <w:rPr>
                <w:rFonts w:cs="宋体"/>
                <w:color w:val="auto"/>
                <w:sz w:val="24"/>
                <w:szCs w:val="24"/>
                <w:highlight w:val="none"/>
              </w:rPr>
            </w:pPr>
            <w:r>
              <w:rPr>
                <w:rFonts w:hint="eastAsia" w:cs="宋体"/>
                <w:color w:val="auto"/>
                <w:sz w:val="24"/>
                <w:szCs w:val="24"/>
                <w:highlight w:val="none"/>
              </w:rPr>
              <w:t>（5）响应文件含有采购人不能接受的附加条件的；</w:t>
            </w:r>
          </w:p>
          <w:p w14:paraId="0608AE84">
            <w:pPr>
              <w:pStyle w:val="42"/>
              <w:snapToGrid w:val="0"/>
              <w:spacing w:line="336" w:lineRule="auto"/>
              <w:rPr>
                <w:rFonts w:cs="宋体"/>
                <w:color w:val="auto"/>
                <w:sz w:val="24"/>
                <w:szCs w:val="24"/>
                <w:highlight w:val="none"/>
              </w:rPr>
            </w:pPr>
            <w:r>
              <w:rPr>
                <w:rFonts w:hint="eastAsia" w:cs="宋体"/>
                <w:color w:val="auto"/>
                <w:sz w:val="24"/>
                <w:szCs w:val="24"/>
                <w:highlight w:val="none"/>
              </w:rPr>
              <w:t>（6）法律、法规和采购文件规定的其他无效情形。</w:t>
            </w:r>
          </w:p>
        </w:tc>
      </w:tr>
      <w:tr w14:paraId="363681A4">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370080A1">
            <w:pPr>
              <w:spacing w:beforeLines="65" w:line="336"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3</w:t>
            </w:r>
          </w:p>
        </w:tc>
        <w:tc>
          <w:tcPr>
            <w:tcW w:w="1652" w:type="dxa"/>
            <w:tcBorders>
              <w:top w:val="single" w:color="000000" w:sz="6" w:space="0"/>
              <w:left w:val="single" w:color="000000" w:sz="6" w:space="0"/>
              <w:bottom w:val="single" w:color="000000" w:sz="6" w:space="0"/>
              <w:right w:val="single" w:color="000000" w:sz="6" w:space="0"/>
            </w:tcBorders>
            <w:vAlign w:val="center"/>
          </w:tcPr>
          <w:p w14:paraId="1CD92344">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商务条款</w:t>
            </w:r>
          </w:p>
        </w:tc>
        <w:tc>
          <w:tcPr>
            <w:tcW w:w="7168" w:type="dxa"/>
            <w:tcBorders>
              <w:top w:val="single" w:color="000000" w:sz="6" w:space="0"/>
              <w:left w:val="single" w:color="000000" w:sz="6" w:space="0"/>
              <w:bottom w:val="single" w:color="000000" w:sz="6" w:space="0"/>
              <w:right w:val="single" w:color="000000" w:sz="6" w:space="0"/>
            </w:tcBorders>
          </w:tcPr>
          <w:p w14:paraId="3A5337B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1、服务期限：合同签订后至工程竣工验收并工程竣工财务决算审计结束。</w:t>
            </w:r>
          </w:p>
          <w:p w14:paraId="7A89E67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2、服务地点：安康市人民医院指定地点。</w:t>
            </w:r>
          </w:p>
          <w:p w14:paraId="75E15A1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3、付款方式：</w:t>
            </w:r>
          </w:p>
          <w:p w14:paraId="6BEE600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1完成</w:t>
            </w:r>
            <w:r>
              <w:rPr>
                <w:rFonts w:hint="eastAsia" w:ascii="宋体" w:hAnsi="宋体" w:cs="宋体"/>
                <w:color w:val="auto"/>
                <w:sz w:val="24"/>
                <w:szCs w:val="24"/>
                <w:highlight w:val="none"/>
                <w:lang w:eastAsia="zh-CN"/>
              </w:rPr>
              <w:t>项目前期工作审核</w:t>
            </w:r>
            <w:r>
              <w:rPr>
                <w:rFonts w:hint="eastAsia" w:ascii="宋体" w:hAnsi="宋体" w:cs="宋体"/>
                <w:color w:val="auto"/>
                <w:sz w:val="24"/>
                <w:szCs w:val="24"/>
                <w:highlight w:val="none"/>
              </w:rPr>
              <w:t>以后，支付合同价款(基本收费)的10%：施工过程中，</w:t>
            </w:r>
            <w:r>
              <w:rPr>
                <w:rFonts w:hint="eastAsia" w:ascii="宋体" w:hAnsi="宋体" w:cs="宋体"/>
                <w:color w:val="auto"/>
                <w:sz w:val="24"/>
                <w:szCs w:val="24"/>
                <w:highlight w:val="none"/>
                <w:lang w:eastAsia="zh-CN"/>
              </w:rPr>
              <w:t>合同签订后每满</w:t>
            </w:r>
            <w:r>
              <w:rPr>
                <w:rFonts w:hint="eastAsia" w:ascii="宋体" w:hAnsi="宋体" w:cs="宋体"/>
                <w:color w:val="auto"/>
                <w:sz w:val="24"/>
                <w:szCs w:val="24"/>
                <w:highlight w:val="none"/>
                <w:lang w:val="en-US" w:eastAsia="zh-CN"/>
              </w:rPr>
              <w:t>12个月</w:t>
            </w:r>
            <w:r>
              <w:rPr>
                <w:rFonts w:hint="eastAsia" w:ascii="宋体" w:hAnsi="宋体" w:cs="宋体"/>
                <w:color w:val="auto"/>
                <w:sz w:val="24"/>
                <w:szCs w:val="24"/>
                <w:highlight w:val="none"/>
              </w:rPr>
              <w:t>支付合同价款(基本收费)的</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0%,付款合计不超过合同价款(基本收费)的</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0%；项目竣工验收后，支付合同价款(基本收费)的20%,剩余的</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0%合同价款(基本收费)待采购人认定竣工结算审计报告和全过程审计报告后予以支付。</w:t>
            </w:r>
          </w:p>
          <w:p w14:paraId="2275637C">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2效益收费待采购人确认竣工结算审计报告和全过程审计总结报告后一次性据实计算并支付。</w:t>
            </w:r>
          </w:p>
          <w:p w14:paraId="74C53956">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履约保证金：完成</w:t>
            </w:r>
            <w:r>
              <w:rPr>
                <w:rFonts w:hint="eastAsia" w:ascii="宋体" w:hAnsi="宋体" w:cs="宋体"/>
                <w:color w:val="auto"/>
                <w:sz w:val="24"/>
                <w:szCs w:val="24"/>
                <w:highlight w:val="none"/>
                <w:lang w:eastAsia="zh-CN"/>
              </w:rPr>
              <w:t>项目前期工作审核</w:t>
            </w:r>
            <w:r>
              <w:rPr>
                <w:rFonts w:hint="eastAsia" w:ascii="宋体" w:hAnsi="宋体" w:cs="宋体"/>
                <w:color w:val="auto"/>
                <w:sz w:val="24"/>
                <w:szCs w:val="24"/>
                <w:highlight w:val="none"/>
              </w:rPr>
              <w:t>以后，供应商须向采购人缴纳</w:t>
            </w:r>
            <w:r>
              <w:rPr>
                <w:rFonts w:hint="eastAsia" w:ascii="宋体" w:hAnsi="宋体" w:cs="宋体"/>
                <w:color w:val="auto"/>
                <w:sz w:val="24"/>
                <w:szCs w:val="24"/>
                <w:highlight w:val="none"/>
                <w:lang w:eastAsia="zh-CN"/>
              </w:rPr>
              <w:t>本项目</w:t>
            </w:r>
            <w:r>
              <w:rPr>
                <w:rFonts w:hint="eastAsia" w:ascii="宋体" w:hAnsi="宋体" w:cs="宋体"/>
                <w:color w:val="auto"/>
                <w:sz w:val="24"/>
                <w:szCs w:val="24"/>
                <w:highlight w:val="none"/>
                <w:lang w:val="en-US" w:eastAsia="zh-CN"/>
              </w:rPr>
              <w:t>预算</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（即</w:t>
            </w:r>
            <w:r>
              <w:rPr>
                <w:rFonts w:hint="eastAsia" w:ascii="宋体" w:hAnsi="宋体" w:cs="宋体"/>
                <w:color w:val="auto"/>
                <w:sz w:val="24"/>
                <w:szCs w:val="24"/>
                <w:highlight w:val="none"/>
                <w:lang w:val="en-US" w:eastAsia="zh-CN"/>
              </w:rPr>
              <w:t>3万元整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作为履约保证金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或以金融机构、担保公司出具保函形式递交履约保证金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；履约保证期自项目中标至项目竣工验收完成工程结算之日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履约保证金在工程结算完成之日后，且全过程审计资料交齐后无息退还。</w:t>
            </w:r>
          </w:p>
          <w:p w14:paraId="6FCE80B9">
            <w:pPr>
              <w:spacing w:line="336"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3.4结算时，全过程咨询服务费金额≥60万元按照60万结算，＜60万元据实结算。</w:t>
            </w:r>
          </w:p>
          <w:p w14:paraId="46E08276">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验收标准和方法(考核办法)</w:t>
            </w:r>
          </w:p>
          <w:p w14:paraId="5C68A19B">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1供应商应承诺充分保证全过程造价跟踪审核质量，全过程造价跟踪审核成果经采购人组织第三方复核或审计部门复核，全过程造价跟踪审核审定金额与复核审定金额的误差率应控制在±3%以内；误差范围在±3%至±</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%，扣减50%的审计服务费用；误差率超出±</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%的，扣减100%的审计服务费用，供应商退回已预付的审计服务费，采购人将进一步追究相关责任。</w:t>
            </w:r>
          </w:p>
          <w:p w14:paraId="2E835F84">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2对服务范围所涉及的每个审计事项出具相应的审计意见，及时提出审计建议，成果文件应符合现行国家或行业有关规定、标准、规范及审计工作的要求</w:t>
            </w:r>
            <w:r>
              <w:rPr>
                <w:rFonts w:hint="eastAsia" w:ascii="宋体" w:hAnsi="宋体" w:cs="宋体"/>
                <w:color w:val="auto"/>
                <w:sz w:val="24"/>
                <w:szCs w:val="24"/>
                <w:highlight w:val="none"/>
                <w:lang w:eastAsia="zh-CN"/>
              </w:rPr>
              <w:t>。</w:t>
            </w:r>
          </w:p>
          <w:p w14:paraId="617AAD52">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违约责任</w:t>
            </w:r>
          </w:p>
          <w:p w14:paraId="49F01BF7">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1采购人的违约责任</w:t>
            </w:r>
          </w:p>
          <w:p w14:paraId="0B4A5763">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采购人不履行本合同义务或者履行义务不符合本合同约定的，应承担违约责任。双方可在专用条款中约定违约金的计算及支付方法。</w:t>
            </w:r>
          </w:p>
          <w:p w14:paraId="7404E00E">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采购人违反本合同约定造成供应商损失的，采购人应予以赔偿。双方可在专用条款中约定赔偿金额的确定及支付方法。</w:t>
            </w:r>
          </w:p>
          <w:p w14:paraId="055D190F">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2供应商的违约责任</w:t>
            </w:r>
          </w:p>
          <w:p w14:paraId="0B3CBD43">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不履行本合同义务或者履行义务不符合本合同约定的，应承担违约责任。双方可在专用条款中约定违约金的计算及支付方法。因供应商违反本合同约定给采购人造成损失的，由供应商应当赔偿采购人损失。双方可在专用条款中约定赔偿金额的确定及支付方法。</w:t>
            </w:r>
          </w:p>
          <w:p w14:paraId="20E62447">
            <w:pPr>
              <w:spacing w:line="336" w:lineRule="auto"/>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 xml:space="preserve">解决争议的方式 </w:t>
            </w:r>
          </w:p>
          <w:p w14:paraId="660F7475">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1协商</w:t>
            </w:r>
          </w:p>
          <w:p w14:paraId="7EBF14CF">
            <w:pPr>
              <w:spacing w:line="336"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双方应本着诚实信用的原则协商解决本合同履行过程中发生的争议。</w:t>
            </w:r>
          </w:p>
          <w:p w14:paraId="010C7FD0">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2调解</w:t>
            </w:r>
          </w:p>
          <w:p w14:paraId="527A9E30">
            <w:pPr>
              <w:spacing w:line="336"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如果双方不能在14日内或双方商定的其他时间内解决本合同争议，可以将其提交给专用条款约定的或事后达成协议的调解人进行调解。</w:t>
            </w:r>
          </w:p>
          <w:p w14:paraId="0E7BD619">
            <w:pPr>
              <w:spacing w:line="336"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3仲裁或诉讼</w:t>
            </w:r>
          </w:p>
          <w:p w14:paraId="6F847159">
            <w:pPr>
              <w:spacing w:line="336"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双方均有权不经调解直接向专用条款约定的仲裁机构申请仲裁或向有管辖权的人民法院提起诉讼。</w:t>
            </w:r>
          </w:p>
          <w:p w14:paraId="7488FB2B">
            <w:pPr>
              <w:spacing w:line="336" w:lineRule="auto"/>
              <w:rPr>
                <w:rFonts w:ascii="宋体" w:hAnsi="宋体" w:cs="宋体"/>
                <w:color w:val="auto"/>
                <w:sz w:val="24"/>
                <w:szCs w:val="24"/>
                <w:highlight w:val="none"/>
              </w:rPr>
            </w:pPr>
            <w:r>
              <w:rPr>
                <w:rFonts w:hint="eastAsia" w:ascii="宋体" w:hAnsi="宋体" w:cs="宋体"/>
                <w:b/>
                <w:bCs/>
                <w:color w:val="auto"/>
                <w:sz w:val="24"/>
                <w:szCs w:val="24"/>
                <w:highlight w:val="none"/>
              </w:rPr>
              <w:t>注：商务条款为实质性响应条款，不允许负偏离。</w:t>
            </w:r>
          </w:p>
        </w:tc>
      </w:tr>
      <w:tr w14:paraId="2BE5177A">
        <w:tblPrEx>
          <w:tblCellMar>
            <w:top w:w="0" w:type="dxa"/>
            <w:left w:w="28" w:type="dxa"/>
            <w:bottom w:w="0" w:type="dxa"/>
            <w:right w:w="28" w:type="dxa"/>
          </w:tblCellMar>
        </w:tblPrEx>
        <w:trPr>
          <w:trHeight w:val="402"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0E4D77C">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652" w:type="dxa"/>
            <w:tcBorders>
              <w:top w:val="single" w:color="000000" w:sz="6" w:space="0"/>
              <w:left w:val="single" w:color="000000" w:sz="6" w:space="0"/>
              <w:bottom w:val="single" w:color="000000" w:sz="6" w:space="0"/>
              <w:right w:val="single" w:color="000000" w:sz="6" w:space="0"/>
            </w:tcBorders>
            <w:vAlign w:val="center"/>
          </w:tcPr>
          <w:p w14:paraId="0407BE87">
            <w:pPr>
              <w:pStyle w:val="48"/>
              <w:spacing w:line="360" w:lineRule="auto"/>
              <w:jc w:val="center"/>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响应保证金</w:t>
            </w:r>
          </w:p>
        </w:tc>
        <w:tc>
          <w:tcPr>
            <w:tcW w:w="7168" w:type="dxa"/>
            <w:tcBorders>
              <w:top w:val="single" w:color="000000" w:sz="6" w:space="0"/>
              <w:left w:val="single" w:color="000000" w:sz="6" w:space="0"/>
              <w:bottom w:val="single" w:color="000000" w:sz="6" w:space="0"/>
              <w:right w:val="single" w:color="000000" w:sz="6" w:space="0"/>
            </w:tcBorders>
            <w:vAlign w:val="center"/>
          </w:tcPr>
          <w:p w14:paraId="00F40B67">
            <w:pPr>
              <w:pStyle w:val="48"/>
              <w:spacing w:line="360" w:lineRule="auto"/>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免交</w:t>
            </w:r>
          </w:p>
        </w:tc>
      </w:tr>
      <w:tr w14:paraId="479F6B37">
        <w:tblPrEx>
          <w:tblCellMar>
            <w:top w:w="0" w:type="dxa"/>
            <w:left w:w="28" w:type="dxa"/>
            <w:bottom w:w="0" w:type="dxa"/>
            <w:right w:w="28" w:type="dxa"/>
          </w:tblCellMar>
        </w:tblPrEx>
        <w:trPr>
          <w:trHeight w:val="55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7F9FE59">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652" w:type="dxa"/>
            <w:tcBorders>
              <w:top w:val="single" w:color="000000" w:sz="6" w:space="0"/>
              <w:left w:val="single" w:color="000000" w:sz="6" w:space="0"/>
              <w:bottom w:val="single" w:color="000000" w:sz="6" w:space="0"/>
              <w:right w:val="single" w:color="000000" w:sz="6" w:space="0"/>
            </w:tcBorders>
            <w:vAlign w:val="center"/>
          </w:tcPr>
          <w:p w14:paraId="0170FDA2">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备选方案</w:t>
            </w:r>
          </w:p>
        </w:tc>
        <w:tc>
          <w:tcPr>
            <w:tcW w:w="7168" w:type="dxa"/>
            <w:tcBorders>
              <w:top w:val="single" w:color="000000" w:sz="6" w:space="0"/>
              <w:left w:val="single" w:color="000000" w:sz="6" w:space="0"/>
              <w:bottom w:val="single" w:color="000000" w:sz="6" w:space="0"/>
              <w:right w:val="single" w:color="000000" w:sz="6" w:space="0"/>
            </w:tcBorders>
            <w:vAlign w:val="center"/>
          </w:tcPr>
          <w:p w14:paraId="4D8971FB">
            <w:pPr>
              <w:spacing w:line="336"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不允许</w:t>
            </w:r>
          </w:p>
        </w:tc>
      </w:tr>
      <w:tr w14:paraId="397EB3CC">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053498D">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652" w:type="dxa"/>
            <w:tcBorders>
              <w:top w:val="single" w:color="000000" w:sz="6" w:space="0"/>
              <w:left w:val="single" w:color="000000" w:sz="6" w:space="0"/>
              <w:bottom w:val="single" w:color="000000" w:sz="6" w:space="0"/>
              <w:right w:val="single" w:color="000000" w:sz="6" w:space="0"/>
            </w:tcBorders>
            <w:vAlign w:val="center"/>
          </w:tcPr>
          <w:p w14:paraId="01066E2A">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联合体</w:t>
            </w:r>
          </w:p>
        </w:tc>
        <w:tc>
          <w:tcPr>
            <w:tcW w:w="7168" w:type="dxa"/>
            <w:tcBorders>
              <w:top w:val="single" w:color="000000" w:sz="6" w:space="0"/>
              <w:left w:val="single" w:color="000000" w:sz="6" w:space="0"/>
              <w:bottom w:val="single" w:color="000000" w:sz="6" w:space="0"/>
              <w:right w:val="single" w:color="000000" w:sz="6" w:space="0"/>
            </w:tcBorders>
            <w:vAlign w:val="center"/>
          </w:tcPr>
          <w:p w14:paraId="1D00E49E">
            <w:pPr>
              <w:spacing w:line="336" w:lineRule="auto"/>
              <w:rPr>
                <w:rFonts w:ascii="宋体" w:hAnsi="宋体" w:cs="宋体"/>
                <w:color w:val="auto"/>
                <w:sz w:val="24"/>
                <w:szCs w:val="24"/>
                <w:highlight w:val="none"/>
              </w:rPr>
            </w:pPr>
            <w:r>
              <w:rPr>
                <w:rFonts w:hint="eastAsia" w:ascii="宋体" w:hAnsi="宋体" w:cs="宋体"/>
                <w:color w:val="auto"/>
                <w:sz w:val="24"/>
                <w:szCs w:val="24"/>
                <w:highlight w:val="none"/>
              </w:rPr>
              <w:t>不接受联合体</w:t>
            </w:r>
          </w:p>
        </w:tc>
      </w:tr>
      <w:tr w14:paraId="4CF2ED75">
        <w:tblPrEx>
          <w:tblCellMar>
            <w:top w:w="0" w:type="dxa"/>
            <w:left w:w="28" w:type="dxa"/>
            <w:bottom w:w="0" w:type="dxa"/>
            <w:right w:w="28" w:type="dxa"/>
          </w:tblCellMar>
        </w:tblPrEx>
        <w:trPr>
          <w:trHeight w:val="453"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E84B306">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652" w:type="dxa"/>
            <w:tcBorders>
              <w:top w:val="single" w:color="000000" w:sz="6" w:space="0"/>
              <w:left w:val="single" w:color="000000" w:sz="6" w:space="0"/>
              <w:bottom w:val="single" w:color="000000" w:sz="6" w:space="0"/>
              <w:right w:val="single" w:color="000000" w:sz="6" w:space="0"/>
            </w:tcBorders>
            <w:vAlign w:val="center"/>
          </w:tcPr>
          <w:p w14:paraId="6194F7CC">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响应有效期</w:t>
            </w:r>
          </w:p>
        </w:tc>
        <w:tc>
          <w:tcPr>
            <w:tcW w:w="7168" w:type="dxa"/>
            <w:tcBorders>
              <w:top w:val="single" w:color="000000" w:sz="6" w:space="0"/>
              <w:left w:val="single" w:color="000000" w:sz="6" w:space="0"/>
              <w:bottom w:val="single" w:color="000000" w:sz="6" w:space="0"/>
              <w:right w:val="single" w:color="000000" w:sz="6" w:space="0"/>
            </w:tcBorders>
            <w:vAlign w:val="center"/>
          </w:tcPr>
          <w:p w14:paraId="3F626A0C">
            <w:pPr>
              <w:spacing w:line="336" w:lineRule="auto"/>
              <w:rPr>
                <w:rFonts w:ascii="宋体" w:hAnsi="宋体" w:cs="宋体"/>
                <w:color w:val="auto"/>
                <w:sz w:val="24"/>
                <w:szCs w:val="24"/>
                <w:highlight w:val="none"/>
              </w:rPr>
            </w:pPr>
            <w:r>
              <w:rPr>
                <w:rFonts w:hint="eastAsia" w:ascii="宋体" w:hAnsi="宋体" w:cs="宋体"/>
                <w:color w:val="auto"/>
                <w:sz w:val="24"/>
                <w:szCs w:val="24"/>
                <w:highlight w:val="none"/>
              </w:rPr>
              <w:t>响应文件有效期为从开标之日起有效期为90日历天。</w:t>
            </w:r>
          </w:p>
        </w:tc>
      </w:tr>
      <w:tr w14:paraId="7AA1C897">
        <w:tblPrEx>
          <w:tblCellMar>
            <w:top w:w="0" w:type="dxa"/>
            <w:left w:w="28" w:type="dxa"/>
            <w:bottom w:w="0" w:type="dxa"/>
            <w:right w:w="28" w:type="dxa"/>
          </w:tblCellMar>
        </w:tblPrEx>
        <w:trPr>
          <w:trHeight w:val="2222"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3EB9798">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652" w:type="dxa"/>
            <w:tcBorders>
              <w:top w:val="single" w:color="000000" w:sz="6" w:space="0"/>
              <w:left w:val="single" w:color="000000" w:sz="6" w:space="0"/>
              <w:bottom w:val="single" w:color="000000" w:sz="6" w:space="0"/>
              <w:right w:val="single" w:color="000000" w:sz="6" w:space="0"/>
            </w:tcBorders>
            <w:vAlign w:val="center"/>
          </w:tcPr>
          <w:p w14:paraId="00EBE8D4">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响应货币及报价</w:t>
            </w:r>
          </w:p>
        </w:tc>
        <w:tc>
          <w:tcPr>
            <w:tcW w:w="7168" w:type="dxa"/>
            <w:tcBorders>
              <w:top w:val="single" w:color="000000" w:sz="6" w:space="0"/>
              <w:left w:val="single" w:color="000000" w:sz="6" w:space="0"/>
              <w:bottom w:val="single" w:color="000000" w:sz="6" w:space="0"/>
              <w:right w:val="single" w:color="000000" w:sz="6" w:space="0"/>
            </w:tcBorders>
            <w:vAlign w:val="center"/>
          </w:tcPr>
          <w:p w14:paraId="2AC1965F">
            <w:pPr>
              <w:tabs>
                <w:tab w:val="left" w:pos="0"/>
              </w:tabs>
              <w:spacing w:line="336"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1、供应商应当根据磋商文件的要求和范围，</w:t>
            </w:r>
            <w:r>
              <w:rPr>
                <w:rFonts w:hint="eastAsia" w:ascii="宋体" w:hAnsi="宋体" w:cs="宋体"/>
                <w:color w:val="auto"/>
                <w:sz w:val="24"/>
                <w:szCs w:val="24"/>
                <w:highlight w:val="none"/>
                <w:lang w:val="en-US" w:eastAsia="zh-CN"/>
              </w:rPr>
              <w:t>固定基本费率以‰为单位，效益费率</w:t>
            </w:r>
            <w:r>
              <w:rPr>
                <w:rFonts w:hint="eastAsia" w:ascii="宋体" w:hAnsi="宋体" w:cs="宋体"/>
                <w:color w:val="auto"/>
                <w:sz w:val="24"/>
                <w:szCs w:val="24"/>
                <w:highlight w:val="none"/>
              </w:rPr>
              <w:t>以</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为</w:t>
            </w:r>
            <w:r>
              <w:rPr>
                <w:rFonts w:hint="eastAsia" w:ascii="宋体" w:hAnsi="宋体" w:cs="宋体"/>
                <w:color w:val="auto"/>
                <w:sz w:val="24"/>
                <w:szCs w:val="24"/>
                <w:highlight w:val="none"/>
                <w:lang w:val="en-US" w:eastAsia="zh-CN"/>
              </w:rPr>
              <w:t>单位</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lang w:val="en-US" w:eastAsia="zh-CN"/>
              </w:rPr>
              <w:t>报固定基本费率和效益费率</w:t>
            </w:r>
            <w:r>
              <w:rPr>
                <w:rFonts w:hint="eastAsia" w:ascii="宋体" w:hAnsi="宋体" w:cs="宋体"/>
                <w:color w:val="auto"/>
                <w:sz w:val="24"/>
                <w:szCs w:val="24"/>
                <w:highlight w:val="none"/>
              </w:rPr>
              <w:t>，保留小数点后两位（不进行四舍五入）。</w:t>
            </w:r>
          </w:p>
          <w:p w14:paraId="2BEC632D">
            <w:pPr>
              <w:tabs>
                <w:tab w:val="left" w:pos="0"/>
              </w:tabs>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2、本项目为</w:t>
            </w:r>
            <w:r>
              <w:rPr>
                <w:rFonts w:hint="eastAsia" w:ascii="宋体" w:hAnsi="宋体" w:cs="宋体"/>
                <w:b/>
                <w:bCs/>
                <w:color w:val="auto"/>
                <w:sz w:val="24"/>
                <w:szCs w:val="24"/>
                <w:highlight w:val="none"/>
              </w:rPr>
              <w:t>固定</w:t>
            </w:r>
            <w:r>
              <w:rPr>
                <w:rFonts w:hint="eastAsia" w:ascii="宋体" w:hAnsi="宋体" w:cs="宋体"/>
                <w:b/>
                <w:bCs/>
                <w:color w:val="auto"/>
                <w:sz w:val="24"/>
                <w:szCs w:val="24"/>
                <w:highlight w:val="none"/>
                <w:lang w:val="en-US" w:eastAsia="zh-CN"/>
              </w:rPr>
              <w:t>费率</w:t>
            </w:r>
            <w:r>
              <w:rPr>
                <w:rFonts w:hint="eastAsia" w:ascii="宋体" w:hAnsi="宋体" w:cs="宋体"/>
                <w:b/>
                <w:bCs/>
                <w:color w:val="auto"/>
                <w:sz w:val="24"/>
                <w:szCs w:val="24"/>
                <w:highlight w:val="none"/>
              </w:rPr>
              <w:t>项目</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val="en-US" w:eastAsia="zh-CN"/>
              </w:rPr>
              <w:t>固定基本费率和效益费率，其中固定基本费率为多轮报价，效益费率为一次不可更改报价，后续不再进行报价，以响应文件响应一览表里报价为准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，包括供应商完成本项目所需的直接费、间接费、利润、税金及其它相关的一切费用。包括但不限于：人工费、设备费、管理费、技术服务费、验收费、税金等全部费用，合同</w:t>
            </w:r>
            <w:r>
              <w:rPr>
                <w:rFonts w:hint="eastAsia" w:ascii="宋体" w:hAnsi="宋体" w:cs="宋体"/>
                <w:color w:val="auto"/>
                <w:sz w:val="24"/>
                <w:szCs w:val="24"/>
                <w:highlight w:val="none"/>
                <w:lang w:val="en-US" w:eastAsia="zh-CN"/>
              </w:rPr>
              <w:t>单</w:t>
            </w:r>
            <w:r>
              <w:rPr>
                <w:rFonts w:hint="eastAsia" w:ascii="宋体" w:hAnsi="宋体" w:cs="宋体"/>
                <w:color w:val="auto"/>
                <w:sz w:val="24"/>
                <w:szCs w:val="24"/>
                <w:highlight w:val="none"/>
              </w:rPr>
              <w:t>价一次包死，不受市场价变化的影响。</w:t>
            </w:r>
          </w:p>
          <w:p w14:paraId="278D2CE4">
            <w:pPr>
              <w:tabs>
                <w:tab w:val="left" w:pos="0"/>
              </w:tabs>
              <w:spacing w:line="336"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3、响应一览表与分项报价表中的价格，在合同执行过程中，均不得以任何理由变更。</w:t>
            </w:r>
          </w:p>
          <w:p w14:paraId="7597A921">
            <w:pPr>
              <w:tabs>
                <w:tab w:val="left" w:pos="0"/>
              </w:tabs>
              <w:spacing w:line="336"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4、采用综合评分法的，最低报价不是中标的唯一依据。</w:t>
            </w:r>
          </w:p>
        </w:tc>
      </w:tr>
      <w:tr w14:paraId="0DE83ADB">
        <w:tblPrEx>
          <w:tblCellMar>
            <w:top w:w="0" w:type="dxa"/>
            <w:left w:w="28" w:type="dxa"/>
            <w:bottom w:w="0" w:type="dxa"/>
            <w:right w:w="28" w:type="dxa"/>
          </w:tblCellMar>
        </w:tblPrEx>
        <w:trPr>
          <w:trHeight w:val="44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173EC62">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652" w:type="dxa"/>
            <w:tcBorders>
              <w:top w:val="single" w:color="000000" w:sz="6" w:space="0"/>
              <w:left w:val="single" w:color="000000" w:sz="6" w:space="0"/>
              <w:bottom w:val="single" w:color="000000" w:sz="6" w:space="0"/>
              <w:right w:val="single" w:color="000000" w:sz="6" w:space="0"/>
            </w:tcBorders>
            <w:vAlign w:val="center"/>
          </w:tcPr>
          <w:p w14:paraId="66DF906F">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响应文件的签署</w:t>
            </w:r>
          </w:p>
        </w:tc>
        <w:tc>
          <w:tcPr>
            <w:tcW w:w="7168" w:type="dxa"/>
            <w:tcBorders>
              <w:top w:val="single" w:color="000000" w:sz="6" w:space="0"/>
              <w:left w:val="single" w:color="000000" w:sz="6" w:space="0"/>
              <w:bottom w:val="single" w:color="000000" w:sz="6" w:space="0"/>
              <w:right w:val="single" w:color="000000" w:sz="6" w:space="0"/>
            </w:tcBorders>
            <w:vAlign w:val="center"/>
          </w:tcPr>
          <w:p w14:paraId="3861F069">
            <w:pPr>
              <w:tabs>
                <w:tab w:val="left" w:pos="0"/>
              </w:tabs>
              <w:spacing w:line="336" w:lineRule="auto"/>
              <w:ind w:firstLine="420"/>
              <w:jc w:val="left"/>
              <w:rPr>
                <w:rFonts w:ascii="宋体" w:hAnsi="宋体" w:cs="宋体"/>
                <w:color w:val="auto"/>
                <w:sz w:val="24"/>
                <w:szCs w:val="24"/>
                <w:highlight w:val="none"/>
              </w:rPr>
            </w:pPr>
            <w:r>
              <w:rPr>
                <w:rFonts w:hint="eastAsia" w:ascii="宋体" w:hAnsi="宋体"/>
                <w:color w:val="auto"/>
                <w:sz w:val="24"/>
                <w:szCs w:val="24"/>
                <w:highlight w:val="none"/>
              </w:rPr>
              <w:t>1、</w:t>
            </w:r>
            <w:r>
              <w:rPr>
                <w:rFonts w:hint="eastAsia" w:ascii="宋体" w:hAnsi="宋体" w:cs="宋体"/>
                <w:color w:val="auto"/>
                <w:sz w:val="24"/>
                <w:szCs w:val="24"/>
                <w:highlight w:val="none"/>
              </w:rPr>
              <w:t>供应商在响应文件中指定的页面的落款处，按磋商文件要求由供应商的法定代表人或其授权代表在规定的签章处签字或盖章。</w:t>
            </w:r>
          </w:p>
          <w:p w14:paraId="05AC7C6C">
            <w:pPr>
              <w:tabs>
                <w:tab w:val="left" w:pos="0"/>
              </w:tabs>
              <w:spacing w:line="336" w:lineRule="auto"/>
              <w:ind w:firstLine="420"/>
              <w:jc w:val="left"/>
              <w:rPr>
                <w:rFonts w:ascii="宋体" w:hAnsi="宋体" w:cs="宋体"/>
                <w:color w:val="auto"/>
                <w:sz w:val="24"/>
                <w:szCs w:val="24"/>
                <w:highlight w:val="none"/>
              </w:rPr>
            </w:pPr>
            <w:r>
              <w:rPr>
                <w:rFonts w:hint="eastAsia" w:ascii="宋体" w:hAnsi="宋体"/>
                <w:color w:val="auto"/>
                <w:sz w:val="24"/>
                <w:szCs w:val="24"/>
                <w:highlight w:val="none"/>
              </w:rPr>
              <w:t>2、</w:t>
            </w:r>
            <w:r>
              <w:rPr>
                <w:rFonts w:hint="eastAsia" w:ascii="宋体" w:hAnsi="宋体" w:cs="宋体"/>
                <w:color w:val="auto"/>
                <w:sz w:val="24"/>
                <w:szCs w:val="24"/>
                <w:highlight w:val="none"/>
              </w:rPr>
              <w:t>响应文件应字迹清楚、内容齐全、不得涂改或增删。如有修改和增删，必须有供应商公章及法定代表人或其授权的供应商代表签字。</w:t>
            </w:r>
          </w:p>
          <w:p w14:paraId="6603B2DC">
            <w:pPr>
              <w:spacing w:line="336" w:lineRule="auto"/>
              <w:ind w:firstLine="420" w:firstLineChars="175"/>
              <w:jc w:val="left"/>
              <w:rPr>
                <w:rFonts w:ascii="宋体" w:hAnsi="宋体" w:cs="宋体"/>
                <w:color w:val="auto"/>
                <w:sz w:val="24"/>
                <w:szCs w:val="24"/>
                <w:highlight w:val="none"/>
              </w:rPr>
            </w:pPr>
            <w:r>
              <w:rPr>
                <w:rFonts w:hint="eastAsia" w:ascii="宋体" w:hAnsi="宋体" w:cs="宋体"/>
                <w:color w:val="auto"/>
                <w:sz w:val="24"/>
                <w:szCs w:val="24"/>
                <w:highlight w:val="none"/>
              </w:rPr>
              <w:t>因响应文件字迹潦草或表达不清所引起的不利后果由供应商承担。</w:t>
            </w:r>
          </w:p>
        </w:tc>
      </w:tr>
      <w:tr w14:paraId="164F12CD">
        <w:tblPrEx>
          <w:tblCellMar>
            <w:top w:w="0" w:type="dxa"/>
            <w:left w:w="28" w:type="dxa"/>
            <w:bottom w:w="0" w:type="dxa"/>
            <w:right w:w="28" w:type="dxa"/>
          </w:tblCellMar>
        </w:tblPrEx>
        <w:trPr>
          <w:trHeight w:val="646"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93B8BE2">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652" w:type="dxa"/>
            <w:tcBorders>
              <w:top w:val="single" w:color="000000" w:sz="6" w:space="0"/>
              <w:left w:val="single" w:color="000000" w:sz="6" w:space="0"/>
              <w:bottom w:val="single" w:color="000000" w:sz="6" w:space="0"/>
              <w:right w:val="single" w:color="000000" w:sz="6" w:space="0"/>
            </w:tcBorders>
            <w:vAlign w:val="center"/>
          </w:tcPr>
          <w:p w14:paraId="032F3CE3">
            <w:pPr>
              <w:spacing w:line="336" w:lineRule="auto"/>
              <w:jc w:val="center"/>
              <w:rPr>
                <w:rFonts w:ascii="宋体" w:hAnsi="宋体" w:cs="宋体"/>
                <w:color w:val="auto"/>
                <w:sz w:val="24"/>
                <w:szCs w:val="24"/>
                <w:highlight w:val="none"/>
              </w:rPr>
            </w:pPr>
            <w:r>
              <w:rPr>
                <w:rFonts w:hint="eastAsia" w:ascii="宋体" w:hAnsi="宋体" w:cs="宋体"/>
                <w:b/>
                <w:bCs/>
                <w:color w:val="auto"/>
                <w:sz w:val="24"/>
                <w:szCs w:val="24"/>
                <w:highlight w:val="none"/>
              </w:rPr>
              <w:t>评分标准</w:t>
            </w:r>
          </w:p>
        </w:tc>
        <w:tc>
          <w:tcPr>
            <w:tcW w:w="7168" w:type="dxa"/>
            <w:tcBorders>
              <w:top w:val="single" w:color="000000" w:sz="6" w:space="0"/>
              <w:left w:val="single" w:color="000000" w:sz="6" w:space="0"/>
              <w:bottom w:val="single" w:color="000000" w:sz="6" w:space="0"/>
              <w:right w:val="single" w:color="000000" w:sz="6" w:space="0"/>
            </w:tcBorders>
            <w:vAlign w:val="center"/>
          </w:tcPr>
          <w:p w14:paraId="3AA9EF40">
            <w:pPr>
              <w:spacing w:line="336" w:lineRule="auto"/>
              <w:rPr>
                <w:rFonts w:ascii="宋体" w:hAnsi="宋体" w:cs="宋体"/>
                <w:color w:val="auto"/>
                <w:sz w:val="24"/>
                <w:szCs w:val="24"/>
                <w:highlight w:val="none"/>
              </w:rPr>
            </w:pPr>
            <w:r>
              <w:rPr>
                <w:rFonts w:hint="eastAsia" w:ascii="宋体" w:hAnsi="宋体" w:cs="宋体"/>
                <w:color w:val="auto"/>
                <w:sz w:val="24"/>
                <w:szCs w:val="24"/>
                <w:highlight w:val="none"/>
              </w:rPr>
              <w:t>综合评分法（详见第四部分）</w:t>
            </w:r>
          </w:p>
        </w:tc>
      </w:tr>
      <w:tr w14:paraId="76CEDD74">
        <w:tblPrEx>
          <w:tblCellMar>
            <w:top w:w="0" w:type="dxa"/>
            <w:left w:w="28" w:type="dxa"/>
            <w:bottom w:w="0" w:type="dxa"/>
            <w:right w:w="28" w:type="dxa"/>
          </w:tblCellMar>
        </w:tblPrEx>
        <w:trPr>
          <w:trHeight w:val="447"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2EF2C853">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1652" w:type="dxa"/>
            <w:tcBorders>
              <w:top w:val="single" w:color="000000" w:sz="6" w:space="0"/>
              <w:left w:val="single" w:color="000000" w:sz="6" w:space="0"/>
              <w:bottom w:val="single" w:color="000000" w:sz="6" w:space="0"/>
              <w:right w:val="single" w:color="000000" w:sz="6" w:space="0"/>
            </w:tcBorders>
            <w:vAlign w:val="center"/>
          </w:tcPr>
          <w:p w14:paraId="2969AB5B">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代理服务费</w:t>
            </w:r>
          </w:p>
        </w:tc>
        <w:tc>
          <w:tcPr>
            <w:tcW w:w="7168" w:type="dxa"/>
            <w:tcBorders>
              <w:top w:val="single" w:color="000000" w:sz="6" w:space="0"/>
              <w:left w:val="single" w:color="000000" w:sz="6" w:space="0"/>
              <w:bottom w:val="single" w:color="000000" w:sz="6" w:space="0"/>
              <w:right w:val="single" w:color="000000" w:sz="6" w:space="0"/>
            </w:tcBorders>
            <w:vAlign w:val="center"/>
          </w:tcPr>
          <w:p w14:paraId="50065414">
            <w:pPr>
              <w:spacing w:line="336"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参照国家计委颁发的《招标代理服务收费管理暂行办法》（计价格[2002]1980号）和国家发改委颁发的《关于招标代理服务收费有关问题的通知》（发改办价格[2003]857号）的标准收取。</w:t>
            </w:r>
          </w:p>
          <w:p w14:paraId="619FBBEC">
            <w:pPr>
              <w:spacing w:line="336"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供应商将招标代理服务费计入磋商报价但不单独列明，成交单位在领取成交通知书前，须向采购代理机构一次性支付招标代理服务费；代理服务费以转账、电汇或现金等形式交纳。</w:t>
            </w:r>
          </w:p>
        </w:tc>
      </w:tr>
      <w:tr w14:paraId="5AF1B16A">
        <w:tblPrEx>
          <w:tblCellMar>
            <w:top w:w="0" w:type="dxa"/>
            <w:left w:w="28" w:type="dxa"/>
            <w:bottom w:w="0" w:type="dxa"/>
            <w:right w:w="28" w:type="dxa"/>
          </w:tblCellMar>
        </w:tblPrEx>
        <w:trPr>
          <w:trHeight w:val="639"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0D3222C0">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652" w:type="dxa"/>
            <w:tcBorders>
              <w:top w:val="single" w:color="000000" w:sz="6" w:space="0"/>
              <w:left w:val="single" w:color="000000" w:sz="6" w:space="0"/>
              <w:bottom w:val="single" w:color="000000" w:sz="6" w:space="0"/>
              <w:right w:val="single" w:color="000000" w:sz="6" w:space="0"/>
            </w:tcBorders>
            <w:vAlign w:val="center"/>
          </w:tcPr>
          <w:p w14:paraId="7FCE4C7C">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项目属性</w:t>
            </w:r>
          </w:p>
        </w:tc>
        <w:tc>
          <w:tcPr>
            <w:tcW w:w="7168" w:type="dxa"/>
            <w:tcBorders>
              <w:top w:val="single" w:color="000000" w:sz="6" w:space="0"/>
              <w:left w:val="single" w:color="000000" w:sz="6" w:space="0"/>
              <w:bottom w:val="single" w:color="000000" w:sz="6" w:space="0"/>
              <w:right w:val="single" w:color="000000" w:sz="6" w:space="0"/>
            </w:tcBorders>
            <w:vAlign w:val="center"/>
          </w:tcPr>
          <w:p w14:paraId="5A0C1018">
            <w:pPr>
              <w:pStyle w:val="14"/>
              <w:rPr>
                <w:rFonts w:ascii="宋体" w:hAnsi="宋体" w:cs="宋体"/>
                <w:b/>
                <w:bCs/>
                <w:color w:val="auto"/>
                <w:sz w:val="24"/>
                <w:szCs w:val="24"/>
                <w:highlight w:val="none"/>
              </w:rPr>
            </w:pPr>
            <w:r>
              <w:rPr>
                <w:rFonts w:hint="eastAsia" w:ascii="宋体" w:hAnsi="宋体" w:cs="宋体"/>
                <w:b/>
                <w:bCs/>
                <w:color w:val="auto"/>
                <w:sz w:val="24"/>
                <w:szCs w:val="24"/>
                <w:highlight w:val="none"/>
              </w:rPr>
              <w:t>服务类</w:t>
            </w:r>
          </w:p>
        </w:tc>
      </w:tr>
      <w:tr w14:paraId="20D826C6">
        <w:tblPrEx>
          <w:tblCellMar>
            <w:top w:w="0" w:type="dxa"/>
            <w:left w:w="28" w:type="dxa"/>
            <w:bottom w:w="0" w:type="dxa"/>
            <w:right w:w="28" w:type="dxa"/>
          </w:tblCellMar>
        </w:tblPrEx>
        <w:trPr>
          <w:trHeight w:val="785"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1A6C3A59">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1652" w:type="dxa"/>
            <w:tcBorders>
              <w:top w:val="single" w:color="000000" w:sz="6" w:space="0"/>
              <w:left w:val="single" w:color="000000" w:sz="6" w:space="0"/>
              <w:bottom w:val="single" w:color="000000" w:sz="6" w:space="0"/>
              <w:right w:val="single" w:color="000000" w:sz="6" w:space="0"/>
            </w:tcBorders>
            <w:vAlign w:val="center"/>
          </w:tcPr>
          <w:p w14:paraId="28336CE0">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所属行业</w:t>
            </w:r>
          </w:p>
        </w:tc>
        <w:tc>
          <w:tcPr>
            <w:tcW w:w="7168" w:type="dxa"/>
            <w:tcBorders>
              <w:top w:val="single" w:color="000000" w:sz="6" w:space="0"/>
              <w:left w:val="single" w:color="000000" w:sz="6" w:space="0"/>
              <w:bottom w:val="single" w:color="000000" w:sz="6" w:space="0"/>
              <w:right w:val="single" w:color="000000" w:sz="6" w:space="0"/>
            </w:tcBorders>
            <w:vAlign w:val="center"/>
          </w:tcPr>
          <w:p w14:paraId="5AEB3225">
            <w:pPr>
              <w:pStyle w:val="14"/>
              <w:rPr>
                <w:rFonts w:hint="default" w:eastAsia="宋体"/>
                <w:b/>
                <w:bCs/>
                <w:color w:val="auto"/>
                <w:highlight w:val="none"/>
                <w:lang w:val="en-US" w:eastAsia="zh-CN"/>
              </w:rPr>
            </w:pPr>
            <w:r>
              <w:rPr>
                <w:rFonts w:hint="eastAsia" w:ascii="宋体" w:hAnsi="宋体" w:cs="宋体"/>
                <w:b/>
                <w:bCs/>
                <w:color w:val="auto"/>
                <w:sz w:val="24"/>
                <w:szCs w:val="24"/>
                <w:highlight w:val="none"/>
              </w:rPr>
              <w:t>所属行业为</w:t>
            </w:r>
            <w:r>
              <w:rPr>
                <w:rFonts w:hint="eastAsia" w:ascii="宋体" w:hAnsi="宋体" w:cs="宋体"/>
                <w:b/>
                <w:bCs/>
                <w:color w:val="auto"/>
                <w:sz w:val="24"/>
                <w:szCs w:val="24"/>
                <w:highlight w:val="none"/>
                <w:lang w:val="en-US" w:eastAsia="zh-CN"/>
              </w:rPr>
              <w:t>其他未列明行业</w:t>
            </w:r>
          </w:p>
        </w:tc>
      </w:tr>
      <w:tr w14:paraId="18D0B6A3">
        <w:tblPrEx>
          <w:tblCellMar>
            <w:top w:w="0" w:type="dxa"/>
            <w:left w:w="28" w:type="dxa"/>
            <w:bottom w:w="0" w:type="dxa"/>
            <w:right w:w="28" w:type="dxa"/>
          </w:tblCellMar>
        </w:tblPrEx>
        <w:trPr>
          <w:trHeight w:val="841"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8761F4C">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652" w:type="dxa"/>
            <w:tcBorders>
              <w:top w:val="single" w:color="000000" w:sz="6" w:space="0"/>
              <w:left w:val="single" w:color="000000" w:sz="6" w:space="0"/>
              <w:bottom w:val="single" w:color="000000" w:sz="6" w:space="0"/>
              <w:right w:val="single" w:color="000000" w:sz="6" w:space="0"/>
            </w:tcBorders>
            <w:vAlign w:val="center"/>
          </w:tcPr>
          <w:p w14:paraId="3476CAD2">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中小</w:t>
            </w:r>
            <w:r>
              <w:rPr>
                <w:rFonts w:hint="eastAsia" w:ascii="宋体" w:hAnsi="宋体" w:cs="宋体"/>
                <w:b/>
                <w:bCs/>
                <w:color w:val="auto"/>
                <w:sz w:val="24"/>
                <w:szCs w:val="24"/>
                <w:highlight w:val="none"/>
                <w:lang w:eastAsia="zh-CN"/>
              </w:rPr>
              <w:t>企业</w:t>
            </w:r>
          </w:p>
        </w:tc>
        <w:tc>
          <w:tcPr>
            <w:tcW w:w="7168" w:type="dxa"/>
            <w:tcBorders>
              <w:top w:val="single" w:color="000000" w:sz="6" w:space="0"/>
              <w:left w:val="single" w:color="000000" w:sz="6" w:space="0"/>
              <w:bottom w:val="single" w:color="000000" w:sz="6" w:space="0"/>
              <w:right w:val="single" w:color="000000" w:sz="6" w:space="0"/>
            </w:tcBorders>
            <w:vAlign w:val="center"/>
          </w:tcPr>
          <w:p w14:paraId="2404F469">
            <w:pPr>
              <w:ind w:right="158" w:rightChars="75"/>
              <w:rPr>
                <w:rFonts w:ascii="宋体" w:hAnsi="宋体" w:cs="宋体"/>
                <w:b/>
                <w:bCs/>
                <w:color w:val="auto"/>
                <w:sz w:val="24"/>
                <w:szCs w:val="24"/>
                <w:highlight w:val="none"/>
              </w:rPr>
            </w:pPr>
            <w:r>
              <w:rPr>
                <w:rFonts w:hint="eastAsia" w:ascii="宋体" w:hAnsi="宋体" w:cs="宋体"/>
                <w:b/>
                <w:bCs/>
                <w:color w:val="auto"/>
                <w:sz w:val="24"/>
                <w:szCs w:val="24"/>
                <w:highlight w:val="none"/>
              </w:rPr>
              <w:t>本项目专门面向</w:t>
            </w:r>
            <w:r>
              <w:rPr>
                <w:rFonts w:hint="eastAsia" w:ascii="宋体" w:hAnsi="宋体" w:cs="宋体"/>
                <w:b/>
                <w:bCs/>
                <w:color w:val="auto"/>
                <w:sz w:val="24"/>
                <w:szCs w:val="24"/>
                <w:highlight w:val="none"/>
                <w:lang w:val="en-US" w:eastAsia="zh-CN"/>
              </w:rPr>
              <w:t>中小</w:t>
            </w:r>
            <w:r>
              <w:rPr>
                <w:rFonts w:hint="eastAsia" w:ascii="宋体" w:hAnsi="宋体" w:cs="宋体"/>
                <w:b/>
                <w:bCs/>
                <w:color w:val="auto"/>
                <w:sz w:val="24"/>
                <w:szCs w:val="24"/>
                <w:highlight w:val="none"/>
              </w:rPr>
              <w:t>企业采购</w:t>
            </w:r>
          </w:p>
        </w:tc>
      </w:tr>
      <w:tr w14:paraId="3DEBC7CD">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D96FBAE">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652" w:type="dxa"/>
            <w:tcBorders>
              <w:top w:val="single" w:color="000000" w:sz="6" w:space="0"/>
              <w:left w:val="single" w:color="000000" w:sz="6" w:space="0"/>
              <w:bottom w:val="single" w:color="000000" w:sz="6" w:space="0"/>
              <w:right w:val="single" w:color="000000" w:sz="6" w:space="0"/>
            </w:tcBorders>
            <w:vAlign w:val="center"/>
          </w:tcPr>
          <w:p w14:paraId="5178FDD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是否允许采购进口产品</w:t>
            </w:r>
          </w:p>
        </w:tc>
        <w:tc>
          <w:tcPr>
            <w:tcW w:w="7168" w:type="dxa"/>
            <w:tcBorders>
              <w:top w:val="single" w:color="000000" w:sz="6" w:space="0"/>
              <w:left w:val="single" w:color="000000" w:sz="6" w:space="0"/>
              <w:bottom w:val="single" w:color="000000" w:sz="6" w:space="0"/>
              <w:right w:val="single" w:color="000000" w:sz="6" w:space="0"/>
            </w:tcBorders>
            <w:vAlign w:val="center"/>
          </w:tcPr>
          <w:p w14:paraId="3E89CD4A">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否</w:t>
            </w:r>
          </w:p>
        </w:tc>
      </w:tr>
      <w:tr w14:paraId="501EE402">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50A727E">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1652" w:type="dxa"/>
            <w:tcBorders>
              <w:top w:val="single" w:color="000000" w:sz="6" w:space="0"/>
              <w:left w:val="single" w:color="000000" w:sz="6" w:space="0"/>
              <w:bottom w:val="single" w:color="000000" w:sz="6" w:space="0"/>
              <w:right w:val="single" w:color="000000" w:sz="6" w:space="0"/>
            </w:tcBorders>
            <w:vAlign w:val="center"/>
          </w:tcPr>
          <w:p w14:paraId="1FFA585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供应商提出质疑的时间、形式</w:t>
            </w:r>
          </w:p>
        </w:tc>
        <w:tc>
          <w:tcPr>
            <w:tcW w:w="7168" w:type="dxa"/>
            <w:tcBorders>
              <w:top w:val="single" w:color="000000" w:sz="6" w:space="0"/>
              <w:left w:val="single" w:color="000000" w:sz="6" w:space="0"/>
              <w:bottom w:val="single" w:color="000000" w:sz="6" w:space="0"/>
              <w:right w:val="single" w:color="000000" w:sz="6" w:space="0"/>
            </w:tcBorders>
            <w:vAlign w:val="center"/>
          </w:tcPr>
          <w:p w14:paraId="600F409D">
            <w:pPr>
              <w:spacing w:line="360" w:lineRule="auto"/>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4E5BD725">
            <w:pPr>
              <w:spacing w:line="360" w:lineRule="auto"/>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形式：书面；</w:t>
            </w:r>
          </w:p>
          <w:p w14:paraId="57AC3270">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环节：</w:t>
            </w:r>
            <w:r>
              <w:rPr>
                <w:rFonts w:hint="eastAsia" w:ascii="宋体" w:hAnsi="宋体" w:cs="宋体"/>
                <w:color w:val="auto"/>
                <w:sz w:val="24"/>
                <w:szCs w:val="24"/>
                <w:highlight w:val="none"/>
                <w:lang w:val="zh-CN"/>
              </w:rPr>
              <w:t>供应商应当在法定质疑期内一次性提出针对同一采购程序环节的质疑。</w:t>
            </w:r>
          </w:p>
        </w:tc>
      </w:tr>
      <w:tr w14:paraId="7663366F">
        <w:tblPrEx>
          <w:tblCellMar>
            <w:top w:w="0" w:type="dxa"/>
            <w:left w:w="28" w:type="dxa"/>
            <w:bottom w:w="0" w:type="dxa"/>
            <w:right w:w="28" w:type="dxa"/>
          </w:tblCellMar>
        </w:tblPrEx>
        <w:trPr>
          <w:trHeight w:val="130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97542A8">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1652" w:type="dxa"/>
            <w:tcBorders>
              <w:top w:val="single" w:color="000000" w:sz="6" w:space="0"/>
              <w:left w:val="single" w:color="000000" w:sz="6" w:space="0"/>
              <w:bottom w:val="single" w:color="000000" w:sz="6" w:space="0"/>
              <w:right w:val="single" w:color="000000" w:sz="6" w:space="0"/>
            </w:tcBorders>
            <w:vAlign w:val="center"/>
          </w:tcPr>
          <w:p w14:paraId="505B7386">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对供应商提出质疑</w:t>
            </w:r>
          </w:p>
          <w:p w14:paraId="43DC9EB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答复时间、形式</w:t>
            </w:r>
          </w:p>
        </w:tc>
        <w:tc>
          <w:tcPr>
            <w:tcW w:w="7168" w:type="dxa"/>
            <w:tcBorders>
              <w:top w:val="single" w:color="000000" w:sz="6" w:space="0"/>
              <w:left w:val="single" w:color="000000" w:sz="6" w:space="0"/>
              <w:bottom w:val="single" w:color="000000" w:sz="6" w:space="0"/>
              <w:right w:val="single" w:color="000000" w:sz="6" w:space="0"/>
            </w:tcBorders>
            <w:vAlign w:val="center"/>
          </w:tcPr>
          <w:p w14:paraId="19FCB8CE">
            <w:pPr>
              <w:spacing w:line="360" w:lineRule="auto"/>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时间：自收到供应商质疑函之日起7个工作日内</w:t>
            </w:r>
          </w:p>
          <w:p w14:paraId="13CB0EE8">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形式：书面</w:t>
            </w:r>
          </w:p>
        </w:tc>
      </w:tr>
      <w:tr w14:paraId="23B21D1F">
        <w:tblPrEx>
          <w:tblCellMar>
            <w:top w:w="0" w:type="dxa"/>
            <w:left w:w="28" w:type="dxa"/>
            <w:bottom w:w="0" w:type="dxa"/>
            <w:right w:w="28" w:type="dxa"/>
          </w:tblCellMar>
        </w:tblPrEx>
        <w:trPr>
          <w:trHeight w:val="1126"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2BDB23">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1652" w:type="dxa"/>
            <w:tcBorders>
              <w:top w:val="single" w:color="000000" w:sz="6" w:space="0"/>
              <w:left w:val="single" w:color="000000" w:sz="6" w:space="0"/>
              <w:bottom w:val="single" w:color="000000" w:sz="6" w:space="0"/>
              <w:right w:val="single" w:color="000000" w:sz="6" w:space="0"/>
            </w:tcBorders>
            <w:vAlign w:val="center"/>
          </w:tcPr>
          <w:p w14:paraId="2EABA18C">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供应商信用信息</w:t>
            </w:r>
          </w:p>
          <w:p w14:paraId="7CEFFA0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查询截止时点</w:t>
            </w:r>
          </w:p>
        </w:tc>
        <w:tc>
          <w:tcPr>
            <w:tcW w:w="7168" w:type="dxa"/>
            <w:tcBorders>
              <w:top w:val="single" w:color="000000" w:sz="6" w:space="0"/>
              <w:left w:val="single" w:color="000000" w:sz="6" w:space="0"/>
              <w:bottom w:val="single" w:color="000000" w:sz="6" w:space="0"/>
              <w:right w:val="single" w:color="000000" w:sz="6" w:space="0"/>
            </w:tcBorders>
            <w:vAlign w:val="center"/>
          </w:tcPr>
          <w:p w14:paraId="1914355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响应文件递交截止日，由采购人和采购代理机构共同查询。</w:t>
            </w:r>
          </w:p>
        </w:tc>
      </w:tr>
      <w:tr w14:paraId="38A65D6C">
        <w:tblPrEx>
          <w:tblCellMar>
            <w:top w:w="0" w:type="dxa"/>
            <w:left w:w="28" w:type="dxa"/>
            <w:bottom w:w="0" w:type="dxa"/>
            <w:right w:w="28" w:type="dxa"/>
          </w:tblCellMar>
        </w:tblPrEx>
        <w:trPr>
          <w:trHeight w:val="757"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8CBE07">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1652" w:type="dxa"/>
            <w:tcBorders>
              <w:top w:val="single" w:color="000000" w:sz="6" w:space="0"/>
              <w:left w:val="single" w:color="000000" w:sz="6" w:space="0"/>
              <w:bottom w:val="single" w:color="000000" w:sz="6" w:space="0"/>
              <w:right w:val="single" w:color="000000" w:sz="6" w:space="0"/>
            </w:tcBorders>
            <w:vAlign w:val="center"/>
          </w:tcPr>
          <w:p w14:paraId="223800E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非实质性偏离</w:t>
            </w:r>
          </w:p>
        </w:tc>
        <w:tc>
          <w:tcPr>
            <w:tcW w:w="7168" w:type="dxa"/>
            <w:tcBorders>
              <w:top w:val="single" w:color="000000" w:sz="6" w:space="0"/>
              <w:left w:val="single" w:color="000000" w:sz="6" w:space="0"/>
              <w:bottom w:val="single" w:color="000000" w:sz="6" w:space="0"/>
              <w:right w:val="single" w:color="000000" w:sz="6" w:space="0"/>
            </w:tcBorders>
            <w:vAlign w:val="center"/>
          </w:tcPr>
          <w:p w14:paraId="05E4050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允许</w:t>
            </w:r>
          </w:p>
        </w:tc>
      </w:tr>
      <w:tr w14:paraId="66C7E021">
        <w:tblPrEx>
          <w:tblCellMar>
            <w:top w:w="0" w:type="dxa"/>
            <w:left w:w="28" w:type="dxa"/>
            <w:bottom w:w="0" w:type="dxa"/>
            <w:right w:w="28" w:type="dxa"/>
          </w:tblCellMar>
        </w:tblPrEx>
        <w:trPr>
          <w:trHeight w:val="427" w:hRule="atLeast"/>
        </w:trPr>
        <w:tc>
          <w:tcPr>
            <w:tcW w:w="60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7B1DA4D">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1652" w:type="dxa"/>
            <w:tcBorders>
              <w:top w:val="single" w:color="000000" w:sz="6" w:space="0"/>
              <w:left w:val="single" w:color="000000" w:sz="6" w:space="0"/>
              <w:bottom w:val="single" w:color="000000" w:sz="6" w:space="0"/>
              <w:right w:val="single" w:color="000000" w:sz="6" w:space="0"/>
            </w:tcBorders>
            <w:vAlign w:val="center"/>
          </w:tcPr>
          <w:p w14:paraId="598D0E87">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中小企业划分 </w:t>
            </w:r>
          </w:p>
          <w:p w14:paraId="4A8688FA">
            <w:pPr>
              <w:spacing w:line="360" w:lineRule="auto"/>
              <w:jc w:val="center"/>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说明</w:t>
            </w:r>
          </w:p>
        </w:tc>
        <w:tc>
          <w:tcPr>
            <w:tcW w:w="7168" w:type="dxa"/>
            <w:tcBorders>
              <w:top w:val="single" w:color="000000" w:sz="6" w:space="0"/>
              <w:left w:val="single" w:color="000000" w:sz="6" w:space="0"/>
              <w:bottom w:val="single" w:color="000000" w:sz="6" w:space="0"/>
              <w:right w:val="single" w:color="000000" w:sz="6" w:space="0"/>
            </w:tcBorders>
            <w:vAlign w:val="center"/>
          </w:tcPr>
          <w:p w14:paraId="31AA766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根据《中小企业划型标准规定》（工信部联企业〔2011〕300 号），本项目采购标的所属行业为</w:t>
            </w:r>
            <w:r>
              <w:rPr>
                <w:rFonts w:ascii="宋体" w:hAnsi="宋体" w:eastAsia="宋体" w:cs="宋体"/>
                <w:i w:val="0"/>
                <w:iCs w:val="0"/>
                <w:caps w:val="0"/>
                <w:color w:val="auto"/>
                <w:spacing w:val="0"/>
                <w:sz w:val="24"/>
                <w:szCs w:val="24"/>
                <w:highlight w:val="none"/>
              </w:rPr>
              <w:t>其他未列明行业</w:t>
            </w:r>
            <w:r>
              <w:rPr>
                <w:rFonts w:hint="eastAsia" w:ascii="宋体" w:hAnsi="宋体" w:cs="宋体"/>
                <w:color w:val="auto"/>
                <w:sz w:val="24"/>
                <w:szCs w:val="24"/>
                <w:highlight w:val="none"/>
              </w:rPr>
              <w:t>。</w:t>
            </w:r>
          </w:p>
          <w:p w14:paraId="1AA65511">
            <w:pPr>
              <w:spacing w:line="360" w:lineRule="auto"/>
              <w:rPr>
                <w:rFonts w:ascii="宋体" w:hAnsi="宋体" w:cs="宋体"/>
                <w:color w:val="auto"/>
                <w:sz w:val="24"/>
                <w:szCs w:val="24"/>
                <w:highlight w:val="none"/>
                <w:lang w:val="zh-CN"/>
              </w:rPr>
            </w:pPr>
            <w:r>
              <w:rPr>
                <w:rFonts w:ascii="宋体" w:hAnsi="宋体" w:eastAsia="宋体" w:cs="宋体"/>
                <w:i w:val="0"/>
                <w:iCs w:val="0"/>
                <w:caps w:val="0"/>
                <w:color w:val="auto"/>
                <w:spacing w:val="0"/>
                <w:sz w:val="24"/>
                <w:szCs w:val="24"/>
                <w:highlight w:val="none"/>
              </w:rPr>
              <w:t>其他未列明行业</w:t>
            </w:r>
            <w:r>
              <w:rPr>
                <w:rFonts w:hint="eastAsia" w:ascii="宋体" w:hAnsi="宋体" w:cs="宋体"/>
                <w:color w:val="auto"/>
                <w:sz w:val="24"/>
                <w:szCs w:val="24"/>
                <w:highlight w:val="none"/>
                <w:shd w:val="clear" w:color="auto" w:fill="FFFFFF"/>
                <w:lang w:eastAsia="zh-CN"/>
              </w:rPr>
              <w:t>：</w:t>
            </w:r>
            <w:r>
              <w:rPr>
                <w:rFonts w:ascii="宋体" w:hAnsi="宋体" w:eastAsia="宋体" w:cs="宋体"/>
                <w:i w:val="0"/>
                <w:iCs w:val="0"/>
                <w:caps w:val="0"/>
                <w:color w:val="auto"/>
                <w:spacing w:val="0"/>
                <w:sz w:val="24"/>
                <w:szCs w:val="24"/>
                <w:highlight w:val="none"/>
              </w:rPr>
              <w:t>从业人员300人以下的为中小微型企业。其中，从业人员100人及以上的为中型企业；从业人员10人及以上的为小型企业；从业人员10人以下的为微型企业。</w:t>
            </w:r>
          </w:p>
        </w:tc>
      </w:tr>
      <w:tr w14:paraId="55486C51">
        <w:tblPrEx>
          <w:tblCellMar>
            <w:top w:w="0" w:type="dxa"/>
            <w:left w:w="28" w:type="dxa"/>
            <w:bottom w:w="0" w:type="dxa"/>
            <w:right w:w="28" w:type="dxa"/>
          </w:tblCellMar>
        </w:tblPrEx>
        <w:trPr>
          <w:trHeight w:val="90" w:hRule="atLeast"/>
        </w:trPr>
        <w:tc>
          <w:tcPr>
            <w:tcW w:w="600" w:type="dxa"/>
            <w:tcBorders>
              <w:top w:val="single" w:color="000000" w:sz="6" w:space="0"/>
              <w:left w:val="single" w:color="000000" w:sz="6" w:space="0"/>
              <w:bottom w:val="single" w:color="000000" w:sz="6" w:space="0"/>
              <w:right w:val="single" w:color="000000" w:sz="6" w:space="0"/>
            </w:tcBorders>
            <w:vAlign w:val="center"/>
          </w:tcPr>
          <w:p w14:paraId="4F4DC7CA">
            <w:pPr>
              <w:spacing w:line="33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21</w:t>
            </w:r>
          </w:p>
        </w:tc>
        <w:tc>
          <w:tcPr>
            <w:tcW w:w="1652" w:type="dxa"/>
            <w:tcBorders>
              <w:top w:val="single" w:color="000000" w:sz="6" w:space="0"/>
              <w:left w:val="single" w:color="000000" w:sz="6" w:space="0"/>
              <w:bottom w:val="single" w:color="000000" w:sz="6" w:space="0"/>
              <w:right w:val="single" w:color="000000" w:sz="6" w:space="0"/>
            </w:tcBorders>
            <w:vAlign w:val="center"/>
          </w:tcPr>
          <w:p w14:paraId="1DF64944">
            <w:pPr>
              <w:pStyle w:val="42"/>
              <w:spacing w:line="336" w:lineRule="auto"/>
              <w:jc w:val="center"/>
              <w:rPr>
                <w:rFonts w:cs="宋体"/>
                <w:b/>
                <w:bCs/>
                <w:color w:val="auto"/>
                <w:sz w:val="24"/>
                <w:szCs w:val="24"/>
                <w:highlight w:val="none"/>
              </w:rPr>
            </w:pPr>
            <w:r>
              <w:rPr>
                <w:rFonts w:hint="eastAsia" w:cs="宋体"/>
                <w:b/>
                <w:bCs/>
                <w:color w:val="auto"/>
                <w:sz w:val="24"/>
                <w:szCs w:val="24"/>
                <w:highlight w:val="none"/>
              </w:rPr>
              <w:t>其他</w:t>
            </w:r>
          </w:p>
        </w:tc>
        <w:tc>
          <w:tcPr>
            <w:tcW w:w="7168" w:type="dxa"/>
            <w:tcBorders>
              <w:top w:val="single" w:color="000000" w:sz="6" w:space="0"/>
              <w:left w:val="single" w:color="000000" w:sz="6" w:space="0"/>
              <w:bottom w:val="single" w:color="000000" w:sz="6" w:space="0"/>
              <w:right w:val="single" w:color="000000" w:sz="6" w:space="0"/>
            </w:tcBorders>
            <w:vAlign w:val="center"/>
          </w:tcPr>
          <w:p w14:paraId="5EA9585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采购文件与媒体发布的采购公告不一致时，以公告为准，正文与前附表表述不一致时，以供应商须知前附表为准。</w:t>
            </w:r>
          </w:p>
        </w:tc>
      </w:tr>
    </w:tbl>
    <w:p w14:paraId="562B454E">
      <w:pPr>
        <w:rPr>
          <w:color w:val="auto"/>
          <w:highlight w:val="none"/>
        </w:rPr>
        <w:sectPr>
          <w:footerReference r:id="rId9" w:type="default"/>
          <w:pgSz w:w="11906" w:h="16838"/>
          <w:pgMar w:top="1440" w:right="1706" w:bottom="1440" w:left="1800" w:header="851" w:footer="992" w:gutter="0"/>
          <w:pgNumType w:fmt="decimal" w:start="1"/>
          <w:cols w:space="720" w:num="1"/>
          <w:formProt w:val="0"/>
          <w:docGrid w:type="lines" w:linePitch="312" w:charSpace="0"/>
        </w:sectPr>
      </w:pPr>
    </w:p>
    <w:p w14:paraId="5BB910FA">
      <w:pPr>
        <w:pStyle w:val="2"/>
        <w:keepLines w:val="0"/>
        <w:rPr>
          <w:rFonts w:ascii="宋体" w:hAnsi="宋体" w:cs="宋体"/>
          <w:color w:val="auto"/>
          <w:highlight w:val="none"/>
        </w:rPr>
      </w:pPr>
      <w:bookmarkStart w:id="8" w:name="_Toc13265"/>
      <w:bookmarkStart w:id="9" w:name="_Toc9953"/>
      <w:bookmarkStart w:id="10" w:name="_Toc25641"/>
      <w:r>
        <w:rPr>
          <w:rFonts w:ascii="宋体" w:hAnsi="宋体" w:cs="宋体"/>
          <w:color w:val="auto"/>
          <w:highlight w:val="none"/>
        </w:rPr>
        <w:t>第三部分  供应商须知</w:t>
      </w:r>
      <w:bookmarkEnd w:id="8"/>
      <w:bookmarkEnd w:id="9"/>
      <w:bookmarkEnd w:id="10"/>
    </w:p>
    <w:p w14:paraId="3746475C">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11" w:name="_Toc26848"/>
      <w:bookmarkStart w:id="12" w:name="_Toc30819"/>
      <w:bookmarkStart w:id="13" w:name="_Toc10644"/>
      <w:r>
        <w:rPr>
          <w:rFonts w:ascii="宋体" w:hAnsi="宋体" w:cs="宋体"/>
          <w:b/>
          <w:bCs/>
          <w:color w:val="auto"/>
          <w:kern w:val="0"/>
          <w:sz w:val="32"/>
          <w:szCs w:val="28"/>
          <w:highlight w:val="none"/>
        </w:rPr>
        <w:t>总则</w:t>
      </w:r>
      <w:bookmarkEnd w:id="11"/>
      <w:bookmarkEnd w:id="12"/>
      <w:bookmarkEnd w:id="13"/>
    </w:p>
    <w:p w14:paraId="21F660D9">
      <w:pPr>
        <w:pStyle w:val="4"/>
        <w:numPr>
          <w:ilvl w:val="0"/>
          <w:numId w:val="12"/>
        </w:numPr>
        <w:rPr>
          <w:rFonts w:ascii="宋体" w:hAnsi="宋体" w:cs="宋体"/>
          <w:color w:val="auto"/>
          <w:highlight w:val="none"/>
        </w:rPr>
      </w:pPr>
      <w:r>
        <w:rPr>
          <w:rFonts w:ascii="宋体" w:hAnsi="宋体" w:cs="宋体"/>
          <w:color w:val="auto"/>
          <w:highlight w:val="none"/>
        </w:rPr>
        <w:t>适用范围</w:t>
      </w:r>
    </w:p>
    <w:p w14:paraId="460B5199">
      <w:pPr>
        <w:widowControl/>
        <w:spacing w:line="360" w:lineRule="auto"/>
        <w:ind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1.1 本磋商文件适用于本次采购活动的全过程。</w:t>
      </w:r>
    </w:p>
    <w:p w14:paraId="14D4D057">
      <w:pPr>
        <w:widowControl/>
        <w:spacing w:line="360" w:lineRule="auto"/>
        <w:ind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1.2 本次采购采购人、采购代理机构、供应商、磋商小组的相关行为均受《中华人民共和国政府采购法》及实施条例、财政部规章及政府采购项目所在地有关法规、规章的约束，其权利受到上述法律法规的保护。</w:t>
      </w:r>
    </w:p>
    <w:p w14:paraId="25F6E64C">
      <w:pPr>
        <w:pStyle w:val="4"/>
        <w:numPr>
          <w:ilvl w:val="0"/>
          <w:numId w:val="12"/>
        </w:numPr>
        <w:spacing w:line="500" w:lineRule="exact"/>
        <w:rPr>
          <w:rFonts w:ascii="宋体" w:hAnsi="宋体" w:cs="宋体"/>
          <w:color w:val="auto"/>
          <w:szCs w:val="28"/>
          <w:highlight w:val="none"/>
        </w:rPr>
      </w:pPr>
      <w:r>
        <w:rPr>
          <w:rFonts w:ascii="宋体" w:hAnsi="宋体" w:cs="宋体"/>
          <w:color w:val="auto"/>
          <w:szCs w:val="28"/>
          <w:highlight w:val="none"/>
        </w:rPr>
        <w:t>合格的供应商</w:t>
      </w:r>
    </w:p>
    <w:p w14:paraId="0FD5D729">
      <w:pPr>
        <w:tabs>
          <w:tab w:val="left" w:pos="0"/>
        </w:tabs>
        <w:spacing w:line="360" w:lineRule="auto"/>
        <w:ind w:left="6"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2.1供应商应遵守有关的国家法律、法规和条例，具备《中华人民共和国政府采购法》和本文件中规定的条件：</w:t>
      </w:r>
    </w:p>
    <w:p w14:paraId="4AF8EB10">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具有独立承担民事责任的能力；</w:t>
      </w:r>
    </w:p>
    <w:p w14:paraId="6B0FD768">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具有良好的商业信誉和健全的财务会计制度；</w:t>
      </w:r>
    </w:p>
    <w:p w14:paraId="744D1FFE">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具有履行合同所必需的产品和专业技术能力；</w:t>
      </w:r>
    </w:p>
    <w:p w14:paraId="248ABB18">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具有依法缴纳税收和社会保障资金的良好记录；</w:t>
      </w:r>
    </w:p>
    <w:p w14:paraId="5A5C91DB">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参加此项采购活动前三年内，在经营活动中没有重大违法记录；</w:t>
      </w:r>
    </w:p>
    <w:p w14:paraId="14049DF7">
      <w:pPr>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法律、行政法规规定的其他条件。</w:t>
      </w:r>
    </w:p>
    <w:p w14:paraId="5365C4A2">
      <w:pPr>
        <w:tabs>
          <w:tab w:val="left" w:pos="0"/>
        </w:tabs>
        <w:spacing w:line="360" w:lineRule="auto"/>
        <w:ind w:left="5" w:firstLine="480" w:firstLineChars="200"/>
        <w:rPr>
          <w:rFonts w:ascii="宋体" w:hAnsi="宋体" w:cs="宋体"/>
          <w:color w:val="auto"/>
          <w:kern w:val="0"/>
          <w:sz w:val="24"/>
          <w:szCs w:val="24"/>
          <w:highlight w:val="none"/>
        </w:rPr>
      </w:pPr>
      <w:r>
        <w:rPr>
          <w:rFonts w:ascii="宋体" w:hAnsi="宋体" w:cs="宋体"/>
          <w:color w:val="auto"/>
          <w:sz w:val="24"/>
          <w:szCs w:val="24"/>
          <w:highlight w:val="none"/>
        </w:rPr>
        <w:t>2.2供应商应独立于采购人，不得直接或间接地与采购人为采购本次采购的货物（或服务）进行设计、编制技术规格和其它文件所委托的咨询公司或其附属机构有任何关联。</w:t>
      </w:r>
    </w:p>
    <w:p w14:paraId="03537C88">
      <w:pPr>
        <w:tabs>
          <w:tab w:val="left" w:pos="0"/>
        </w:tabs>
        <w:spacing w:line="360" w:lineRule="auto"/>
        <w:ind w:left="5"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2.3供应商不得存在下列情形之一：</w:t>
      </w:r>
    </w:p>
    <w:p w14:paraId="7C01B6D0">
      <w:pPr>
        <w:tabs>
          <w:tab w:val="left" w:pos="0"/>
        </w:tabs>
        <w:spacing w:line="360" w:lineRule="auto"/>
        <w:ind w:left="6"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（1）与采购人或采购代理机构存在隶属关系或者其他利害关系；</w:t>
      </w:r>
    </w:p>
    <w:p w14:paraId="2DA170E9">
      <w:pPr>
        <w:tabs>
          <w:tab w:val="left" w:pos="0"/>
        </w:tabs>
        <w:spacing w:line="360" w:lineRule="auto"/>
        <w:ind w:left="6"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（2）与其他供应商的法定代表人（或者负责人）为同一人，或者与其他供应商存在直接控股、管理关系；</w:t>
      </w:r>
    </w:p>
    <w:p w14:paraId="3197AC9D">
      <w:pPr>
        <w:tabs>
          <w:tab w:val="left" w:pos="0"/>
        </w:tabs>
        <w:spacing w:line="360" w:lineRule="auto"/>
        <w:ind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（3）</w:t>
      </w:r>
      <w:r>
        <w:rPr>
          <w:rFonts w:ascii="宋体" w:hAnsi="宋体" w:cs="宋体"/>
          <w:color w:val="auto"/>
          <w:sz w:val="24"/>
          <w:szCs w:val="24"/>
          <w:highlight w:val="none"/>
        </w:rPr>
        <w:t>受到刑事处罚或者责令停产停业、吊销许可证或者执照、较大数额罚款（200万元以上的罚款）等行政处罚，供应商在参加政府采购活动前3年内因违法经营被禁止在一定期限内参加政府采购活动（期限届满的，可以参加政府采购活动）</w:t>
      </w:r>
      <w:r>
        <w:rPr>
          <w:rFonts w:ascii="宋体" w:hAnsi="宋体" w:cs="宋体"/>
          <w:color w:val="auto"/>
          <w:kern w:val="0"/>
          <w:sz w:val="24"/>
          <w:szCs w:val="24"/>
          <w:highlight w:val="none"/>
        </w:rPr>
        <w:t>。</w:t>
      </w:r>
    </w:p>
    <w:p w14:paraId="6273A6CC">
      <w:pPr>
        <w:tabs>
          <w:tab w:val="left" w:pos="0"/>
        </w:tabs>
        <w:spacing w:line="360" w:lineRule="auto"/>
        <w:ind w:left="6"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4）供应商在磋商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w:t>
      </w:r>
    </w:p>
    <w:p w14:paraId="2818F19B">
      <w:pPr>
        <w:pStyle w:val="4"/>
        <w:numPr>
          <w:ilvl w:val="0"/>
          <w:numId w:val="12"/>
        </w:numPr>
        <w:spacing w:line="500" w:lineRule="exact"/>
        <w:rPr>
          <w:rFonts w:ascii="宋体" w:hAnsi="宋体" w:cs="宋体"/>
          <w:color w:val="auto"/>
          <w:szCs w:val="28"/>
          <w:highlight w:val="none"/>
        </w:rPr>
      </w:pPr>
      <w:r>
        <w:rPr>
          <w:rFonts w:ascii="宋体" w:hAnsi="宋体" w:cs="宋体"/>
          <w:color w:val="auto"/>
          <w:szCs w:val="28"/>
          <w:highlight w:val="none"/>
        </w:rPr>
        <w:t>费用</w:t>
      </w:r>
    </w:p>
    <w:p w14:paraId="745A4FDC">
      <w:pPr>
        <w:widowControl/>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无论评审过程和结果如何，供应商自行承担与采购有关的全部费用。</w:t>
      </w:r>
    </w:p>
    <w:p w14:paraId="739414D0">
      <w:pPr>
        <w:pStyle w:val="4"/>
        <w:numPr>
          <w:ilvl w:val="0"/>
          <w:numId w:val="12"/>
        </w:numPr>
        <w:spacing w:line="500" w:lineRule="exact"/>
        <w:rPr>
          <w:rFonts w:ascii="宋体" w:hAnsi="宋体" w:cs="宋体"/>
          <w:color w:val="auto"/>
          <w:szCs w:val="28"/>
          <w:highlight w:val="none"/>
        </w:rPr>
      </w:pPr>
      <w:r>
        <w:rPr>
          <w:rFonts w:ascii="宋体" w:hAnsi="宋体" w:cs="宋体"/>
          <w:color w:val="auto"/>
          <w:szCs w:val="28"/>
          <w:highlight w:val="none"/>
        </w:rPr>
        <w:t>实质性偏离</w:t>
      </w:r>
    </w:p>
    <w:p w14:paraId="588980B0">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响应文件应当对采购文件实质性要求和条件作出满足性或有利于采购人的响应，否则，供应商的响应无效。</w:t>
      </w:r>
    </w:p>
    <w:p w14:paraId="5766E420">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偏离是指响应文件不响应或者不满足采购文件提出的要求和条件，分为实质性偏离和非实质性偏离。</w:t>
      </w:r>
    </w:p>
    <w:p w14:paraId="6413BBE8">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除法律、法规和采购文件规定的其他响应无效情形外，采购文件中要求必须响应的条款为实质性要求和条件，响应文件对其中任何一条的偏离，为实质性偏离，其响应无效。</w:t>
      </w:r>
    </w:p>
    <w:p w14:paraId="7B7E7819">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响应文件偏离采购文件的非实质性要求和条件，为非实质性偏离。非实质性偏离的范围和项数应当符合供应商须知前附表的规定，超出偏离范围和最高项数的响应无效。</w:t>
      </w:r>
    </w:p>
    <w:p w14:paraId="2D0D54DB">
      <w:pPr>
        <w:pStyle w:val="4"/>
        <w:numPr>
          <w:ilvl w:val="0"/>
          <w:numId w:val="12"/>
        </w:numPr>
        <w:spacing w:line="500" w:lineRule="exact"/>
        <w:rPr>
          <w:rFonts w:ascii="宋体" w:hAnsi="宋体" w:cs="宋体"/>
          <w:color w:val="auto"/>
          <w:szCs w:val="28"/>
          <w:highlight w:val="none"/>
        </w:rPr>
      </w:pPr>
      <w:r>
        <w:rPr>
          <w:rFonts w:ascii="宋体" w:hAnsi="宋体" w:cs="宋体"/>
          <w:color w:val="auto"/>
          <w:szCs w:val="28"/>
          <w:highlight w:val="none"/>
        </w:rPr>
        <w:t>知识产权</w:t>
      </w:r>
    </w:p>
    <w:p w14:paraId="73405A55">
      <w:pPr>
        <w:pStyle w:val="41"/>
        <w:spacing w:line="360" w:lineRule="auto"/>
        <w:ind w:left="0" w:firstLine="480" w:firstLineChars="200"/>
        <w:rPr>
          <w:rFonts w:ascii="宋体" w:hAnsi="宋体" w:cs="宋体"/>
          <w:color w:val="auto"/>
          <w:kern w:val="2"/>
          <w:sz w:val="24"/>
          <w:szCs w:val="24"/>
          <w:highlight w:val="none"/>
        </w:rPr>
      </w:pPr>
      <w:r>
        <w:rPr>
          <w:rFonts w:ascii="宋体" w:hAnsi="宋体" w:cs="宋体"/>
          <w:color w:val="auto"/>
          <w:kern w:val="2"/>
          <w:sz w:val="24"/>
          <w:szCs w:val="24"/>
          <w:highlight w:val="none"/>
        </w:rPr>
        <w:t>供应商应当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55323A97">
      <w:pPr>
        <w:pStyle w:val="41"/>
        <w:spacing w:line="360" w:lineRule="auto"/>
        <w:ind w:left="0" w:firstLine="480" w:firstLineChars="200"/>
        <w:rPr>
          <w:rFonts w:ascii="宋体" w:hAnsi="宋体" w:cs="宋体"/>
          <w:color w:val="auto"/>
          <w:kern w:val="2"/>
          <w:sz w:val="24"/>
          <w:szCs w:val="24"/>
          <w:highlight w:val="none"/>
        </w:rPr>
      </w:pPr>
      <w:r>
        <w:rPr>
          <w:rFonts w:ascii="宋体" w:hAnsi="宋体" w:cs="宋体"/>
          <w:color w:val="auto"/>
          <w:kern w:val="2"/>
          <w:sz w:val="24"/>
          <w:szCs w:val="24"/>
          <w:highlight w:val="none"/>
        </w:rPr>
        <w:t>采购人享有本项目实施过程中产生的知识成果及知识产权。</w:t>
      </w:r>
    </w:p>
    <w:p w14:paraId="4331270C">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供应商如欲在项目实施过程中采用自有知识成果，需在响应文件中声明，并提供相关知识产权证明文件。使用该知识成果后，供应商需提供开发接口和开发手册等技术文档，并承诺提供无限期技术支持，采购人享有永久使用权。</w:t>
      </w:r>
    </w:p>
    <w:p w14:paraId="24385F08">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如采用供应商所不拥有的知识产权，则在响应报价中必须包括合法获取该知识产权的相关费用。</w:t>
      </w:r>
    </w:p>
    <w:p w14:paraId="72587525">
      <w:pPr>
        <w:rPr>
          <w:rFonts w:ascii="宋体" w:hAnsi="宋体" w:cs="宋体"/>
          <w:b/>
          <w:bCs/>
          <w:color w:val="auto"/>
          <w:kern w:val="0"/>
          <w:sz w:val="32"/>
          <w:szCs w:val="28"/>
          <w:highlight w:val="none"/>
        </w:rPr>
      </w:pPr>
      <w:bookmarkStart w:id="14" w:name="_Toc26736"/>
      <w:r>
        <w:rPr>
          <w:rFonts w:ascii="宋体" w:hAnsi="宋体" w:cs="宋体"/>
          <w:b/>
          <w:bCs/>
          <w:color w:val="auto"/>
          <w:kern w:val="0"/>
          <w:sz w:val="32"/>
          <w:szCs w:val="28"/>
          <w:highlight w:val="none"/>
        </w:rPr>
        <w:br w:type="page"/>
      </w:r>
    </w:p>
    <w:p w14:paraId="447220B5">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15" w:name="_Toc427"/>
      <w:bookmarkStart w:id="16" w:name="_Toc14946"/>
      <w:r>
        <w:rPr>
          <w:rFonts w:ascii="宋体" w:hAnsi="宋体" w:cs="宋体"/>
          <w:b/>
          <w:bCs/>
          <w:color w:val="auto"/>
          <w:kern w:val="0"/>
          <w:sz w:val="32"/>
          <w:szCs w:val="28"/>
          <w:highlight w:val="none"/>
        </w:rPr>
        <w:t>竞争性磋商文件</w:t>
      </w:r>
      <w:bookmarkEnd w:id="14"/>
      <w:bookmarkEnd w:id="15"/>
      <w:bookmarkEnd w:id="16"/>
    </w:p>
    <w:p w14:paraId="709BF6FE">
      <w:pPr>
        <w:pStyle w:val="4"/>
        <w:numPr>
          <w:ilvl w:val="0"/>
          <w:numId w:val="14"/>
        </w:numPr>
        <w:rPr>
          <w:rFonts w:ascii="宋体" w:hAnsi="宋体" w:cs="宋体"/>
          <w:color w:val="auto"/>
          <w:highlight w:val="none"/>
        </w:rPr>
      </w:pPr>
      <w:r>
        <w:rPr>
          <w:rFonts w:ascii="宋体" w:hAnsi="宋体" w:cs="宋体"/>
          <w:color w:val="auto"/>
          <w:highlight w:val="none"/>
        </w:rPr>
        <w:t>竞争性磋商文件的构成</w:t>
      </w:r>
    </w:p>
    <w:p w14:paraId="5F4BDB5D">
      <w:pPr>
        <w:tabs>
          <w:tab w:val="left" w:pos="0"/>
        </w:tabs>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竞争性磋商文件是供应商准备响应文件和参加磋商的依据，同时也是评审的重要依据，具有准法律文件性质。本竞争性磋商文件包括以下内容：</w:t>
      </w:r>
    </w:p>
    <w:p w14:paraId="0C7ADF26">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竞争性磋商公告；</w:t>
      </w:r>
    </w:p>
    <w:p w14:paraId="34A86FE3">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供应商须知前附表；</w:t>
      </w:r>
    </w:p>
    <w:p w14:paraId="29916A86">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供应商须知；</w:t>
      </w:r>
    </w:p>
    <w:p w14:paraId="4FBCE71C">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评分标准；</w:t>
      </w:r>
    </w:p>
    <w:p w14:paraId="5E624177">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采购内容；</w:t>
      </w:r>
    </w:p>
    <w:p w14:paraId="23C6EAD0">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合同条款；</w:t>
      </w:r>
    </w:p>
    <w:p w14:paraId="4252A933">
      <w:pPr>
        <w:numPr>
          <w:ilvl w:val="0"/>
          <w:numId w:val="15"/>
        </w:num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响应文件格式。</w:t>
      </w:r>
    </w:p>
    <w:p w14:paraId="21994C01">
      <w:pPr>
        <w:tabs>
          <w:tab w:val="left" w:pos="0"/>
        </w:tabs>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highlight w:val="none"/>
        </w:rPr>
        <w:t>供应商应认真阅读和充分理解竞争性磋商文件中所有的事项、格式条款和规范要求。供应商没有对竞争性磋商文件全面做出实质性响应是供应商的风险。没有按照竞争性磋商文件要求作出实质性响应的响应文件将被拒绝。</w:t>
      </w:r>
    </w:p>
    <w:p w14:paraId="3D7C32DD">
      <w:pPr>
        <w:pStyle w:val="4"/>
        <w:numPr>
          <w:ilvl w:val="0"/>
          <w:numId w:val="14"/>
        </w:numPr>
        <w:rPr>
          <w:rFonts w:ascii="宋体" w:hAnsi="宋体" w:cs="宋体"/>
          <w:color w:val="auto"/>
          <w:highlight w:val="none"/>
        </w:rPr>
      </w:pPr>
      <w:r>
        <w:rPr>
          <w:rFonts w:ascii="宋体" w:hAnsi="宋体" w:cs="宋体"/>
          <w:color w:val="auto"/>
          <w:highlight w:val="none"/>
        </w:rPr>
        <w:t>竞争性磋商文件的澄清</w:t>
      </w:r>
    </w:p>
    <w:p w14:paraId="5D66CAB5">
      <w:pPr>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2.1 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或因市场行情了解不清造成的后果和风险均由供应商自负。</w:t>
      </w:r>
    </w:p>
    <w:p w14:paraId="39F6ABB1">
      <w:pPr>
        <w:tabs>
          <w:tab w:val="left" w:pos="0"/>
        </w:tabs>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2.2采购人或代理机构对收到的任何询问或澄清要求将在三个工作日内作出书面答复。</w:t>
      </w:r>
    </w:p>
    <w:p w14:paraId="0E6E7B82">
      <w:pPr>
        <w:pStyle w:val="4"/>
        <w:numPr>
          <w:ilvl w:val="0"/>
          <w:numId w:val="14"/>
        </w:numPr>
        <w:rPr>
          <w:rFonts w:ascii="宋体" w:hAnsi="宋体" w:cs="宋体"/>
          <w:color w:val="auto"/>
          <w:highlight w:val="none"/>
        </w:rPr>
      </w:pPr>
      <w:r>
        <w:rPr>
          <w:rFonts w:ascii="宋体" w:hAnsi="宋体" w:cs="宋体"/>
          <w:color w:val="auto"/>
          <w:highlight w:val="none"/>
        </w:rPr>
        <w:t>竞争性磋商文件的修改</w:t>
      </w:r>
    </w:p>
    <w:p w14:paraId="3802B2FE">
      <w:pPr>
        <w:tabs>
          <w:tab w:val="left" w:pos="0"/>
        </w:tabs>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3.1 在磋商截止时间五日前，无论出于何种原因，代理机构可主动地或在解答供应商提出的澄清问题时，对竞争性磋商文件进行修改。竞争性磋商文件的澄清和修改将以书面形式通知所有供应商，并作为竞争性磋商文件的补充，与其具有同等法律效力。</w:t>
      </w:r>
    </w:p>
    <w:p w14:paraId="41355622">
      <w:pPr>
        <w:tabs>
          <w:tab w:val="left" w:pos="0"/>
        </w:tabs>
        <w:snapToGrid w:val="0"/>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3.2 为方便供应商对竞争性磋商文件修改或澄清内容有充分的时间进行补充修改，代理机构可适当延长磋商截止时间和磋商时间，在竞争性磋商文件要求提交响应文件的截止前，将变更时间书面通知所有购买竞争性磋商文件的供应商。</w:t>
      </w:r>
    </w:p>
    <w:p w14:paraId="19AB22E3">
      <w:pPr>
        <w:pStyle w:val="4"/>
        <w:numPr>
          <w:ilvl w:val="0"/>
          <w:numId w:val="14"/>
        </w:numPr>
        <w:rPr>
          <w:rFonts w:ascii="宋体" w:hAnsi="宋体" w:cs="宋体"/>
          <w:color w:val="auto"/>
          <w:highlight w:val="none"/>
        </w:rPr>
      </w:pPr>
      <w:r>
        <w:rPr>
          <w:rFonts w:ascii="宋体" w:hAnsi="宋体" w:cs="宋体"/>
          <w:color w:val="auto"/>
          <w:highlight w:val="none"/>
        </w:rPr>
        <w:t>竞争性磋商文件的解释权归代理机构。</w:t>
      </w:r>
    </w:p>
    <w:p w14:paraId="0186623C">
      <w:pPr>
        <w:pStyle w:val="4"/>
        <w:numPr>
          <w:ilvl w:val="0"/>
          <w:numId w:val="14"/>
        </w:numPr>
        <w:spacing w:line="500" w:lineRule="exact"/>
        <w:rPr>
          <w:rFonts w:ascii="宋体" w:hAnsi="宋体" w:cs="宋体"/>
          <w:color w:val="auto"/>
          <w:szCs w:val="28"/>
          <w:highlight w:val="none"/>
        </w:rPr>
      </w:pPr>
      <w:r>
        <w:rPr>
          <w:rFonts w:ascii="宋体" w:hAnsi="宋体" w:cs="宋体"/>
          <w:color w:val="auto"/>
          <w:szCs w:val="28"/>
          <w:highlight w:val="none"/>
        </w:rPr>
        <w:t>落实的政府采购政策</w:t>
      </w:r>
    </w:p>
    <w:p w14:paraId="6685B6C2">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5.1采购政策</w:t>
      </w:r>
    </w:p>
    <w:p w14:paraId="3A4252B5">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（1）《政府采购促进中小企业发展管理办法》（财库〔2020〕46号）；</w:t>
      </w:r>
    </w:p>
    <w:p w14:paraId="7C2D7780">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（2）《财政部 司法部关于政府采购支持监狱企业发展有关问题的通知》（财库〔2014〕68号）；</w:t>
      </w:r>
    </w:p>
    <w:p w14:paraId="234A0CC8">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（3）《国务院办公厅关于建立政府强制采购节能产品制度的通知》（国办发〔2007〕51号）；</w:t>
      </w:r>
    </w:p>
    <w:p w14:paraId="00B3AC83">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（4）《财政部 国家发展改革委关于印发〈节能产品政府采购实施意见〉的通知》（财库〔2004〕185号）；</w:t>
      </w:r>
    </w:p>
    <w:p w14:paraId="2E166DFA">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（5）《财政部环保总局关于环境标志产品政府采购实施的意见》（财库〔2006〕90号）；</w:t>
      </w:r>
    </w:p>
    <w:p w14:paraId="2F0E8DC8">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（6）《三部门联合发布关于促进残疾人就业政府采购政策的通知》（财库〔2017〕141号）；</w:t>
      </w:r>
    </w:p>
    <w:p w14:paraId="1CFD6BAD">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（7）《财政部 发展改革委 生态环境部 市场监管总局关于调整优化节能产品、环境标志产品政府采购执行机制的通知》（财库〔2019〕9号）；</w:t>
      </w:r>
    </w:p>
    <w:p w14:paraId="6EEAF7FE">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（8）《财政部 农业农村部 国家乡村振兴局关于运用政府采购政策支持乡村产业振兴的通知》 （财库〔2021〕19号）；</w:t>
      </w:r>
    </w:p>
    <w:p w14:paraId="2F6EC15A">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（9）陕西省财政厅关于印发《陕西省中小企业政府采购信用融资办法》（陕财办采〔2018〕23号）。</w:t>
      </w:r>
    </w:p>
    <w:p w14:paraId="6937CB2F">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2小微企业</w:t>
      </w:r>
    </w:p>
    <w:p w14:paraId="0FA28107">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w:t>
      </w:r>
      <w:r>
        <w:rPr>
          <w:rFonts w:ascii="宋体" w:hAnsi="宋体" w:cs="宋体"/>
          <w:color w:val="auto"/>
          <w:sz w:val="24"/>
          <w:szCs w:val="24"/>
          <w:highlight w:val="none"/>
        </w:rPr>
        <w:t>项目专门面向</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企业采购</w:t>
      </w:r>
      <w:r>
        <w:rPr>
          <w:rFonts w:ascii="宋体" w:hAnsi="宋体" w:cs="宋体"/>
          <w:color w:val="auto"/>
          <w:sz w:val="24"/>
          <w:szCs w:val="24"/>
          <w:highlight w:val="none"/>
        </w:rPr>
        <w:t>；在服务采购项目中，服务</w:t>
      </w:r>
      <w:r>
        <w:rPr>
          <w:rFonts w:hint="eastAsia" w:ascii="宋体" w:hAnsi="宋体" w:cs="宋体"/>
          <w:color w:val="auto"/>
          <w:sz w:val="24"/>
          <w:szCs w:val="24"/>
          <w:highlight w:val="none"/>
        </w:rPr>
        <w:t>须</w:t>
      </w:r>
      <w:r>
        <w:rPr>
          <w:rFonts w:ascii="宋体" w:hAnsi="宋体" w:cs="宋体"/>
          <w:color w:val="auto"/>
          <w:sz w:val="24"/>
          <w:szCs w:val="24"/>
          <w:highlight w:val="none"/>
        </w:rPr>
        <w:t>由</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承接，</w:t>
      </w:r>
      <w:r>
        <w:rPr>
          <w:rFonts w:hint="eastAsia" w:ascii="宋体" w:hAnsi="宋体" w:cs="宋体"/>
          <w:color w:val="auto"/>
          <w:sz w:val="24"/>
          <w:szCs w:val="24"/>
          <w:highlight w:val="none"/>
          <w:lang w:val="en-US" w:eastAsia="zh-CN"/>
        </w:rPr>
        <w:t>中型、</w:t>
      </w:r>
      <w:r>
        <w:rPr>
          <w:rFonts w:hint="eastAsia" w:ascii="宋体" w:hAnsi="宋体" w:cs="宋体"/>
          <w:color w:val="auto"/>
          <w:sz w:val="24"/>
          <w:szCs w:val="24"/>
          <w:highlight w:val="none"/>
        </w:rPr>
        <w:t>大型企业不得参与</w:t>
      </w:r>
      <w:r>
        <w:rPr>
          <w:rFonts w:ascii="宋体" w:hAnsi="宋体" w:cs="宋体"/>
          <w:color w:val="auto"/>
          <w:sz w:val="24"/>
          <w:szCs w:val="24"/>
          <w:highlight w:val="none"/>
        </w:rPr>
        <w:t>。符合政策条件的供应商参加政府采购活动，应当提供《中小企业声明函》（见附件二）。</w:t>
      </w:r>
    </w:p>
    <w:p w14:paraId="021E65BE">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3</w:t>
      </w:r>
      <w:r>
        <w:rPr>
          <w:rFonts w:ascii="宋体" w:hAnsi="宋体" w:cs="宋体"/>
          <w:color w:val="auto"/>
          <w:sz w:val="24"/>
          <w:szCs w:val="24"/>
          <w:highlight w:val="none"/>
        </w:rPr>
        <w:t>依据《财政部、司法部关于政府采购支持监狱企业发展有关问题的通知》（财库〔2014〕68号）之规定，监狱企业参加政府采购活动，视同</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。应当提供由省级以上监狱管理局、戒毒管理局出具的属于监狱企业的证明文件，在评审时享受</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政策。未提供或出具证明文件的单位不符合相关要求的，不视为</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w:t>
      </w:r>
    </w:p>
    <w:p w14:paraId="404D8F71">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4</w:t>
      </w:r>
      <w:r>
        <w:rPr>
          <w:rFonts w:ascii="宋体" w:hAnsi="宋体" w:cs="宋体"/>
          <w:color w:val="auto"/>
          <w:sz w:val="24"/>
          <w:szCs w:val="24"/>
          <w:highlight w:val="none"/>
        </w:rPr>
        <w:t>依据《财政部、民政部、中国残疾人联合会关于促进残疾人就业政府采购政策的通知》（财库〔2017〕141号）之规定，残疾人福利性单位参加政府采购活动，视同</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，应当提供《残疾人福利性单位声明函》，在评审时享受</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政策。未提供的不视为</w:t>
      </w:r>
      <w:r>
        <w:rPr>
          <w:rFonts w:hint="eastAsia" w:ascii="宋体" w:hAnsi="宋体" w:cs="宋体"/>
          <w:color w:val="auto"/>
          <w:sz w:val="24"/>
          <w:szCs w:val="24"/>
          <w:highlight w:val="none"/>
          <w:lang w:val="en-US" w:eastAsia="zh-CN"/>
        </w:rPr>
        <w:t>小微</w:t>
      </w:r>
      <w:r>
        <w:rPr>
          <w:rFonts w:hint="eastAsia" w:ascii="宋体" w:hAnsi="宋体" w:cs="宋体"/>
          <w:color w:val="auto"/>
          <w:sz w:val="24"/>
          <w:szCs w:val="24"/>
          <w:highlight w:val="none"/>
        </w:rPr>
        <w:t>企业</w:t>
      </w:r>
      <w:r>
        <w:rPr>
          <w:rFonts w:ascii="宋体" w:hAnsi="宋体" w:cs="宋体"/>
          <w:color w:val="auto"/>
          <w:sz w:val="24"/>
          <w:szCs w:val="24"/>
          <w:highlight w:val="none"/>
        </w:rPr>
        <w:t>。</w:t>
      </w:r>
    </w:p>
    <w:p w14:paraId="4B739B9F">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供应商提供的《中小企业声明函》或者《残疾人福利性单位声明函》存在明显错误的，评标委员会可以要求供应商作出澄清；澄清后，符合</w:t>
      </w:r>
      <w:r>
        <w:rPr>
          <w:rFonts w:hint="eastAsia" w:ascii="宋体" w:hAnsi="宋体" w:cs="宋体"/>
          <w:color w:val="auto"/>
          <w:sz w:val="24"/>
          <w:szCs w:val="24"/>
          <w:highlight w:val="none"/>
        </w:rPr>
        <w:t>中小企业</w:t>
      </w:r>
      <w:r>
        <w:rPr>
          <w:rFonts w:ascii="宋体" w:hAnsi="宋体" w:cs="宋体"/>
          <w:color w:val="auto"/>
          <w:sz w:val="24"/>
          <w:szCs w:val="24"/>
          <w:highlight w:val="none"/>
        </w:rPr>
        <w:t>条件的，供应商可以享受优惠政策；否则，不享受优惠政策。</w:t>
      </w:r>
    </w:p>
    <w:p w14:paraId="3792E2D1">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政府采购监督检查、投诉处理及政府采购行政处罚中对中小企业的认定，由货物制造商注册登记所在地的县级以上人民政府中小企业主管部门负责。</w:t>
      </w:r>
    </w:p>
    <w:p w14:paraId="0CB4A55C">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5</w:t>
      </w:r>
      <w:r>
        <w:rPr>
          <w:rFonts w:ascii="宋体" w:hAnsi="宋体" w:cs="宋体"/>
          <w:color w:val="auto"/>
          <w:sz w:val="24"/>
          <w:szCs w:val="24"/>
          <w:highlight w:val="none"/>
        </w:rPr>
        <w:t>《财政部 农业农村部 国家乡村振兴局关于运用政府采购政策支持乡村产业振兴的通知》 （财库〔2021〕19号）。</w:t>
      </w:r>
    </w:p>
    <w:p w14:paraId="65F33D77">
      <w:pPr>
        <w:tabs>
          <w:tab w:val="left" w:pos="0"/>
        </w:tabs>
        <w:snapToGrid w:val="0"/>
        <w:spacing w:line="500" w:lineRule="exact"/>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6</w:t>
      </w:r>
      <w:r>
        <w:rPr>
          <w:rFonts w:ascii="宋体" w:hAnsi="宋体" w:cs="宋体"/>
          <w:color w:val="auto"/>
          <w:sz w:val="24"/>
          <w:szCs w:val="24"/>
          <w:highlight w:val="none"/>
        </w:rPr>
        <w:t>供应商有融资、担保需求的：《陕西省财政厅关于印发&lt;陕西省中小企业政府采购信用融资办法&gt;的通知》（陕财办采〔2018〕23号）相关政策、业务流程、办理平台（http://www.ccgp</w:t>
      </w:r>
      <w:r>
        <w:rPr>
          <w:rFonts w:hint="eastAsia" w:ascii="宋体" w:hAnsi="宋体" w:cs="宋体"/>
          <w:color w:val="auto"/>
          <w:sz w:val="24"/>
          <w:szCs w:val="24"/>
          <w:highlight w:val="none"/>
        </w:rPr>
        <w:t>-</w:t>
      </w:r>
      <w:r>
        <w:rPr>
          <w:rFonts w:ascii="宋体" w:hAnsi="宋体" w:cs="宋体"/>
          <w:color w:val="auto"/>
          <w:sz w:val="24"/>
          <w:szCs w:val="24"/>
          <w:highlight w:val="none"/>
        </w:rPr>
        <w:t>shaanxi.gov.cn/zcdservice/zcd/shanxi/）。</w:t>
      </w:r>
    </w:p>
    <w:p w14:paraId="74843ED8">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政府采购信用融资，是指银行业金融机构（以下简称银行）以政府采购诚信考核和信用审查为基础，凭借政府采购合同，按优于一般中小企业的贷款利率直接向申请贷款的供应商发放贷款的一种融资方式。 </w:t>
      </w:r>
    </w:p>
    <w:p w14:paraId="3A0EE0F3">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 </w:t>
      </w:r>
    </w:p>
    <w:p w14:paraId="153F90DC">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银行为参与政府采购融资的中小企业提供的产品，应以信用贷款为主，贷款利率应当优于一般中小企业的贷款利率水平，并将产品信息（包括贷款发放条件、利率优惠、贷款金额）等在陕西政府采购网予以展示。 </w:t>
      </w:r>
    </w:p>
    <w:p w14:paraId="6786AA4E">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 </w:t>
      </w:r>
    </w:p>
    <w:p w14:paraId="66E455EF">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对拟用于信用融资的政府采购合同，供应商在签署合同时应当向采购单位或采购代理机构申明或提示该合同将用于申请信用融资，并在合同中注明融资银行 </w:t>
      </w:r>
    </w:p>
    <w:p w14:paraId="7AAA8C21">
      <w:pPr>
        <w:tabs>
          <w:tab w:val="left" w:pos="0"/>
        </w:tabs>
        <w:snapToGrid w:val="0"/>
        <w:spacing w:line="50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名称及在该银行开设的收款账号信息。采购单位或采购代理机构在进行政府采购合同备案时，应当将上述信息在政府采购合同中予以特别标记。</w:t>
      </w:r>
    </w:p>
    <w:p w14:paraId="3CD55351">
      <w:pPr>
        <w:tabs>
          <w:tab w:val="left" w:pos="0"/>
        </w:tabs>
        <w:snapToGrid w:val="0"/>
        <w:spacing w:line="500" w:lineRule="exact"/>
        <w:ind w:firstLine="480" w:firstLineChars="200"/>
        <w:jc w:val="left"/>
        <w:rPr>
          <w:rFonts w:ascii="宋体" w:hAnsi="宋体" w:cs="宋体"/>
          <w:color w:val="auto"/>
          <w:sz w:val="24"/>
          <w:szCs w:val="24"/>
          <w:highlight w:val="none"/>
        </w:rPr>
        <w:sectPr>
          <w:headerReference r:id="rId10" w:type="default"/>
          <w:footerReference r:id="rId11" w:type="default"/>
          <w:pgSz w:w="11906" w:h="16838"/>
          <w:pgMar w:top="1440" w:right="1706" w:bottom="1440" w:left="1800" w:header="851" w:footer="992" w:gutter="0"/>
          <w:pgNumType w:fmt="decimal"/>
          <w:cols w:space="720" w:num="1"/>
          <w:formProt w:val="0"/>
          <w:docGrid w:type="lines" w:linePitch="312" w:charSpace="0"/>
        </w:sectPr>
      </w:pPr>
    </w:p>
    <w:p w14:paraId="5666197A">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17" w:name="_Toc20745"/>
      <w:bookmarkStart w:id="18" w:name="_Toc9296"/>
      <w:bookmarkStart w:id="19" w:name="_Toc12150"/>
      <w:r>
        <w:rPr>
          <w:rFonts w:ascii="宋体" w:hAnsi="宋体" w:cs="宋体"/>
          <w:b/>
          <w:bCs/>
          <w:color w:val="auto"/>
          <w:kern w:val="0"/>
          <w:sz w:val="32"/>
          <w:szCs w:val="28"/>
          <w:highlight w:val="none"/>
        </w:rPr>
        <w:t>响应文件</w:t>
      </w:r>
      <w:bookmarkEnd w:id="17"/>
      <w:bookmarkEnd w:id="18"/>
      <w:bookmarkEnd w:id="19"/>
    </w:p>
    <w:p w14:paraId="2733834F">
      <w:pPr>
        <w:pStyle w:val="4"/>
        <w:numPr>
          <w:ilvl w:val="0"/>
          <w:numId w:val="16"/>
        </w:numPr>
        <w:rPr>
          <w:rFonts w:ascii="宋体" w:hAnsi="宋体" w:cs="宋体"/>
          <w:color w:val="auto"/>
          <w:highlight w:val="none"/>
        </w:rPr>
      </w:pPr>
      <w:r>
        <w:rPr>
          <w:rFonts w:ascii="宋体" w:hAnsi="宋体" w:cs="宋体"/>
          <w:color w:val="auto"/>
          <w:highlight w:val="none"/>
        </w:rPr>
        <w:t>响应文件的编制</w:t>
      </w:r>
    </w:p>
    <w:p w14:paraId="6B86E35B">
      <w:pPr>
        <w:tabs>
          <w:tab w:val="left" w:pos="0"/>
        </w:tabs>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供应商需依据磋商文件内容和响应文件格式的要求编制响应文件，具体内容参见“第七部分 响应文件格式”。</w:t>
      </w:r>
    </w:p>
    <w:p w14:paraId="47B4586B">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响应文件按照磋商文件所规定的内容顺序，统一编目、编</w:t>
      </w:r>
      <w:r>
        <w:rPr>
          <w:rFonts w:hint="eastAsia" w:ascii="宋体" w:hAnsi="宋体" w:cs="宋体"/>
          <w:color w:val="auto"/>
          <w:sz w:val="24"/>
          <w:szCs w:val="24"/>
          <w:highlight w:val="none"/>
        </w:rPr>
        <w:t>排</w:t>
      </w:r>
      <w:r>
        <w:rPr>
          <w:rFonts w:ascii="宋体" w:hAnsi="宋体" w:cs="宋体"/>
          <w:color w:val="auto"/>
          <w:sz w:val="24"/>
          <w:szCs w:val="24"/>
          <w:highlight w:val="none"/>
        </w:rPr>
        <w:t>页码，由于编排混乱导致响应文件被误读或查找不到，其责任应当由供应商承担。</w:t>
      </w:r>
    </w:p>
    <w:p w14:paraId="7728B358">
      <w:pPr>
        <w:pStyle w:val="4"/>
        <w:numPr>
          <w:ilvl w:val="0"/>
          <w:numId w:val="16"/>
        </w:numPr>
        <w:rPr>
          <w:rFonts w:ascii="宋体" w:hAnsi="宋体" w:cs="宋体"/>
          <w:color w:val="auto"/>
          <w:highlight w:val="none"/>
        </w:rPr>
      </w:pPr>
      <w:r>
        <w:rPr>
          <w:rFonts w:ascii="宋体" w:hAnsi="宋体" w:cs="宋体"/>
          <w:color w:val="auto"/>
          <w:highlight w:val="none"/>
        </w:rPr>
        <w:t>响应报价</w:t>
      </w:r>
    </w:p>
    <w:p w14:paraId="1818C75B">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详见供应商须知前附表。</w:t>
      </w:r>
    </w:p>
    <w:p w14:paraId="0145F767">
      <w:pPr>
        <w:pStyle w:val="4"/>
        <w:numPr>
          <w:ilvl w:val="0"/>
          <w:numId w:val="16"/>
        </w:numPr>
        <w:rPr>
          <w:rFonts w:ascii="宋体" w:hAnsi="宋体" w:cs="宋体"/>
          <w:color w:val="auto"/>
          <w:highlight w:val="none"/>
        </w:rPr>
      </w:pPr>
      <w:r>
        <w:rPr>
          <w:rFonts w:ascii="宋体" w:hAnsi="宋体" w:cs="宋体"/>
          <w:color w:val="auto"/>
          <w:highlight w:val="none"/>
        </w:rPr>
        <w:t>磋商货币</w:t>
      </w:r>
    </w:p>
    <w:p w14:paraId="71E44F34">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详见供应商须知前附表。</w:t>
      </w:r>
    </w:p>
    <w:p w14:paraId="2E91FE9D">
      <w:pPr>
        <w:pStyle w:val="4"/>
        <w:numPr>
          <w:ilvl w:val="0"/>
          <w:numId w:val="16"/>
        </w:numPr>
        <w:rPr>
          <w:rFonts w:ascii="宋体" w:hAnsi="宋体" w:cs="宋体"/>
          <w:color w:val="auto"/>
          <w:highlight w:val="none"/>
        </w:rPr>
      </w:pPr>
      <w:r>
        <w:rPr>
          <w:rFonts w:ascii="宋体" w:hAnsi="宋体" w:cs="宋体"/>
          <w:color w:val="auto"/>
          <w:highlight w:val="none"/>
        </w:rPr>
        <w:t>磋商有效期</w:t>
      </w:r>
    </w:p>
    <w:p w14:paraId="7502E651">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详见供应商须知前附表，磋商有效期短于此规定期限的响应文件，视为无效文件，其响应将被拒绝。成交单位的响应文件有效期延长至合同执行完毕。</w:t>
      </w:r>
    </w:p>
    <w:p w14:paraId="2982484F">
      <w:pPr>
        <w:pStyle w:val="4"/>
        <w:numPr>
          <w:ilvl w:val="0"/>
          <w:numId w:val="16"/>
        </w:numPr>
        <w:rPr>
          <w:rFonts w:ascii="宋体" w:hAnsi="宋体" w:cs="宋体"/>
          <w:color w:val="auto"/>
          <w:highlight w:val="none"/>
        </w:rPr>
      </w:pPr>
      <w:r>
        <w:rPr>
          <w:rFonts w:ascii="宋体" w:hAnsi="宋体" w:cs="宋体"/>
          <w:color w:val="auto"/>
          <w:highlight w:val="none"/>
        </w:rPr>
        <w:t>响应文件的格式、签署</w:t>
      </w:r>
    </w:p>
    <w:p w14:paraId="22F98CF4">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1</w:t>
      </w:r>
      <w:r>
        <w:rPr>
          <w:rFonts w:ascii="宋体" w:hAnsi="宋体" w:cs="宋体"/>
          <w:color w:val="auto"/>
          <w:sz w:val="24"/>
          <w:szCs w:val="24"/>
          <w:highlight w:val="none"/>
        </w:rPr>
        <w:t>响应文件的签署</w:t>
      </w:r>
    </w:p>
    <w:p w14:paraId="4D9686AD">
      <w:pPr>
        <w:widowControl/>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详见供应商须知前附表。</w:t>
      </w:r>
    </w:p>
    <w:p w14:paraId="3CEA8D54">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20" w:name="_Toc31125"/>
      <w:bookmarkStart w:id="21" w:name="_Toc4059"/>
      <w:bookmarkStart w:id="22" w:name="_Toc8308"/>
      <w:r>
        <w:rPr>
          <w:rFonts w:ascii="宋体" w:hAnsi="宋体" w:cs="宋体"/>
          <w:b/>
          <w:bCs/>
          <w:color w:val="auto"/>
          <w:kern w:val="0"/>
          <w:sz w:val="32"/>
          <w:szCs w:val="28"/>
          <w:highlight w:val="none"/>
        </w:rPr>
        <w:t>响应文件的</w:t>
      </w:r>
      <w:r>
        <w:rPr>
          <w:rFonts w:hint="eastAsia" w:ascii="宋体" w:hAnsi="宋体" w:cs="宋体"/>
          <w:b/>
          <w:bCs/>
          <w:color w:val="auto"/>
          <w:kern w:val="0"/>
          <w:sz w:val="32"/>
          <w:szCs w:val="28"/>
          <w:highlight w:val="none"/>
        </w:rPr>
        <w:t>加密和</w:t>
      </w:r>
      <w:r>
        <w:rPr>
          <w:rFonts w:ascii="宋体" w:hAnsi="宋体" w:cs="宋体"/>
          <w:b/>
          <w:bCs/>
          <w:color w:val="auto"/>
          <w:kern w:val="0"/>
          <w:sz w:val="32"/>
          <w:szCs w:val="28"/>
          <w:highlight w:val="none"/>
        </w:rPr>
        <w:t>递交</w:t>
      </w:r>
      <w:bookmarkEnd w:id="20"/>
      <w:bookmarkEnd w:id="21"/>
      <w:bookmarkEnd w:id="22"/>
    </w:p>
    <w:p w14:paraId="54D341FD">
      <w:pPr>
        <w:pStyle w:val="4"/>
        <w:numPr>
          <w:ilvl w:val="0"/>
          <w:numId w:val="17"/>
        </w:numPr>
        <w:rPr>
          <w:rFonts w:ascii="宋体" w:hAnsi="宋体" w:cs="宋体"/>
          <w:color w:val="auto"/>
          <w:highlight w:val="none"/>
        </w:rPr>
      </w:pPr>
      <w:r>
        <w:rPr>
          <w:rFonts w:hint="eastAsia" w:ascii="宋体" w:hAnsi="宋体" w:cs="宋体"/>
          <w:color w:val="auto"/>
          <w:highlight w:val="none"/>
        </w:rPr>
        <w:t xml:space="preserve">响应文件的加密 </w:t>
      </w:r>
    </w:p>
    <w:p w14:paraId="7D402A93">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1.1加密要求：供应商应按照全国公共资源交易平台（陕西省·安康市）的要求对响应文件进行加密。供应商应承担加密操作失误产生的任何后果。 </w:t>
      </w:r>
    </w:p>
    <w:p w14:paraId="575BDBAF">
      <w:pPr>
        <w:pStyle w:val="4"/>
        <w:numPr>
          <w:ilvl w:val="0"/>
          <w:numId w:val="17"/>
        </w:numPr>
        <w:rPr>
          <w:rFonts w:ascii="宋体" w:hAnsi="宋体" w:cs="宋体"/>
          <w:color w:val="auto"/>
          <w:highlight w:val="none"/>
        </w:rPr>
      </w:pPr>
      <w:r>
        <w:rPr>
          <w:rFonts w:ascii="宋体" w:hAnsi="宋体" w:cs="宋体"/>
          <w:color w:val="auto"/>
          <w:highlight w:val="none"/>
        </w:rPr>
        <w:t>响应文件递交</w:t>
      </w:r>
    </w:p>
    <w:p w14:paraId="6972949F">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1.1电子响应文件递交</w:t>
      </w:r>
    </w:p>
    <w:p w14:paraId="6966E48C">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电子响应文件可于提交响应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响应文件（*.SXSTF），上传成功后，电子化平台将予以记录。</w:t>
      </w:r>
    </w:p>
    <w:p w14:paraId="2DC58A67">
      <w:pPr>
        <w:pStyle w:val="4"/>
        <w:numPr>
          <w:ilvl w:val="0"/>
          <w:numId w:val="17"/>
        </w:numPr>
        <w:rPr>
          <w:rFonts w:ascii="宋体" w:hAnsi="宋体" w:cs="宋体"/>
          <w:color w:val="auto"/>
          <w:highlight w:val="none"/>
        </w:rPr>
      </w:pPr>
      <w:r>
        <w:rPr>
          <w:rFonts w:ascii="宋体" w:hAnsi="宋体" w:cs="宋体"/>
          <w:color w:val="auto"/>
          <w:highlight w:val="none"/>
        </w:rPr>
        <w:t>响应文件的修改和撤回</w:t>
      </w:r>
    </w:p>
    <w:p w14:paraId="2A518489">
      <w:pPr>
        <w:widowControl/>
        <w:tabs>
          <w:tab w:val="left" w:pos="0"/>
        </w:tabs>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3.1 供应商在上传响应文件以后，在规定的磋商截止时间之前，可以对已递交的响应文件进行修改、撤回。补充、修改的内容应当按磋商文件要求签章、加密上传。 </w:t>
      </w:r>
    </w:p>
    <w:p w14:paraId="1F836670">
      <w:pPr>
        <w:widowControl/>
        <w:tabs>
          <w:tab w:val="left" w:pos="0"/>
        </w:tabs>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3.2磋商截止时间之后，供应商不得补充、修改响应文件</w:t>
      </w:r>
    </w:p>
    <w:p w14:paraId="35F3FDD1">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23" w:name="_Toc20572"/>
      <w:bookmarkStart w:id="24" w:name="_Toc6266"/>
      <w:bookmarkStart w:id="25" w:name="_Toc5691"/>
      <w:r>
        <w:rPr>
          <w:rFonts w:ascii="宋体" w:hAnsi="宋体" w:cs="宋体"/>
          <w:b/>
          <w:bCs/>
          <w:color w:val="auto"/>
          <w:kern w:val="0"/>
          <w:sz w:val="32"/>
          <w:szCs w:val="28"/>
          <w:highlight w:val="none"/>
        </w:rPr>
        <w:t>磋商、评审、定标</w:t>
      </w:r>
      <w:bookmarkEnd w:id="23"/>
      <w:bookmarkEnd w:id="24"/>
      <w:bookmarkEnd w:id="25"/>
    </w:p>
    <w:p w14:paraId="1E02F275">
      <w:pPr>
        <w:pStyle w:val="4"/>
        <w:numPr>
          <w:ilvl w:val="0"/>
          <w:numId w:val="18"/>
        </w:numPr>
        <w:rPr>
          <w:rFonts w:ascii="宋体" w:hAnsi="宋体" w:cs="宋体"/>
          <w:color w:val="auto"/>
          <w:highlight w:val="none"/>
        </w:rPr>
      </w:pPr>
      <w:r>
        <w:rPr>
          <w:rFonts w:ascii="宋体" w:hAnsi="宋体" w:cs="宋体"/>
          <w:color w:val="auto"/>
          <w:highlight w:val="none"/>
        </w:rPr>
        <w:t>磋商</w:t>
      </w:r>
    </w:p>
    <w:p w14:paraId="7B13B344">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1.1采购代理机构在磋商文件规定的时间和地点组织磋商工作，整个过程受政府采购监管机构的监督、管理。</w:t>
      </w:r>
    </w:p>
    <w:p w14:paraId="47C8F454">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本项目采用远程不见面开标方式进行开标、采购代理机构在规定的时间和地点组织磋商，供应商授权代表不到现场参加，须自行在各自办公场所，自备电脑在磋商截止时间前登录不见面开标大厅，进行远程磋商。</w:t>
      </w:r>
    </w:p>
    <w:p w14:paraId="64E4A95A">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1.2.1供应商在获取磋商文件后应在全国公共资源交易平台（陕西省.安康市）网站[新闻咨询→通知公告]中下载并详细阅读安康公共资源交易中心不见面开标系统（投标人）操作 http://www.sxggzyjy.cn/xwzx/002002/subPage.html，下载并详细阅读《关于陕西省公共资源交易平台多CA互认系统正式上线运行的通知》并下载最新版本驱动。</w:t>
      </w:r>
    </w:p>
    <w:p w14:paraId="48A8BF33">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1.2.2为顺利实现不见面开标系统的远程交互，建议供应商配置的软硬件设施有：高配置电脑、高速稳定的网络、电源（不间断）、CA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w:t>
      </w:r>
    </w:p>
    <w:p w14:paraId="2E5F9166">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1.2.3供应商需注意 CA 锁一定要提前准备好，并确保 CA 锁为制作响应文件的 CA 锁。</w:t>
      </w:r>
    </w:p>
    <w:p w14:paraId="000DDEF7">
      <w:pPr>
        <w:widowControl/>
        <w:spacing w:line="360" w:lineRule="auto"/>
        <w:ind w:firstLine="480" w:firstLineChars="200"/>
        <w:jc w:val="left"/>
        <w:rPr>
          <w:rFonts w:ascii="宋体" w:hAnsi="宋体" w:cs="宋体"/>
          <w:color w:val="auto"/>
          <w:sz w:val="24"/>
          <w:szCs w:val="24"/>
          <w:highlight w:val="none"/>
          <w:lang w:val="en-AU"/>
        </w:rPr>
      </w:pPr>
      <w:r>
        <w:rPr>
          <w:rFonts w:hint="eastAsia" w:ascii="宋体" w:hAnsi="宋体" w:cs="宋体"/>
          <w:color w:val="auto"/>
          <w:sz w:val="24"/>
          <w:szCs w:val="24"/>
          <w:highlight w:val="none"/>
          <w:lang w:val="en-AU"/>
        </w:rPr>
        <w:t>不见面开标方式因供应商不来开标现场，资格审查如需提供复印件，请按文件中要求，在响应文件中上传电子版。</w:t>
      </w:r>
    </w:p>
    <w:p w14:paraId="5D3026D1">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1.2.4磋商时间到了之后就不能签到，建议供应商在磋商前半小时登录不见面开标大厅， 并及时签到（开标前60分钟即可签到）。</w:t>
      </w:r>
    </w:p>
    <w:p w14:paraId="54118278">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1.2.5磋商时，供应商须使用电子响应文件加密时所用的数字认证证书CA 锁在自备电脑上自行远程解密电子响应文件。</w:t>
      </w:r>
    </w:p>
    <w:p w14:paraId="5D02E77C">
      <w:pPr>
        <w:widowControl/>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系统默认解密时长为 60分钟，供应商需在解密时间规定内完成响应文件解密，如因供应商自身原因未在规定时间内完成解密的，采购代理机构将在系统中退回未解密的响应文件，被退回的响应文件将不再参与后续的活动。所有供应商解密完成后将响应文件导入开评标系统。</w:t>
      </w:r>
    </w:p>
    <w:p w14:paraId="7484C2F0">
      <w:pPr>
        <w:pStyle w:val="4"/>
        <w:numPr>
          <w:ilvl w:val="0"/>
          <w:numId w:val="18"/>
        </w:numPr>
        <w:rPr>
          <w:rFonts w:ascii="宋体" w:hAnsi="宋体" w:cs="宋体"/>
          <w:color w:val="auto"/>
          <w:highlight w:val="none"/>
        </w:rPr>
      </w:pPr>
      <w:r>
        <w:rPr>
          <w:rFonts w:ascii="宋体" w:hAnsi="宋体" w:cs="宋体"/>
          <w:color w:val="auto"/>
          <w:highlight w:val="none"/>
        </w:rPr>
        <w:t>磋商小组</w:t>
      </w:r>
    </w:p>
    <w:p w14:paraId="1591C9FD">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2.1采购人将根据本次采购项目的特点，按照《中华人民共和国政府采购法》等有关规定组建磋商小组。</w:t>
      </w:r>
    </w:p>
    <w:p w14:paraId="13DD3081">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2.2</w:t>
      </w:r>
      <w:r>
        <w:rPr>
          <w:rFonts w:ascii="宋体" w:hAnsi="宋体" w:cs="宋体"/>
          <w:color w:val="auto"/>
          <w:sz w:val="24"/>
          <w:szCs w:val="24"/>
          <w:highlight w:val="none"/>
        </w:rPr>
        <w:t>磋商小组由采购人代表和评审专家共3人以上单数组成，其中评审专家人数不得少于磋商小组成员总数的2/3。</w:t>
      </w:r>
      <w:r>
        <w:rPr>
          <w:rFonts w:ascii="宋体" w:hAnsi="宋体" w:cs="宋体"/>
          <w:color w:val="auto"/>
          <w:kern w:val="0"/>
          <w:sz w:val="24"/>
          <w:highlight w:val="none"/>
        </w:rPr>
        <w:t>磋商小组负责评审活动。</w:t>
      </w:r>
    </w:p>
    <w:p w14:paraId="085A7E65">
      <w:pPr>
        <w:widowControl/>
        <w:spacing w:line="360" w:lineRule="auto"/>
        <w:ind w:firstLine="480" w:firstLineChars="200"/>
        <w:rPr>
          <w:rFonts w:ascii="宋体" w:hAnsi="宋体" w:cs="宋体"/>
          <w:b/>
          <w:color w:val="auto"/>
          <w:sz w:val="24"/>
          <w:szCs w:val="24"/>
          <w:highlight w:val="none"/>
        </w:rPr>
      </w:pPr>
      <w:r>
        <w:rPr>
          <w:rFonts w:ascii="宋体" w:hAnsi="宋体" w:cs="宋体"/>
          <w:color w:val="auto"/>
          <w:kern w:val="0"/>
          <w:sz w:val="24"/>
          <w:highlight w:val="none"/>
        </w:rPr>
        <w:t>2.3磋商小组对各供应商的响应文件进行审查、评估和比较，并推荐出成交候选人。</w:t>
      </w:r>
    </w:p>
    <w:p w14:paraId="444060D4">
      <w:pPr>
        <w:pStyle w:val="4"/>
        <w:numPr>
          <w:ilvl w:val="0"/>
          <w:numId w:val="18"/>
        </w:numPr>
        <w:rPr>
          <w:rFonts w:ascii="宋体" w:hAnsi="宋体" w:cs="宋体"/>
          <w:color w:val="auto"/>
          <w:highlight w:val="none"/>
        </w:rPr>
      </w:pPr>
      <w:r>
        <w:rPr>
          <w:rFonts w:ascii="宋体" w:hAnsi="宋体" w:cs="宋体"/>
          <w:color w:val="auto"/>
          <w:highlight w:val="none"/>
        </w:rPr>
        <w:t>响应文件初审</w:t>
      </w:r>
    </w:p>
    <w:p w14:paraId="36CD0A34">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3.1响应文件的资格性审查</w:t>
      </w:r>
    </w:p>
    <w:p w14:paraId="4E927F39">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依据法律法规和竞争性磋商文件的规定，</w:t>
      </w:r>
      <w:r>
        <w:rPr>
          <w:rFonts w:hint="eastAsia" w:ascii="宋体" w:hAnsi="宋体" w:cs="宋体"/>
          <w:color w:val="auto"/>
          <w:kern w:val="0"/>
          <w:sz w:val="24"/>
          <w:highlight w:val="none"/>
        </w:rPr>
        <w:t>由磋商小组</w:t>
      </w:r>
      <w:r>
        <w:rPr>
          <w:rFonts w:ascii="宋体" w:hAnsi="宋体" w:cs="宋体"/>
          <w:color w:val="auto"/>
          <w:kern w:val="0"/>
          <w:sz w:val="24"/>
          <w:highlight w:val="none"/>
        </w:rPr>
        <w:t>对响应文件中的资格证明文件等进行审查，确</w:t>
      </w:r>
      <w:r>
        <w:rPr>
          <w:rFonts w:hint="eastAsia" w:ascii="宋体" w:hAnsi="宋体" w:cs="宋体"/>
          <w:color w:val="auto"/>
          <w:kern w:val="0"/>
          <w:sz w:val="24"/>
          <w:highlight w:val="none"/>
          <w:lang w:val="en-US" w:eastAsia="zh-CN"/>
        </w:rPr>
        <w:t>认</w:t>
      </w:r>
      <w:r>
        <w:rPr>
          <w:rFonts w:ascii="宋体" w:hAnsi="宋体" w:cs="宋体"/>
          <w:color w:val="auto"/>
          <w:kern w:val="0"/>
          <w:sz w:val="24"/>
          <w:highlight w:val="none"/>
        </w:rPr>
        <w:t>供应商是否具备相应资格。</w:t>
      </w:r>
    </w:p>
    <w:p w14:paraId="38AD55B4">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3.2 响应文件符合性审查</w:t>
      </w:r>
    </w:p>
    <w:p w14:paraId="1CFBB158">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磋商小组应当对符合资格的供应商的响应文件进行符合性审查，以确定其是否满足磋商文件的实质性要求。符合性审查内容详见供应商须知前附表。</w:t>
      </w:r>
    </w:p>
    <w:p w14:paraId="7ED9EB4B">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3.3有下列情形之一的，视为供应商串通响应，其响应无效：</w:t>
      </w:r>
    </w:p>
    <w:p w14:paraId="3924412F">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（一）不同供应商的响应文件由同一单位或者个人编制；</w:t>
      </w:r>
    </w:p>
    <w:p w14:paraId="740618F5">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（二）不同供应商委托同一单位或者个人办理响应事宜；</w:t>
      </w:r>
    </w:p>
    <w:p w14:paraId="0B2FABEB">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（三）不同供应商的响应文件载明的项目管理成员或者联系人员为同一人；</w:t>
      </w:r>
    </w:p>
    <w:p w14:paraId="028EDC18">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（四）不同供应商的响应文件异常一致或者响应报价呈规律性差异；</w:t>
      </w:r>
    </w:p>
    <w:p w14:paraId="607395EF">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（五）不同供应商的响应文件相互混装；</w:t>
      </w:r>
    </w:p>
    <w:p w14:paraId="4E86B82E">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（六）不同供应商的响应保证金从同一单位或者个人的账户转出。</w:t>
      </w:r>
    </w:p>
    <w:p w14:paraId="6A73EA5D">
      <w:pPr>
        <w:overflowPunct w:val="0"/>
        <w:snapToGrid w:val="0"/>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3.4对通过审查的，被认为其响应文件完整、合格，响应有效，可进入下阶段的评审。</w:t>
      </w:r>
    </w:p>
    <w:p w14:paraId="298BE92A">
      <w:pPr>
        <w:pStyle w:val="4"/>
        <w:numPr>
          <w:ilvl w:val="0"/>
          <w:numId w:val="18"/>
        </w:numPr>
        <w:rPr>
          <w:rFonts w:ascii="宋体" w:hAnsi="宋体" w:cs="宋体"/>
          <w:color w:val="auto"/>
          <w:highlight w:val="none"/>
        </w:rPr>
      </w:pPr>
      <w:r>
        <w:rPr>
          <w:rFonts w:ascii="宋体" w:hAnsi="宋体" w:cs="宋体"/>
          <w:color w:val="auto"/>
          <w:highlight w:val="none"/>
        </w:rPr>
        <w:t>响应文件澄清</w:t>
      </w:r>
    </w:p>
    <w:p w14:paraId="33294F9F">
      <w:pPr>
        <w:overflowPunct w:val="0"/>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4.1在评审期间,采购代理机构可根据磋商小组对其响应文件有疑义不清楚的内容，要求供应商对其响应文件进行澄清。</w:t>
      </w:r>
    </w:p>
    <w:p w14:paraId="12326DA4">
      <w:pPr>
        <w:overflowPunct w:val="0"/>
        <w:snapToGrid w:val="0"/>
        <w:spacing w:line="360" w:lineRule="auto"/>
        <w:ind w:firstLine="480" w:firstLineChars="200"/>
        <w:rPr>
          <w:rFonts w:ascii="宋体" w:hAnsi="宋体" w:cs="宋体"/>
          <w:color w:val="auto"/>
          <w:sz w:val="24"/>
          <w:highlight w:val="none"/>
        </w:rPr>
      </w:pPr>
      <w:r>
        <w:rPr>
          <w:rFonts w:ascii="宋体" w:hAnsi="宋体" w:cs="宋体"/>
          <w:color w:val="auto"/>
          <w:sz w:val="24"/>
          <w:szCs w:val="24"/>
          <w:highlight w:val="none"/>
        </w:rPr>
        <w:t>4.2</w:t>
      </w:r>
      <w:r>
        <w:rPr>
          <w:rFonts w:ascii="宋体" w:hAnsi="宋体" w:cs="宋体"/>
          <w:color w:val="auto"/>
          <w:kern w:val="0"/>
          <w:sz w:val="24"/>
          <w:szCs w:val="24"/>
          <w:highlight w:val="none"/>
        </w:rPr>
        <w:t xml:space="preserve">供应商必须按照磋商小组通知的内容和时间做出书面答复，该答复经法定代表人或供应商代表的签字认可，将作为响应文件内容的一部分。澄清、说明或者补正不得超出响应文件的范围或者改变响应文件的实质性内容。供应商拒不按照要求对响应文件进行澄清、说明或者补正的，供应商将自行承担磋商小组视其响应无效的风险。 </w:t>
      </w:r>
    </w:p>
    <w:p w14:paraId="7F18784D">
      <w:pPr>
        <w:pStyle w:val="4"/>
        <w:numPr>
          <w:ilvl w:val="0"/>
          <w:numId w:val="18"/>
        </w:numPr>
        <w:rPr>
          <w:rFonts w:ascii="宋体" w:hAnsi="宋体" w:cs="宋体"/>
          <w:color w:val="auto"/>
          <w:highlight w:val="none"/>
        </w:rPr>
      </w:pPr>
      <w:r>
        <w:rPr>
          <w:rFonts w:ascii="宋体" w:hAnsi="宋体" w:cs="宋体"/>
          <w:color w:val="auto"/>
          <w:highlight w:val="none"/>
        </w:rPr>
        <w:t>评审</w:t>
      </w:r>
    </w:p>
    <w:p w14:paraId="1C15B3B9">
      <w:pPr>
        <w:spacing w:line="360" w:lineRule="auto"/>
        <w:ind w:firstLine="480" w:firstLineChars="200"/>
        <w:rPr>
          <w:rFonts w:ascii="宋体" w:hAnsi="宋体" w:cs="宋体"/>
          <w:color w:val="auto"/>
          <w:highlight w:val="none"/>
        </w:rPr>
      </w:pPr>
      <w:r>
        <w:rPr>
          <w:rFonts w:ascii="宋体" w:hAnsi="宋体" w:cs="宋体"/>
          <w:color w:val="auto"/>
          <w:sz w:val="24"/>
          <w:highlight w:val="none"/>
        </w:rPr>
        <w:t>5.1磋商小组有权对在磋商、评审过程中出现的一切问题，根据《中华人民共和国政府采购法》和《政府采购竞争性磋商采购方式管理暂行办法》的条款，本着公开、公平、公正的原则进行处理。</w:t>
      </w:r>
    </w:p>
    <w:p w14:paraId="46A0B5B5">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5.2磋商流程</w:t>
      </w:r>
    </w:p>
    <w:p w14:paraId="798B9B6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（1）磋商小组先对供应商作资格性及符合性审查，只有通过资格性及符合性审查的供应商，才能进入第二阶段的磋商，否则被淘汰。</w:t>
      </w:r>
    </w:p>
    <w:p w14:paraId="005DCB67">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磋商小组将分别与每位供应商远程进行磋商，请及时关注不见面开播大厅右侧公告及互动栏目信息</w:t>
      </w:r>
      <w:r>
        <w:rPr>
          <w:rFonts w:ascii="宋体" w:hAnsi="宋体" w:cs="宋体"/>
          <w:color w:val="auto"/>
          <w:sz w:val="24"/>
          <w:highlight w:val="none"/>
        </w:rPr>
        <w:t>（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343B37A3">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w:t>
      </w:r>
      <w:r>
        <w:rPr>
          <w:rFonts w:ascii="宋体" w:hAnsi="宋体" w:cs="宋体"/>
          <w:color w:val="auto"/>
          <w:kern w:val="0"/>
          <w:sz w:val="24"/>
          <w:szCs w:val="24"/>
          <w:highlight w:val="none"/>
        </w:rPr>
        <w:t>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响应。</w:t>
      </w:r>
    </w:p>
    <w:p w14:paraId="4927E061">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（4）对磋商文件作出的实质性变动是磋商文件的有效组成部分，磋商小组应当及时以书面形式同时通知所有参加磋商的供应商。</w:t>
      </w:r>
    </w:p>
    <w:p w14:paraId="0F3BE34B">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shd w:val="clear" w:color="auto" w:fill="D9D9D9"/>
        </w:rPr>
        <w:t>（5）</w:t>
      </w:r>
      <w:r>
        <w:rPr>
          <w:rFonts w:ascii="宋体" w:hAnsi="宋体" w:cs="宋体"/>
          <w:color w:val="auto"/>
          <w:sz w:val="24"/>
          <w:highlight w:val="none"/>
        </w:rPr>
        <w:t>磋商结束后，</w:t>
      </w:r>
      <w:r>
        <w:rPr>
          <w:rFonts w:hint="eastAsia" w:ascii="宋体" w:hAnsi="宋体" w:cs="宋体"/>
          <w:color w:val="auto"/>
          <w:sz w:val="24"/>
          <w:highlight w:val="none"/>
        </w:rPr>
        <w:t>供应商须使用数字认证证书（CA 主锁）登录全国公共资源交易平台(陕西省) 在交易系统中提交多轮(最后)报价，并用数字认证证书(CA 主锁)签章，系统按照评标规则自动排序。</w:t>
      </w:r>
    </w:p>
    <w:p w14:paraId="1CB280AA">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 xml:space="preserve">二次报价网上操作流程： </w:t>
      </w:r>
    </w:p>
    <w:p w14:paraId="63FF4FA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a.插入</w:t>
      </w:r>
      <w:r>
        <w:rPr>
          <w:rFonts w:ascii="宋体" w:hAnsi="宋体" w:cs="宋体"/>
          <w:color w:val="auto"/>
          <w:sz w:val="24"/>
          <w:highlight w:val="none"/>
        </w:rPr>
        <w:t>CA</w:t>
      </w:r>
      <w:r>
        <w:rPr>
          <w:rFonts w:hint="eastAsia" w:ascii="宋体" w:hAnsi="宋体" w:cs="宋体"/>
          <w:color w:val="auto"/>
          <w:sz w:val="24"/>
          <w:highlight w:val="none"/>
        </w:rPr>
        <w:t>锁，登录陕西省公共资源交易平台网站（</w:t>
      </w:r>
      <w:r>
        <w:rPr>
          <w:rFonts w:ascii="宋体" w:hAnsi="宋体" w:cs="宋体"/>
          <w:color w:val="auto"/>
          <w:sz w:val="24"/>
          <w:highlight w:val="none"/>
        </w:rPr>
        <w:t>http://www.sxggzyjy.cn/</w:t>
      </w:r>
      <w:r>
        <w:rPr>
          <w:rFonts w:hint="eastAsia" w:ascii="宋体" w:hAnsi="宋体" w:cs="宋体"/>
          <w:color w:val="auto"/>
          <w:sz w:val="24"/>
          <w:highlight w:val="none"/>
        </w:rPr>
        <w:t xml:space="preserve">）； </w:t>
      </w:r>
    </w:p>
    <w:p w14:paraId="7C089627">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b.</w:t>
      </w:r>
      <w:r>
        <w:rPr>
          <w:rFonts w:hint="eastAsia" w:ascii="宋体" w:hAnsi="宋体" w:cs="宋体"/>
          <w:color w:val="auto"/>
          <w:sz w:val="24"/>
          <w:highlight w:val="none"/>
        </w:rPr>
        <w:t xml:space="preserve">点击右上角我的项目，选择本次开标项目，点击项目流程； </w:t>
      </w:r>
    </w:p>
    <w:p w14:paraId="236C0328">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c.</w:t>
      </w:r>
      <w:r>
        <w:rPr>
          <w:rFonts w:hint="eastAsia" w:ascii="宋体" w:hAnsi="宋体" w:cs="宋体"/>
          <w:color w:val="auto"/>
          <w:sz w:val="24"/>
          <w:highlight w:val="none"/>
        </w:rPr>
        <w:t xml:space="preserve">点击网上报价； </w:t>
      </w:r>
    </w:p>
    <w:p w14:paraId="44537B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drawing>
          <wp:anchor distT="0" distB="0" distL="114300" distR="114300" simplePos="0" relativeHeight="251678720" behindDoc="0" locked="0" layoutInCell="1" allowOverlap="1">
            <wp:simplePos x="0" y="0"/>
            <wp:positionH relativeFrom="column">
              <wp:posOffset>1241425</wp:posOffset>
            </wp:positionH>
            <wp:positionV relativeFrom="margin">
              <wp:posOffset>2762885</wp:posOffset>
            </wp:positionV>
            <wp:extent cx="247650" cy="247650"/>
            <wp:effectExtent l="0" t="0" r="0" b="0"/>
            <wp:wrapNone/>
            <wp:docPr id="6" name="图片 6" descr="放大镜搜索"/>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0253267&quot;,&quot;origin&quot;:0,&quot;type&quot;:&quot;icons&quot;,&quot;user&quot;:&quot;241579495&quot;}"/>
                  </s:tag>
                </a:ext>
              </a:extLst>
            </wp:cNvGraphicFramePr>
            <a:graphic xmlns:a="http://schemas.openxmlformats.org/drawingml/2006/main">
              <a:graphicData uri="http://schemas.openxmlformats.org/drawingml/2006/picture">
                <pic:pic xmlns:pic="http://schemas.openxmlformats.org/drawingml/2006/picture">
                  <pic:nvPicPr>
                    <pic:cNvPr id="6" name="图片 6" descr="放大镜搜索"/>
                    <pic:cNvPicPr>
                      <a:picLocks noChangeAspect="1"/>
                    </pic:cNvPicPr>
                  </pic:nvPicPr>
                  <pic:blipFill>
                    <a:blip r:embed="rId46" cstate="print">
                      <a:extLst>
                        <a:ext uri="{96DAC541-7B7A-43D3-8B79-37D633B846F1}">
                          <asvg:svgBlip xmlns:asvg="http://schemas.microsoft.com/office/drawing/2016/SVG/main" r:embed="rId47"/>
                        </a:ext>
                      </a:extLst>
                    </a:blip>
                    <a:stretch>
                      <a:fillRect/>
                    </a:stretch>
                  </pic:blipFill>
                  <pic:spPr>
                    <a:xfrm>
                      <a:off x="0" y="0"/>
                      <a:ext cx="247650" cy="247650"/>
                    </a:xfrm>
                    <a:prstGeom prst="rect">
                      <a:avLst/>
                    </a:prstGeom>
                  </pic:spPr>
                </pic:pic>
              </a:graphicData>
            </a:graphic>
          </wp:anchor>
        </w:drawing>
      </w:r>
      <w:r>
        <w:rPr>
          <w:rFonts w:ascii="宋体" w:hAnsi="宋体" w:cs="宋体"/>
          <w:color w:val="auto"/>
          <w:sz w:val="24"/>
          <w:highlight w:val="none"/>
        </w:rPr>
        <w:t>d.</w:t>
      </w:r>
      <w:r>
        <w:rPr>
          <w:rFonts w:hint="eastAsia" w:ascii="宋体" w:hAnsi="宋体" w:cs="宋体"/>
          <w:color w:val="auto"/>
          <w:sz w:val="24"/>
          <w:highlight w:val="none"/>
        </w:rPr>
        <w:t xml:space="preserve">报价：点击    报价，输入金额（注意大小写一致）； </w:t>
      </w:r>
    </w:p>
    <w:p w14:paraId="3638C04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drawing>
          <wp:anchor distT="0" distB="0" distL="114300" distR="114300" simplePos="0" relativeHeight="251677696" behindDoc="0" locked="0" layoutInCell="1" allowOverlap="1">
            <wp:simplePos x="0" y="0"/>
            <wp:positionH relativeFrom="column">
              <wp:posOffset>1539875</wp:posOffset>
            </wp:positionH>
            <wp:positionV relativeFrom="margin">
              <wp:posOffset>3066415</wp:posOffset>
            </wp:positionV>
            <wp:extent cx="257175" cy="257175"/>
            <wp:effectExtent l="0" t="0" r="9525" b="9525"/>
            <wp:wrapNone/>
            <wp:docPr id="5" name="图片 5" descr="设置齿轮"/>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21542542&quot;,&quot;origin&quot;:0,&quot;type&quot;:&quot;icons&quot;,&quot;user&quot;:&quot;241579495&quot;}"/>
                  </s:tag>
                </a:ext>
              </a:extLst>
            </wp:cNvGraphicFramePr>
            <a:graphic xmlns:a="http://schemas.openxmlformats.org/drawingml/2006/main">
              <a:graphicData uri="http://schemas.openxmlformats.org/drawingml/2006/picture">
                <pic:pic xmlns:pic="http://schemas.openxmlformats.org/drawingml/2006/picture">
                  <pic:nvPicPr>
                    <pic:cNvPr id="5" name="图片 5" descr="设置齿轮"/>
                    <pic:cNvPicPr>
                      <a:picLocks noChangeAspect="1"/>
                    </pic:cNvPicPr>
                  </pic:nvPicPr>
                  <pic:blipFill>
                    <a:blip r:embed="rId48" cstate="print">
                      <a:extLst>
                        <a:ext uri="{96DAC541-7B7A-43D3-8B79-37D633B846F1}">
                          <asvg:svgBlip xmlns:asvg="http://schemas.microsoft.com/office/drawing/2016/SVG/main" r:embed="rId49"/>
                        </a:ext>
                      </a:extLst>
                    </a:blip>
                    <a:stretch>
                      <a:fillRect/>
                    </a:stretch>
                  </pic:blipFill>
                  <pic:spPr>
                    <a:xfrm>
                      <a:off x="0" y="0"/>
                      <a:ext cx="257175" cy="257175"/>
                    </a:xfrm>
                    <a:prstGeom prst="rect">
                      <a:avLst/>
                    </a:prstGeom>
                  </pic:spPr>
                </pic:pic>
              </a:graphicData>
            </a:graphic>
          </wp:anchor>
        </w:drawing>
      </w:r>
      <w:r>
        <w:rPr>
          <w:rFonts w:ascii="宋体" w:hAnsi="宋体" w:cs="宋体"/>
          <w:color w:val="auto"/>
          <w:sz w:val="24"/>
          <w:highlight w:val="none"/>
        </w:rPr>
        <w:t>e.</w:t>
      </w:r>
      <w:r>
        <w:rPr>
          <w:rFonts w:hint="eastAsia" w:ascii="宋体" w:hAnsi="宋体" w:cs="宋体"/>
          <w:color w:val="auto"/>
          <w:sz w:val="24"/>
          <w:highlight w:val="none"/>
        </w:rPr>
        <w:t xml:space="preserve">签章查看：点击    ，选择单页签章，点击报价表右下角签章； </w:t>
      </w:r>
    </w:p>
    <w:p w14:paraId="38A14F0F">
      <w:pPr>
        <w:spacing w:line="360" w:lineRule="auto"/>
        <w:ind w:left="239" w:leftChars="114" w:firstLine="240" w:firstLineChars="100"/>
        <w:jc w:val="left"/>
        <w:rPr>
          <w:rFonts w:ascii="宋体" w:hAnsi="宋体" w:cs="宋体"/>
          <w:color w:val="auto"/>
          <w:sz w:val="24"/>
          <w:highlight w:val="none"/>
        </w:rPr>
      </w:pPr>
      <w:r>
        <w:rPr>
          <w:rFonts w:hint="eastAsia" w:ascii="宋体" w:hAnsi="宋体" w:cs="宋体"/>
          <w:color w:val="auto"/>
          <w:sz w:val="24"/>
          <w:highlight w:val="none"/>
        </w:rPr>
        <w:t xml:space="preserve">确认无误如图：   </w:t>
      </w:r>
    </w:p>
    <w:p w14:paraId="38ADB5D2">
      <w:pPr>
        <w:spacing w:line="360" w:lineRule="auto"/>
        <w:ind w:left="239" w:leftChars="114" w:firstLine="210" w:firstLineChars="100"/>
        <w:jc w:val="left"/>
        <w:rPr>
          <w:rFonts w:ascii="宋体" w:hAnsi="宋体" w:cs="宋体"/>
          <w:color w:val="auto"/>
          <w:sz w:val="24"/>
          <w:highlight w:val="none"/>
        </w:rPr>
      </w:pPr>
      <w:r>
        <w:rPr>
          <w:color w:val="auto"/>
          <w:highlight w:val="none"/>
        </w:rPr>
        <w:drawing>
          <wp:inline distT="0" distB="0" distL="114300" distR="114300">
            <wp:extent cx="4946015" cy="7620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50"/>
                    <a:srcRect l="2461" r="1200"/>
                    <a:stretch>
                      <a:fillRect/>
                    </a:stretch>
                  </pic:blipFill>
                  <pic:spPr>
                    <a:xfrm>
                      <a:off x="0" y="0"/>
                      <a:ext cx="4946015" cy="762000"/>
                    </a:xfrm>
                    <a:prstGeom prst="rect">
                      <a:avLst/>
                    </a:prstGeom>
                    <a:noFill/>
                    <a:ln>
                      <a:noFill/>
                    </a:ln>
                  </pic:spPr>
                </pic:pic>
              </a:graphicData>
            </a:graphic>
          </wp:inline>
        </w:drawing>
      </w:r>
    </w:p>
    <w:p w14:paraId="2DE04DA4">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f.</w:t>
      </w:r>
      <w:r>
        <w:rPr>
          <w:rFonts w:hint="eastAsia" w:ascii="宋体" w:hAnsi="宋体" w:cs="宋体"/>
          <w:color w:val="auto"/>
          <w:sz w:val="24"/>
          <w:highlight w:val="none"/>
        </w:rPr>
        <w:t xml:space="preserve">提交。 </w:t>
      </w:r>
    </w:p>
    <w:p w14:paraId="3A79227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备注：相关操作培训请关注《陕西省公共资源交易中心》通知公告栏目。相关操作流程详见全国公共资源交易平台（陕西省）网站</w:t>
      </w:r>
      <w:r>
        <w:rPr>
          <w:rFonts w:ascii="宋体" w:hAnsi="宋体" w:cs="宋体"/>
          <w:color w:val="auto"/>
          <w:sz w:val="24"/>
          <w:highlight w:val="none"/>
        </w:rPr>
        <w:t>[</w:t>
      </w:r>
      <w:r>
        <w:rPr>
          <w:rFonts w:hint="eastAsia" w:ascii="宋体" w:hAnsi="宋体" w:cs="宋体"/>
          <w:color w:val="auto"/>
          <w:sz w:val="24"/>
          <w:highlight w:val="none"/>
        </w:rPr>
        <w:t>服务指南</w:t>
      </w:r>
      <w:r>
        <w:rPr>
          <w:rFonts w:ascii="宋体" w:hAnsi="宋体" w:cs="宋体"/>
          <w:color w:val="auto"/>
          <w:sz w:val="24"/>
          <w:highlight w:val="none"/>
        </w:rPr>
        <w:t>-</w:t>
      </w:r>
      <w:r>
        <w:rPr>
          <w:rFonts w:hint="eastAsia" w:ascii="宋体" w:hAnsi="宋体" w:cs="宋体"/>
          <w:color w:val="auto"/>
          <w:sz w:val="24"/>
          <w:highlight w:val="none"/>
        </w:rPr>
        <w:t>下载专区</w:t>
      </w:r>
      <w:r>
        <w:rPr>
          <w:rFonts w:ascii="宋体" w:hAnsi="宋体" w:cs="宋体"/>
          <w:color w:val="auto"/>
          <w:sz w:val="24"/>
          <w:highlight w:val="none"/>
        </w:rPr>
        <w:t>]</w:t>
      </w:r>
      <w:r>
        <w:rPr>
          <w:rFonts w:hint="eastAsia" w:ascii="宋体" w:hAnsi="宋体" w:cs="宋体"/>
          <w:color w:val="auto"/>
          <w:sz w:val="24"/>
          <w:highlight w:val="none"/>
        </w:rPr>
        <w:t>中的《陕西省公共资源交易中心政府采购项目远程不见面开标操作手册（供应商版）》。</w:t>
      </w:r>
    </w:p>
    <w:p w14:paraId="4A7D46F6">
      <w:pPr>
        <w:widowControl/>
        <w:numPr>
          <w:ilvl w:val="0"/>
          <w:numId w:val="13"/>
        </w:num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在确定最终采购需求和提交最后报价的供应商后，由磋商小组采用综合评分法对提交最后报价的供应商进行综合评分。</w:t>
      </w:r>
      <w:r>
        <w:rPr>
          <w:rFonts w:ascii="宋体" w:hAnsi="宋体" w:cs="宋体"/>
          <w:color w:val="auto"/>
          <w:sz w:val="24"/>
          <w:highlight w:val="none"/>
        </w:rPr>
        <w:t>磋商小组第四部分评分标准规定的各项因素进行比较、自主打分、综合评审。磋商小组将评审得分汇总后，按评审总得分由高到低汇总排序，推荐</w:t>
      </w:r>
      <w:r>
        <w:rPr>
          <w:rFonts w:hint="eastAsia" w:ascii="宋体" w:hAnsi="宋体" w:cs="宋体"/>
          <w:color w:val="auto"/>
          <w:sz w:val="24"/>
          <w:highlight w:val="none"/>
        </w:rPr>
        <w:t>1-</w:t>
      </w:r>
      <w:r>
        <w:rPr>
          <w:rFonts w:ascii="宋体" w:hAnsi="宋体" w:cs="宋体"/>
          <w:color w:val="auto"/>
          <w:sz w:val="24"/>
          <w:highlight w:val="none"/>
        </w:rPr>
        <w:t>3名成交候选人；</w:t>
      </w:r>
      <w:r>
        <w:rPr>
          <w:rFonts w:ascii="宋体" w:hAnsi="宋体" w:cs="宋体"/>
          <w:color w:val="auto"/>
          <w:sz w:val="24"/>
          <w:szCs w:val="24"/>
          <w:highlight w:val="none"/>
        </w:rPr>
        <w:t>评审得分相同的，按照最后报价由低到高的顺序推荐。评审得分且最后报价相同的，按照技术指标优劣顺序推荐。</w:t>
      </w:r>
    </w:p>
    <w:p w14:paraId="61D78842">
      <w:pPr>
        <w:widowControl/>
        <w:shd w:val="clear" w:color="auto" w:fill="FFFFFF"/>
        <w:spacing w:line="480" w:lineRule="atLeast"/>
        <w:ind w:firstLine="480" w:firstLineChars="200"/>
        <w:textAlignment w:val="baseline"/>
        <w:rPr>
          <w:rFonts w:ascii="Calibri" w:hAnsi="Calibri" w:cs="Calibri"/>
          <w:color w:val="auto"/>
          <w:szCs w:val="21"/>
          <w:highlight w:val="none"/>
        </w:rPr>
      </w:pPr>
      <w:r>
        <w:rPr>
          <w:rFonts w:hint="eastAsia" w:ascii="宋体" w:hAnsi="宋体" w:cs="宋体"/>
          <w:color w:val="auto"/>
          <w:sz w:val="24"/>
          <w:szCs w:val="24"/>
          <w:highlight w:val="none"/>
        </w:rPr>
        <w:t>5.3</w:t>
      </w:r>
      <w:r>
        <w:rPr>
          <w:rFonts w:hint="eastAsia" w:ascii="宋体" w:hAnsi="宋体" w:cs="宋体"/>
          <w:color w:val="auto"/>
          <w:kern w:val="0"/>
          <w:sz w:val="24"/>
          <w:szCs w:val="24"/>
          <w:highlight w:val="none"/>
          <w:shd w:val="clear" w:color="auto" w:fill="FFFFFF"/>
        </w:rPr>
        <w:t>政府采购异常低价审查</w:t>
      </w:r>
    </w:p>
    <w:p w14:paraId="1070FAB0">
      <w:pPr>
        <w:widowControl/>
        <w:shd w:val="clear" w:color="auto" w:fill="FFFFFF"/>
        <w:spacing w:line="480" w:lineRule="atLeast"/>
        <w:ind w:firstLine="640"/>
        <w:textAlignment w:val="baseline"/>
        <w:rPr>
          <w:rFonts w:ascii="Calibri" w:hAnsi="Calibri" w:cs="Calibri"/>
          <w:color w:val="auto"/>
          <w:szCs w:val="21"/>
          <w:highlight w:val="none"/>
        </w:rPr>
      </w:pPr>
      <w:r>
        <w:rPr>
          <w:rFonts w:hint="eastAsia" w:ascii="宋体" w:hAnsi="宋体" w:cs="宋体"/>
          <w:color w:val="auto"/>
          <w:kern w:val="0"/>
          <w:sz w:val="24"/>
          <w:szCs w:val="24"/>
          <w:highlight w:val="none"/>
          <w:shd w:val="clear" w:color="auto" w:fill="FFFFFF"/>
        </w:rPr>
        <w:t>（一）政府采购评审中出现下列情形之一的，评审委员会应当启动异常低价投标（响应）审查程序：</w:t>
      </w:r>
    </w:p>
    <w:p w14:paraId="0A0A1C59">
      <w:pPr>
        <w:widowControl/>
        <w:shd w:val="clear" w:color="auto" w:fill="FFFFFF"/>
        <w:spacing w:line="480" w:lineRule="atLeast"/>
        <w:ind w:firstLine="640"/>
        <w:textAlignment w:val="baseline"/>
        <w:rPr>
          <w:rFonts w:ascii="Calibri" w:hAnsi="Calibri" w:cs="Calibri"/>
          <w:color w:val="auto"/>
          <w:szCs w:val="21"/>
          <w:highlight w:val="none"/>
        </w:rPr>
      </w:pPr>
      <w:r>
        <w:rPr>
          <w:rFonts w:hint="eastAsia" w:ascii="宋体" w:hAnsi="宋体" w:cs="宋体"/>
          <w:color w:val="auto"/>
          <w:kern w:val="0"/>
          <w:sz w:val="24"/>
          <w:szCs w:val="24"/>
          <w:highlight w:val="none"/>
          <w:shd w:val="clear" w:color="auto" w:fill="FFFFFF"/>
        </w:rPr>
        <w:t>1.投标（响应）报价低于全部通过符合性审查供应商投标（响应）报价平均值50%的，即投标（响应）报价&lt;全部通过符合性审查供应商投标（响应）报价平均值×50%；</w:t>
      </w:r>
    </w:p>
    <w:p w14:paraId="0DDF37E8">
      <w:pPr>
        <w:widowControl/>
        <w:shd w:val="clear" w:color="auto" w:fill="FFFFFF"/>
        <w:spacing w:line="480" w:lineRule="atLeast"/>
        <w:ind w:firstLine="640"/>
        <w:textAlignment w:val="baseline"/>
        <w:rPr>
          <w:rFonts w:ascii="Calibri" w:hAnsi="Calibri" w:cs="Calibri"/>
          <w:color w:val="auto"/>
          <w:szCs w:val="21"/>
          <w:highlight w:val="none"/>
        </w:rPr>
      </w:pPr>
      <w:r>
        <w:rPr>
          <w:rFonts w:hint="eastAsia" w:ascii="宋体" w:hAnsi="宋体" w:cs="宋体"/>
          <w:color w:val="auto"/>
          <w:kern w:val="0"/>
          <w:sz w:val="24"/>
          <w:szCs w:val="24"/>
          <w:highlight w:val="none"/>
          <w:shd w:val="clear" w:color="auto" w:fill="FFFFFF"/>
        </w:rPr>
        <w:t>2.投标（响应）报价低于通过符合性审查的次低报价供应商投标（响应）报价50%的，即投标（响应）报价&lt;通过符合性审查的次低报价供应商投标（响应）报价×50%；</w:t>
      </w:r>
    </w:p>
    <w:p w14:paraId="50F9CA2A">
      <w:pPr>
        <w:widowControl/>
        <w:shd w:val="clear" w:color="auto" w:fill="FFFFFF"/>
        <w:spacing w:line="480" w:lineRule="atLeast"/>
        <w:ind w:firstLine="640"/>
        <w:textAlignment w:val="baseline"/>
        <w:rPr>
          <w:rFonts w:ascii="Calibri" w:hAnsi="Calibri" w:cs="Calibri"/>
          <w:color w:val="auto"/>
          <w:szCs w:val="21"/>
          <w:highlight w:val="none"/>
        </w:rPr>
      </w:pPr>
      <w:r>
        <w:rPr>
          <w:rFonts w:hint="eastAsia" w:ascii="宋体" w:hAnsi="宋体" w:cs="宋体"/>
          <w:color w:val="auto"/>
          <w:kern w:val="0"/>
          <w:sz w:val="24"/>
          <w:szCs w:val="24"/>
          <w:highlight w:val="none"/>
          <w:shd w:val="clear" w:color="auto" w:fill="FFFFFF"/>
        </w:rPr>
        <w:t>3.投标（响应）报价低于采购项目最高限价45%的，即投标（响应）报价&lt;采购项目最高限价×45%；</w:t>
      </w:r>
    </w:p>
    <w:p w14:paraId="5722BAFD">
      <w:pPr>
        <w:widowControl/>
        <w:shd w:val="clear" w:color="auto" w:fill="FFFFFF"/>
        <w:spacing w:line="480" w:lineRule="atLeast"/>
        <w:ind w:firstLine="640"/>
        <w:textAlignment w:val="baseline"/>
        <w:rPr>
          <w:rFonts w:ascii="Calibri" w:hAnsi="Calibri" w:cs="Calibri"/>
          <w:color w:val="auto"/>
          <w:szCs w:val="21"/>
          <w:highlight w:val="none"/>
        </w:rPr>
      </w:pPr>
      <w:r>
        <w:rPr>
          <w:rFonts w:hint="eastAsia" w:ascii="宋体" w:hAnsi="宋体" w:cs="宋体"/>
          <w:color w:val="auto"/>
          <w:kern w:val="0"/>
          <w:sz w:val="24"/>
          <w:szCs w:val="24"/>
          <w:highlight w:val="none"/>
          <w:shd w:val="clear" w:color="auto" w:fill="FFFFFF"/>
        </w:rPr>
        <w:t>4.评审委员会基于专业判断，认为供应商报价过低，有可能影响产品质量或者不能诚信履约的其他情形。</w:t>
      </w:r>
    </w:p>
    <w:p w14:paraId="385A2535">
      <w:pPr>
        <w:widowControl/>
        <w:shd w:val="clear" w:color="auto" w:fill="FFFFFF"/>
        <w:spacing w:line="480" w:lineRule="atLeast"/>
        <w:ind w:firstLine="640"/>
        <w:textAlignment w:val="baseline"/>
        <w:rPr>
          <w:rFonts w:ascii="宋体" w:hAnsi="宋体" w:cs="宋体"/>
          <w:color w:val="auto"/>
          <w:kern w:val="0"/>
          <w:sz w:val="24"/>
          <w:szCs w:val="24"/>
          <w:highlight w:val="none"/>
          <w:shd w:val="clear" w:color="auto" w:fill="FFFFFF"/>
        </w:rPr>
      </w:pPr>
      <w:r>
        <w:rPr>
          <w:rFonts w:hint="eastAsia" w:ascii="宋体" w:hAnsi="宋体" w:cs="宋体"/>
          <w:color w:val="auto"/>
          <w:kern w:val="0"/>
          <w:sz w:val="24"/>
          <w:szCs w:val="24"/>
          <w:highlight w:val="none"/>
          <w:shd w:val="clear" w:color="auto" w:fill="FFFFFF"/>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5EAEEF">
      <w:pPr>
        <w:widowControl/>
        <w:shd w:val="clear" w:color="auto" w:fill="FFFFFF"/>
        <w:spacing w:line="480" w:lineRule="atLeast"/>
        <w:ind w:firstLine="640"/>
        <w:textAlignment w:val="baseline"/>
        <w:rPr>
          <w:rFonts w:ascii="宋体" w:hAnsi="宋体" w:cs="宋体"/>
          <w:color w:val="auto"/>
          <w:sz w:val="24"/>
          <w:szCs w:val="24"/>
          <w:highlight w:val="none"/>
        </w:rPr>
      </w:pPr>
      <w:r>
        <w:rPr>
          <w:rFonts w:hint="eastAsia" w:ascii="宋体" w:hAnsi="宋体" w:cs="宋体"/>
          <w:color w:val="auto"/>
          <w:kern w:val="0"/>
          <w:sz w:val="24"/>
          <w:szCs w:val="24"/>
          <w:highlight w:val="none"/>
          <w:shd w:val="clear"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28AED3A">
      <w:pPr>
        <w:pStyle w:val="4"/>
        <w:numPr>
          <w:ilvl w:val="0"/>
          <w:numId w:val="18"/>
        </w:numPr>
        <w:rPr>
          <w:rFonts w:ascii="宋体" w:hAnsi="宋体" w:cs="宋体"/>
          <w:color w:val="auto"/>
          <w:highlight w:val="none"/>
        </w:rPr>
      </w:pPr>
      <w:r>
        <w:rPr>
          <w:rFonts w:ascii="宋体" w:hAnsi="宋体" w:cs="宋体"/>
          <w:color w:val="auto"/>
          <w:highlight w:val="none"/>
        </w:rPr>
        <w:t>定标</w:t>
      </w:r>
    </w:p>
    <w:p w14:paraId="25AD19F1">
      <w:pPr>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6.1代理机构在评审结束后1个工作日内将评审报告送达采购单位，采购单位在收到评审报告后4个工作日内，按照评审报告中推荐的成交候选人顺序确认第一成交候选人为成交单位，同时书面复函代理机构；</w:t>
      </w:r>
    </w:p>
    <w:p w14:paraId="50A25996">
      <w:pPr>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6.2代理机构收到采购单位“成交复函”后1日内，在指定的媒体上发布公告，并向成交供应商发出“成交通知书”。</w:t>
      </w:r>
    </w:p>
    <w:p w14:paraId="39019229">
      <w:pPr>
        <w:widowControl/>
        <w:numPr>
          <w:ilvl w:val="0"/>
          <w:numId w:val="11"/>
        </w:numPr>
        <w:spacing w:line="360" w:lineRule="auto"/>
        <w:jc w:val="center"/>
        <w:outlineLvl w:val="1"/>
        <w:rPr>
          <w:rFonts w:ascii="宋体" w:hAnsi="宋体" w:cs="宋体"/>
          <w:b/>
          <w:bCs/>
          <w:color w:val="auto"/>
          <w:kern w:val="0"/>
          <w:sz w:val="32"/>
          <w:szCs w:val="28"/>
          <w:highlight w:val="none"/>
        </w:rPr>
      </w:pPr>
      <w:bookmarkStart w:id="26" w:name="_Toc7621"/>
      <w:bookmarkStart w:id="27" w:name="_Toc23643"/>
      <w:bookmarkStart w:id="28" w:name="_Toc13431"/>
      <w:r>
        <w:rPr>
          <w:rFonts w:ascii="宋体" w:hAnsi="宋体" w:cs="宋体"/>
          <w:b/>
          <w:bCs/>
          <w:color w:val="auto"/>
          <w:kern w:val="0"/>
          <w:sz w:val="32"/>
          <w:szCs w:val="28"/>
          <w:highlight w:val="none"/>
        </w:rPr>
        <w:t>签订合同</w:t>
      </w:r>
      <w:bookmarkEnd w:id="26"/>
      <w:bookmarkEnd w:id="27"/>
      <w:bookmarkEnd w:id="28"/>
    </w:p>
    <w:p w14:paraId="53EC95EF">
      <w:p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highlight w:val="none"/>
        </w:rPr>
        <w:t>采购人与中标、成交供应商应当在中标、成交通知书发出之日起</w:t>
      </w:r>
      <w:r>
        <w:rPr>
          <w:rFonts w:hint="eastAsia" w:ascii="宋体" w:hAnsi="宋体" w:cs="宋体"/>
          <w:color w:val="auto"/>
          <w:sz w:val="24"/>
          <w:highlight w:val="none"/>
        </w:rPr>
        <w:t>二十五</w:t>
      </w:r>
      <w:r>
        <w:rPr>
          <w:rFonts w:ascii="宋体" w:hAnsi="宋体" w:cs="宋体"/>
          <w:color w:val="auto"/>
          <w:sz w:val="24"/>
          <w:highlight w:val="none"/>
        </w:rPr>
        <w:t>日内，按照采购文件确定的事项签订政府采购合同。</w:t>
      </w:r>
    </w:p>
    <w:p w14:paraId="624DC6C3">
      <w:pPr>
        <w:widowControl/>
        <w:spacing w:beforeLines="66" w:afterLines="66" w:line="500" w:lineRule="exact"/>
        <w:jc w:val="center"/>
        <w:outlineLvl w:val="1"/>
        <w:rPr>
          <w:rFonts w:ascii="宋体" w:hAnsi="宋体" w:cs="宋体"/>
          <w:b/>
          <w:bCs/>
          <w:color w:val="auto"/>
          <w:kern w:val="0"/>
          <w:sz w:val="32"/>
          <w:szCs w:val="28"/>
          <w:highlight w:val="none"/>
        </w:rPr>
      </w:pPr>
      <w:bookmarkStart w:id="29" w:name="_Toc454"/>
      <w:bookmarkStart w:id="30" w:name="_Toc5654"/>
      <w:bookmarkStart w:id="31" w:name="_Toc9738"/>
      <w:r>
        <w:rPr>
          <w:rFonts w:ascii="宋体" w:hAnsi="宋体" w:cs="宋体"/>
          <w:b/>
          <w:bCs/>
          <w:color w:val="auto"/>
          <w:kern w:val="0"/>
          <w:sz w:val="32"/>
          <w:szCs w:val="28"/>
          <w:highlight w:val="none"/>
        </w:rPr>
        <w:t>七、质疑和投诉</w:t>
      </w:r>
      <w:bookmarkEnd w:id="29"/>
      <w:bookmarkEnd w:id="30"/>
      <w:bookmarkEnd w:id="31"/>
    </w:p>
    <w:p w14:paraId="32F94A6E">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4FD5D038">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7C9D66C3">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1）对采购文件提出质疑的，为收到采购文件之日或者采购文件公告期限届满之日；</w:t>
      </w:r>
    </w:p>
    <w:p w14:paraId="08134FC1">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2）对采购过程提出质疑的，为各采购程序环节结束之日；</w:t>
      </w:r>
    </w:p>
    <w:p w14:paraId="736378C7">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3）对中标或者成交结果提出质疑的，为中标或者成交结果公告期限届满之日。</w:t>
      </w:r>
    </w:p>
    <w:p w14:paraId="5D503E6F">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2、供应商应当在法定质疑期内一次性提出针对同一采购程序环节的质疑。</w:t>
      </w:r>
    </w:p>
    <w:p w14:paraId="23CB1C1E">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 、质疑函应当包括下列主要内容：</w:t>
      </w:r>
    </w:p>
    <w:p w14:paraId="3DBC2741">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1）供应商的姓名或者名称、地址、邮编、联系人及联系电话；</w:t>
      </w:r>
    </w:p>
    <w:p w14:paraId="7F426754">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  2）质疑项目的名称、编号；</w:t>
      </w:r>
    </w:p>
    <w:p w14:paraId="56DEC84E">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3）具体、明确的质疑事项和与质疑事项相关的请求；</w:t>
      </w:r>
    </w:p>
    <w:p w14:paraId="66299CCE">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4）事实依据；</w:t>
      </w:r>
    </w:p>
    <w:p w14:paraId="37B86582">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5）必要的法律依据；</w:t>
      </w:r>
    </w:p>
    <w:p w14:paraId="5026CD32">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6）提出质疑的日期。</w:t>
      </w:r>
    </w:p>
    <w:p w14:paraId="520E0DD7">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3AD556CE">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代理人提出质疑和投诉，应当提交供应商签署的授权委托书。</w:t>
      </w:r>
    </w:p>
    <w:p w14:paraId="04D76CB0">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 质疑函内容不得含有虚假、恶意成份。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87F89C0">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 质疑函接收方式：由自然人本人或法定代表人或者其授权代表携带书面原件及身份证明原件到现场递交，否则不予受理 。 </w:t>
      </w:r>
    </w:p>
    <w:p w14:paraId="6DF93FF0">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7、质疑受理部门：陕西卓佲项目管理有限公司。</w:t>
      </w:r>
    </w:p>
    <w:p w14:paraId="4E0CD6CB">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   质疑受理电话：029-81875979。</w:t>
      </w:r>
    </w:p>
    <w:p w14:paraId="2FF39178">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8、提交质疑函地点：西安市雁塔区科技路30号合力紫郡B座21层。</w:t>
      </w:r>
    </w:p>
    <w:p w14:paraId="6C23D5E9">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9、本次采购活动中，采购代理机构对质疑函回复的书面文件的送达方式为现场取件。</w:t>
      </w:r>
    </w:p>
    <w:p w14:paraId="7C1CD5DD">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如所质疑的问题比较复杂，采购人或者采购代理机构在规定的答复时间内无法回复，应事先告知提出质疑的供应商，同时向同级政府采购监督管理部门报告。</w:t>
      </w:r>
    </w:p>
    <w:p w14:paraId="4DB8E6D1">
      <w:pPr>
        <w:widowControl/>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10、质疑供应商对采购人、采购代理机构的答复不满意，或者采购人、采购代理机构未在规定的时间内作出答复的，可以在答复期满后15个工作日内向采购人的同级政府采购监督管理部门投诉。</w:t>
      </w:r>
    </w:p>
    <w:p w14:paraId="6176C096">
      <w:pPr>
        <w:widowControl/>
        <w:spacing w:line="360" w:lineRule="auto"/>
        <w:ind w:firstLine="480" w:firstLineChars="200"/>
        <w:rPr>
          <w:rFonts w:ascii="宋体" w:hAnsi="宋体" w:cs="宋体"/>
          <w:b/>
          <w:bCs/>
          <w:color w:val="auto"/>
          <w:sz w:val="36"/>
          <w:szCs w:val="36"/>
          <w:highlight w:val="none"/>
        </w:rPr>
        <w:sectPr>
          <w:headerReference r:id="rId12" w:type="default"/>
          <w:footerReference r:id="rId13"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szCs w:val="24"/>
          <w:highlight w:val="none"/>
        </w:rPr>
        <w:t>11、质疑函应当使用中文。质疑函范本详见财政部制定的范本即磋商文件附件。</w:t>
      </w:r>
    </w:p>
    <w:p w14:paraId="5D5D37CE">
      <w:pPr>
        <w:spacing w:line="440" w:lineRule="exact"/>
        <w:jc w:val="center"/>
        <w:outlineLvl w:val="0"/>
        <w:rPr>
          <w:rFonts w:ascii="宋体" w:hAnsi="宋体" w:cs="宋体"/>
          <w:b/>
          <w:bCs/>
          <w:color w:val="auto"/>
          <w:sz w:val="36"/>
          <w:szCs w:val="36"/>
          <w:highlight w:val="none"/>
        </w:rPr>
      </w:pPr>
      <w:bookmarkStart w:id="32" w:name="_Toc32118"/>
      <w:bookmarkStart w:id="33" w:name="_Toc21544"/>
      <w:bookmarkStart w:id="34" w:name="_Toc9094"/>
      <w:r>
        <w:rPr>
          <w:rFonts w:ascii="宋体" w:hAnsi="宋体" w:cs="宋体"/>
          <w:b/>
          <w:bCs/>
          <w:color w:val="auto"/>
          <w:sz w:val="36"/>
          <w:szCs w:val="36"/>
          <w:highlight w:val="none"/>
        </w:rPr>
        <w:t>第四部分 评分标准</w:t>
      </w:r>
      <w:bookmarkEnd w:id="32"/>
      <w:bookmarkEnd w:id="33"/>
      <w:bookmarkEnd w:id="34"/>
    </w:p>
    <w:p w14:paraId="228AC95B">
      <w:pPr>
        <w:spacing w:line="440" w:lineRule="exact"/>
        <w:jc w:val="center"/>
        <w:rPr>
          <w:rFonts w:ascii="宋体" w:hAnsi="宋体" w:cs="宋体"/>
          <w:b/>
          <w:bCs/>
          <w:color w:val="auto"/>
          <w:sz w:val="36"/>
          <w:szCs w:val="36"/>
          <w:highlight w:val="none"/>
        </w:rPr>
      </w:pPr>
    </w:p>
    <w:tbl>
      <w:tblPr>
        <w:tblStyle w:val="58"/>
        <w:tblW w:w="87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87"/>
        <w:gridCol w:w="1328"/>
        <w:gridCol w:w="6319"/>
      </w:tblGrid>
      <w:tr w14:paraId="56AC4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blHeader/>
          <w:jc w:val="center"/>
        </w:trPr>
        <w:tc>
          <w:tcPr>
            <w:tcW w:w="2415" w:type="dxa"/>
            <w:gridSpan w:val="2"/>
            <w:noWrap w:val="0"/>
            <w:vAlign w:val="center"/>
          </w:tcPr>
          <w:p w14:paraId="2E54CA06">
            <w:pPr>
              <w:pStyle w:val="57"/>
              <w:spacing w:before="195"/>
              <w:jc w:val="center"/>
              <w:rPr>
                <w:rFonts w:hint="eastAsia"/>
                <w:b/>
                <w:bCs/>
                <w:color w:val="auto"/>
                <w:spacing w:val="-5"/>
                <w:highlight w:val="none"/>
              </w:rPr>
            </w:pPr>
            <w:r>
              <w:rPr>
                <w:b/>
                <w:bCs/>
                <w:color w:val="auto"/>
                <w:spacing w:val="-5"/>
                <w:highlight w:val="none"/>
              </w:rPr>
              <w:t>条款内容</w:t>
            </w:r>
          </w:p>
        </w:tc>
        <w:tc>
          <w:tcPr>
            <w:tcW w:w="6319" w:type="dxa"/>
            <w:noWrap w:val="0"/>
            <w:vAlign w:val="center"/>
          </w:tcPr>
          <w:p w14:paraId="0BD8BEA4">
            <w:pPr>
              <w:pStyle w:val="57"/>
              <w:spacing w:before="195"/>
              <w:jc w:val="center"/>
              <w:rPr>
                <w:rFonts w:hint="eastAsia"/>
                <w:b/>
                <w:color w:val="auto"/>
                <w:highlight w:val="none"/>
              </w:rPr>
            </w:pPr>
            <w:r>
              <w:rPr>
                <w:b/>
                <w:bCs/>
                <w:color w:val="auto"/>
                <w:spacing w:val="-5"/>
                <w:highlight w:val="none"/>
              </w:rPr>
              <w:t>编列内容</w:t>
            </w:r>
          </w:p>
        </w:tc>
      </w:tr>
      <w:tr w14:paraId="13040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1" w:hRule="atLeast"/>
          <w:jc w:val="center"/>
        </w:trPr>
        <w:tc>
          <w:tcPr>
            <w:tcW w:w="2415" w:type="dxa"/>
            <w:gridSpan w:val="2"/>
            <w:noWrap w:val="0"/>
            <w:vAlign w:val="center"/>
          </w:tcPr>
          <w:p w14:paraId="1592CF86">
            <w:pPr>
              <w:pStyle w:val="57"/>
              <w:spacing w:before="78"/>
              <w:jc w:val="center"/>
              <w:rPr>
                <w:rFonts w:hint="eastAsia"/>
                <w:color w:val="auto"/>
                <w:highlight w:val="none"/>
              </w:rPr>
            </w:pPr>
            <w:r>
              <w:rPr>
                <w:color w:val="auto"/>
                <w:spacing w:val="-4"/>
                <w:highlight w:val="none"/>
              </w:rPr>
              <w:t>分值构成</w:t>
            </w:r>
          </w:p>
          <w:p w14:paraId="2B804315">
            <w:pPr>
              <w:pStyle w:val="57"/>
              <w:spacing w:before="214"/>
              <w:jc w:val="center"/>
              <w:rPr>
                <w:rFonts w:hint="eastAsia"/>
                <w:color w:val="auto"/>
                <w:spacing w:val="-2"/>
                <w:highlight w:val="none"/>
              </w:rPr>
            </w:pPr>
            <w:r>
              <w:rPr>
                <w:color w:val="auto"/>
                <w:spacing w:val="-12"/>
                <w:highlight w:val="none"/>
              </w:rPr>
              <w:t>（(总分</w:t>
            </w:r>
            <w:r>
              <w:rPr>
                <w:color w:val="auto"/>
                <w:spacing w:val="-29"/>
                <w:highlight w:val="none"/>
              </w:rPr>
              <w:t xml:space="preserve"> </w:t>
            </w:r>
            <w:r>
              <w:rPr>
                <w:color w:val="auto"/>
                <w:spacing w:val="-12"/>
                <w:highlight w:val="none"/>
              </w:rPr>
              <w:t>100</w:t>
            </w:r>
            <w:r>
              <w:rPr>
                <w:color w:val="auto"/>
                <w:spacing w:val="-48"/>
                <w:highlight w:val="none"/>
              </w:rPr>
              <w:t xml:space="preserve"> </w:t>
            </w:r>
            <w:r>
              <w:rPr>
                <w:color w:val="auto"/>
                <w:spacing w:val="-12"/>
                <w:highlight w:val="none"/>
              </w:rPr>
              <w:t>分)</w:t>
            </w:r>
          </w:p>
        </w:tc>
        <w:tc>
          <w:tcPr>
            <w:tcW w:w="6319" w:type="dxa"/>
            <w:noWrap w:val="0"/>
            <w:vAlign w:val="center"/>
          </w:tcPr>
          <w:p w14:paraId="411B81FE">
            <w:pPr>
              <w:pStyle w:val="57"/>
              <w:spacing w:before="196" w:line="320" w:lineRule="exact"/>
              <w:rPr>
                <w:rFonts w:hint="eastAsia"/>
                <w:color w:val="auto"/>
                <w:highlight w:val="none"/>
                <w:lang w:eastAsia="zh-CN"/>
              </w:rPr>
            </w:pPr>
            <w:r>
              <w:rPr>
                <w:b/>
                <w:bCs/>
                <w:color w:val="auto"/>
                <w:spacing w:val="-5"/>
                <w:highlight w:val="none"/>
                <w:lang w:eastAsia="zh-CN"/>
              </w:rPr>
              <w:t>技术标（8</w:t>
            </w:r>
            <w:r>
              <w:rPr>
                <w:rFonts w:hint="eastAsia"/>
                <w:b/>
                <w:bCs/>
                <w:color w:val="auto"/>
                <w:spacing w:val="-5"/>
                <w:highlight w:val="none"/>
                <w:lang w:val="en-US" w:eastAsia="zh-CN"/>
              </w:rPr>
              <w:t>0</w:t>
            </w:r>
            <w:r>
              <w:rPr>
                <w:color w:val="auto"/>
                <w:spacing w:val="-47"/>
                <w:highlight w:val="none"/>
                <w:lang w:eastAsia="zh-CN"/>
              </w:rPr>
              <w:t xml:space="preserve"> </w:t>
            </w:r>
            <w:r>
              <w:rPr>
                <w:b/>
                <w:bCs/>
                <w:color w:val="auto"/>
                <w:spacing w:val="-5"/>
                <w:highlight w:val="none"/>
                <w:lang w:eastAsia="zh-CN"/>
              </w:rPr>
              <w:t>分）</w:t>
            </w:r>
          </w:p>
          <w:p w14:paraId="692349E5">
            <w:pPr>
              <w:pStyle w:val="57"/>
              <w:spacing w:before="214" w:line="320" w:lineRule="exact"/>
              <w:rPr>
                <w:color w:val="auto"/>
                <w:spacing w:val="-3"/>
                <w:highlight w:val="none"/>
                <w:lang w:eastAsia="zh-CN"/>
              </w:rPr>
            </w:pPr>
            <w:r>
              <w:rPr>
                <w:color w:val="auto"/>
                <w:spacing w:val="-3"/>
                <w:highlight w:val="none"/>
                <w:lang w:eastAsia="zh-CN"/>
              </w:rPr>
              <w:t>业绩：</w:t>
            </w:r>
            <w:r>
              <w:rPr>
                <w:color w:val="auto"/>
                <w:spacing w:val="-3"/>
                <w:highlight w:val="none"/>
                <w:u w:val="single"/>
                <w:lang w:eastAsia="zh-CN"/>
              </w:rPr>
              <w:t>1</w:t>
            </w:r>
            <w:r>
              <w:rPr>
                <w:rFonts w:hint="eastAsia"/>
                <w:color w:val="auto"/>
                <w:spacing w:val="-3"/>
                <w:highlight w:val="none"/>
                <w:u w:val="single"/>
                <w:lang w:val="en-US" w:eastAsia="zh-CN"/>
              </w:rPr>
              <w:t>0</w:t>
            </w:r>
            <w:r>
              <w:rPr>
                <w:color w:val="auto"/>
                <w:spacing w:val="-3"/>
                <w:highlight w:val="none"/>
                <w:lang w:eastAsia="zh-CN"/>
              </w:rPr>
              <w:t>分</w:t>
            </w:r>
          </w:p>
          <w:p w14:paraId="2091ABAC">
            <w:pPr>
              <w:pStyle w:val="57"/>
              <w:spacing w:before="214" w:line="320" w:lineRule="exact"/>
              <w:rPr>
                <w:rFonts w:hint="default"/>
                <w:color w:val="auto"/>
                <w:spacing w:val="-3"/>
                <w:highlight w:val="none"/>
                <w:lang w:val="en-US" w:eastAsia="zh-CN"/>
              </w:rPr>
            </w:pPr>
            <w:r>
              <w:rPr>
                <w:rFonts w:hint="eastAsia"/>
                <w:color w:val="auto"/>
                <w:spacing w:val="-3"/>
                <w:highlight w:val="none"/>
                <w:lang w:val="en-US" w:eastAsia="zh-CN"/>
              </w:rPr>
              <w:t>技术指标：</w:t>
            </w:r>
            <w:r>
              <w:rPr>
                <w:rFonts w:hint="eastAsia"/>
                <w:color w:val="auto"/>
                <w:spacing w:val="-3"/>
                <w:highlight w:val="none"/>
                <w:u w:val="single"/>
                <w:lang w:val="en-US" w:eastAsia="zh-CN"/>
              </w:rPr>
              <w:t>14</w:t>
            </w:r>
            <w:r>
              <w:rPr>
                <w:rFonts w:hint="eastAsia"/>
                <w:color w:val="auto"/>
                <w:spacing w:val="-3"/>
                <w:highlight w:val="none"/>
                <w:lang w:val="en-US" w:eastAsia="zh-CN"/>
              </w:rPr>
              <w:t>分</w:t>
            </w:r>
          </w:p>
          <w:p w14:paraId="28FC3509">
            <w:pPr>
              <w:pStyle w:val="57"/>
              <w:spacing w:before="214" w:line="320" w:lineRule="exact"/>
              <w:rPr>
                <w:rFonts w:hint="eastAsia"/>
                <w:color w:val="auto"/>
                <w:highlight w:val="none"/>
                <w:lang w:eastAsia="zh-CN"/>
              </w:rPr>
            </w:pPr>
            <w:r>
              <w:rPr>
                <w:color w:val="auto"/>
                <w:spacing w:val="-2"/>
                <w:highlight w:val="none"/>
                <w:lang w:eastAsia="zh-CN"/>
              </w:rPr>
              <w:t>服务方案：</w:t>
            </w:r>
            <w:r>
              <w:rPr>
                <w:rFonts w:hint="eastAsia"/>
                <w:color w:val="auto"/>
                <w:spacing w:val="-2"/>
                <w:highlight w:val="none"/>
                <w:u w:val="single"/>
                <w:lang w:val="en-US" w:eastAsia="zh-CN"/>
              </w:rPr>
              <w:t>3</w:t>
            </w:r>
            <w:r>
              <w:rPr>
                <w:color w:val="auto"/>
                <w:spacing w:val="-2"/>
                <w:highlight w:val="none"/>
                <w:u w:val="single"/>
                <w:lang w:eastAsia="zh-CN"/>
              </w:rPr>
              <w:t>5</w:t>
            </w:r>
            <w:r>
              <w:rPr>
                <w:color w:val="auto"/>
                <w:spacing w:val="-43"/>
                <w:highlight w:val="none"/>
                <w:u w:val="single"/>
                <w:lang w:eastAsia="zh-CN"/>
              </w:rPr>
              <w:t xml:space="preserve"> </w:t>
            </w:r>
            <w:r>
              <w:rPr>
                <w:color w:val="auto"/>
                <w:spacing w:val="-2"/>
                <w:highlight w:val="none"/>
                <w:lang w:eastAsia="zh-CN"/>
              </w:rPr>
              <w:t>分</w:t>
            </w:r>
          </w:p>
          <w:p w14:paraId="7B748BC7">
            <w:pPr>
              <w:pStyle w:val="57"/>
              <w:spacing w:before="216" w:line="320" w:lineRule="exact"/>
              <w:rPr>
                <w:color w:val="auto"/>
                <w:spacing w:val="-2"/>
                <w:highlight w:val="none"/>
                <w:lang w:eastAsia="zh-CN"/>
              </w:rPr>
            </w:pPr>
            <w:r>
              <w:rPr>
                <w:color w:val="auto"/>
                <w:spacing w:val="-2"/>
                <w:highlight w:val="none"/>
                <w:lang w:eastAsia="zh-CN"/>
              </w:rPr>
              <w:t>项目服务团队：</w:t>
            </w:r>
            <w:r>
              <w:rPr>
                <w:color w:val="auto"/>
                <w:spacing w:val="-2"/>
                <w:highlight w:val="none"/>
                <w:u w:val="single"/>
                <w:lang w:eastAsia="zh-CN"/>
              </w:rPr>
              <w:t>1</w:t>
            </w:r>
            <w:r>
              <w:rPr>
                <w:rFonts w:hint="eastAsia"/>
                <w:color w:val="auto"/>
                <w:spacing w:val="-2"/>
                <w:highlight w:val="none"/>
                <w:u w:val="single"/>
                <w:lang w:val="en-US" w:eastAsia="zh-CN"/>
              </w:rPr>
              <w:t>7</w:t>
            </w:r>
            <w:r>
              <w:rPr>
                <w:color w:val="auto"/>
                <w:spacing w:val="-42"/>
                <w:highlight w:val="none"/>
                <w:u w:val="single"/>
                <w:lang w:eastAsia="zh-CN"/>
              </w:rPr>
              <w:t xml:space="preserve"> </w:t>
            </w:r>
            <w:r>
              <w:rPr>
                <w:color w:val="auto"/>
                <w:spacing w:val="-2"/>
                <w:highlight w:val="none"/>
                <w:lang w:eastAsia="zh-CN"/>
              </w:rPr>
              <w:t>分</w:t>
            </w:r>
          </w:p>
          <w:p w14:paraId="20777B1F">
            <w:pPr>
              <w:pStyle w:val="57"/>
              <w:spacing w:before="216" w:line="320" w:lineRule="exact"/>
              <w:rPr>
                <w:rFonts w:hint="default"/>
                <w:color w:val="auto"/>
                <w:spacing w:val="-2"/>
                <w:highlight w:val="none"/>
                <w:lang w:val="en-US" w:eastAsia="zh-CN"/>
              </w:rPr>
            </w:pPr>
            <w:r>
              <w:rPr>
                <w:rFonts w:hint="eastAsia"/>
                <w:color w:val="auto"/>
                <w:spacing w:val="-2"/>
                <w:highlight w:val="none"/>
                <w:lang w:val="en-US" w:eastAsia="zh-CN"/>
              </w:rPr>
              <w:t>人员承诺：</w:t>
            </w:r>
            <w:r>
              <w:rPr>
                <w:rFonts w:hint="eastAsia"/>
                <w:color w:val="auto"/>
                <w:spacing w:val="-2"/>
                <w:highlight w:val="none"/>
                <w:u w:val="single"/>
                <w:lang w:val="en-US" w:eastAsia="zh-CN"/>
              </w:rPr>
              <w:t>4</w:t>
            </w:r>
            <w:r>
              <w:rPr>
                <w:rFonts w:hint="eastAsia"/>
                <w:color w:val="auto"/>
                <w:spacing w:val="-2"/>
                <w:highlight w:val="none"/>
                <w:lang w:val="en-US" w:eastAsia="zh-CN"/>
              </w:rPr>
              <w:t>分</w:t>
            </w:r>
          </w:p>
          <w:p w14:paraId="1D1FF773">
            <w:pPr>
              <w:pStyle w:val="57"/>
              <w:spacing w:before="215" w:line="320" w:lineRule="exact"/>
              <w:rPr>
                <w:rFonts w:hint="eastAsia"/>
                <w:color w:val="auto"/>
                <w:highlight w:val="none"/>
                <w:lang w:eastAsia="zh-CN"/>
              </w:rPr>
            </w:pPr>
            <w:r>
              <w:rPr>
                <w:b/>
                <w:bCs/>
                <w:color w:val="auto"/>
                <w:spacing w:val="-6"/>
                <w:highlight w:val="none"/>
                <w:lang w:eastAsia="zh-CN"/>
              </w:rPr>
              <w:t>商务标（</w:t>
            </w:r>
            <w:r>
              <w:rPr>
                <w:rFonts w:hint="eastAsia"/>
                <w:b/>
                <w:bCs/>
                <w:color w:val="auto"/>
                <w:spacing w:val="-6"/>
                <w:highlight w:val="none"/>
                <w:lang w:val="en-US" w:eastAsia="zh-CN"/>
              </w:rPr>
              <w:t>20</w:t>
            </w:r>
            <w:r>
              <w:rPr>
                <w:color w:val="auto"/>
                <w:spacing w:val="-43"/>
                <w:highlight w:val="none"/>
                <w:lang w:eastAsia="zh-CN"/>
              </w:rPr>
              <w:t xml:space="preserve"> </w:t>
            </w:r>
            <w:r>
              <w:rPr>
                <w:b/>
                <w:bCs/>
                <w:color w:val="auto"/>
                <w:spacing w:val="-6"/>
                <w:highlight w:val="none"/>
                <w:lang w:eastAsia="zh-CN"/>
              </w:rPr>
              <w:t>分）</w:t>
            </w:r>
          </w:p>
          <w:p w14:paraId="2019C390">
            <w:pPr>
              <w:pStyle w:val="57"/>
              <w:spacing w:before="214" w:line="320" w:lineRule="exact"/>
              <w:rPr>
                <w:rFonts w:hint="eastAsia"/>
                <w:color w:val="auto"/>
                <w:highlight w:val="none"/>
                <w:lang w:eastAsia="zh-CN"/>
              </w:rPr>
            </w:pPr>
            <w:r>
              <w:rPr>
                <w:color w:val="auto"/>
                <w:spacing w:val="-2"/>
                <w:highlight w:val="none"/>
                <w:lang w:eastAsia="zh-CN"/>
              </w:rPr>
              <w:t>投标报价：</w:t>
            </w:r>
            <w:r>
              <w:rPr>
                <w:rFonts w:hint="eastAsia"/>
                <w:color w:val="auto"/>
                <w:spacing w:val="-2"/>
                <w:highlight w:val="none"/>
                <w:u w:val="single"/>
                <w:lang w:val="en-US" w:eastAsia="zh-CN"/>
              </w:rPr>
              <w:t>20</w:t>
            </w:r>
            <w:r>
              <w:rPr>
                <w:color w:val="auto"/>
                <w:spacing w:val="-45"/>
                <w:highlight w:val="none"/>
                <w:u w:val="single"/>
                <w:lang w:eastAsia="zh-CN"/>
              </w:rPr>
              <w:t xml:space="preserve"> </w:t>
            </w:r>
            <w:r>
              <w:rPr>
                <w:color w:val="auto"/>
                <w:spacing w:val="-2"/>
                <w:highlight w:val="none"/>
                <w:lang w:eastAsia="zh-CN"/>
              </w:rPr>
              <w:t>分</w:t>
            </w:r>
          </w:p>
        </w:tc>
      </w:tr>
      <w:tr w14:paraId="3C7A3C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2415" w:type="dxa"/>
            <w:gridSpan w:val="2"/>
            <w:noWrap w:val="0"/>
            <w:vAlign w:val="center"/>
          </w:tcPr>
          <w:p w14:paraId="704A6055">
            <w:pPr>
              <w:pStyle w:val="57"/>
              <w:spacing w:before="197"/>
              <w:jc w:val="center"/>
              <w:rPr>
                <w:rFonts w:hint="eastAsia"/>
                <w:b/>
                <w:bCs/>
                <w:color w:val="auto"/>
                <w:spacing w:val="-5"/>
                <w:highlight w:val="none"/>
              </w:rPr>
            </w:pPr>
            <w:r>
              <w:rPr>
                <w:b/>
                <w:bCs/>
                <w:color w:val="auto"/>
                <w:spacing w:val="-5"/>
                <w:highlight w:val="none"/>
              </w:rPr>
              <w:t>评分因素</w:t>
            </w:r>
          </w:p>
        </w:tc>
        <w:tc>
          <w:tcPr>
            <w:tcW w:w="6319" w:type="dxa"/>
            <w:noWrap w:val="0"/>
            <w:vAlign w:val="center"/>
          </w:tcPr>
          <w:p w14:paraId="4D169013">
            <w:pPr>
              <w:pStyle w:val="57"/>
              <w:spacing w:before="197"/>
              <w:jc w:val="center"/>
              <w:rPr>
                <w:rFonts w:hint="eastAsia"/>
                <w:color w:val="auto"/>
                <w:highlight w:val="none"/>
              </w:rPr>
            </w:pPr>
            <w:r>
              <w:rPr>
                <w:b/>
                <w:bCs/>
                <w:color w:val="auto"/>
                <w:spacing w:val="-5"/>
                <w:highlight w:val="none"/>
              </w:rPr>
              <w:t>评分标准</w:t>
            </w:r>
          </w:p>
        </w:tc>
      </w:tr>
      <w:tr w14:paraId="55464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jc w:val="center"/>
        </w:trPr>
        <w:tc>
          <w:tcPr>
            <w:tcW w:w="1087" w:type="dxa"/>
            <w:noWrap w:val="0"/>
            <w:vAlign w:val="center"/>
          </w:tcPr>
          <w:p w14:paraId="1FC586D3">
            <w:pPr>
              <w:pStyle w:val="57"/>
              <w:spacing w:before="78"/>
              <w:jc w:val="center"/>
              <w:rPr>
                <w:rFonts w:hint="eastAsia"/>
                <w:color w:val="auto"/>
                <w:spacing w:val="-3"/>
                <w:highlight w:val="none"/>
              </w:rPr>
            </w:pPr>
            <w:r>
              <w:rPr>
                <w:color w:val="auto"/>
                <w:spacing w:val="-3"/>
                <w:highlight w:val="none"/>
              </w:rPr>
              <w:t>（1）业绩</w:t>
            </w:r>
          </w:p>
          <w:p w14:paraId="66040B2B">
            <w:pPr>
              <w:pStyle w:val="57"/>
              <w:spacing w:before="78"/>
              <w:jc w:val="center"/>
              <w:rPr>
                <w:rFonts w:hint="eastAsia"/>
                <w:color w:val="auto"/>
                <w:highlight w:val="none"/>
              </w:rPr>
            </w:pPr>
            <w:r>
              <w:rPr>
                <w:color w:val="auto"/>
                <w:spacing w:val="-3"/>
                <w:highlight w:val="none"/>
              </w:rPr>
              <w:t>（1</w:t>
            </w:r>
            <w:r>
              <w:rPr>
                <w:rFonts w:hint="eastAsia"/>
                <w:color w:val="auto"/>
                <w:spacing w:val="-3"/>
                <w:highlight w:val="none"/>
                <w:lang w:val="en-US" w:eastAsia="zh-CN"/>
              </w:rPr>
              <w:t>0</w:t>
            </w:r>
            <w:r>
              <w:rPr>
                <w:color w:val="auto"/>
                <w:spacing w:val="-48"/>
                <w:highlight w:val="none"/>
              </w:rPr>
              <w:t xml:space="preserve"> </w:t>
            </w:r>
            <w:r>
              <w:rPr>
                <w:color w:val="auto"/>
                <w:spacing w:val="-3"/>
                <w:highlight w:val="none"/>
              </w:rPr>
              <w:t>分）</w:t>
            </w:r>
          </w:p>
        </w:tc>
        <w:tc>
          <w:tcPr>
            <w:tcW w:w="1328" w:type="dxa"/>
            <w:noWrap w:val="0"/>
            <w:vAlign w:val="center"/>
          </w:tcPr>
          <w:p w14:paraId="5AF2D31D">
            <w:pPr>
              <w:pStyle w:val="57"/>
              <w:spacing w:before="4"/>
              <w:jc w:val="center"/>
              <w:rPr>
                <w:rFonts w:hint="eastAsia"/>
                <w:color w:val="auto"/>
                <w:spacing w:val="-3"/>
                <w:highlight w:val="none"/>
              </w:rPr>
            </w:pPr>
            <w:r>
              <w:rPr>
                <w:color w:val="auto"/>
                <w:spacing w:val="-3"/>
                <w:highlight w:val="none"/>
              </w:rPr>
              <w:t>业绩</w:t>
            </w:r>
          </w:p>
          <w:p w14:paraId="7E040F11">
            <w:pPr>
              <w:pStyle w:val="57"/>
              <w:spacing w:before="4"/>
              <w:jc w:val="center"/>
              <w:rPr>
                <w:rFonts w:hint="eastAsia"/>
                <w:color w:val="auto"/>
                <w:spacing w:val="-10"/>
                <w:highlight w:val="none"/>
              </w:rPr>
            </w:pPr>
            <w:r>
              <w:rPr>
                <w:color w:val="auto"/>
                <w:spacing w:val="-3"/>
                <w:highlight w:val="none"/>
              </w:rPr>
              <w:t>（1</w:t>
            </w:r>
            <w:r>
              <w:rPr>
                <w:rFonts w:hint="eastAsia"/>
                <w:color w:val="auto"/>
                <w:spacing w:val="-3"/>
                <w:highlight w:val="none"/>
                <w:lang w:val="en-US" w:eastAsia="zh-CN"/>
              </w:rPr>
              <w:t>0</w:t>
            </w:r>
            <w:r>
              <w:rPr>
                <w:color w:val="auto"/>
                <w:spacing w:val="-3"/>
                <w:highlight w:val="none"/>
              </w:rPr>
              <w:t>分）</w:t>
            </w:r>
          </w:p>
        </w:tc>
        <w:tc>
          <w:tcPr>
            <w:tcW w:w="6319" w:type="dxa"/>
            <w:noWrap w:val="0"/>
            <w:vAlign w:val="center"/>
          </w:tcPr>
          <w:p w14:paraId="06CA2D67">
            <w:pPr>
              <w:pStyle w:val="57"/>
              <w:spacing w:before="196" w:line="440" w:lineRule="exact"/>
              <w:rPr>
                <w:rFonts w:hint="eastAsia"/>
                <w:color w:val="auto"/>
                <w:highlight w:val="none"/>
                <w:lang w:eastAsia="zh-CN"/>
              </w:rPr>
            </w:pPr>
            <w:r>
              <w:rPr>
                <w:b/>
                <w:bCs/>
                <w:color w:val="auto"/>
                <w:spacing w:val="-5"/>
                <w:highlight w:val="none"/>
                <w:lang w:eastAsia="zh-CN"/>
              </w:rPr>
              <w:t>本项最高得</w:t>
            </w:r>
            <w:r>
              <w:rPr>
                <w:rFonts w:hint="eastAsia"/>
                <w:color w:val="auto"/>
                <w:spacing w:val="-3"/>
                <w:highlight w:val="none"/>
                <w:lang w:val="en-US" w:eastAsia="zh-CN"/>
              </w:rPr>
              <w:t>10</w:t>
            </w:r>
            <w:r>
              <w:rPr>
                <w:b/>
                <w:bCs/>
                <w:color w:val="auto"/>
                <w:spacing w:val="-5"/>
                <w:highlight w:val="none"/>
                <w:lang w:eastAsia="zh-CN"/>
              </w:rPr>
              <w:t>分；</w:t>
            </w:r>
          </w:p>
          <w:p w14:paraId="5EB8E7B5">
            <w:pPr>
              <w:pStyle w:val="57"/>
              <w:spacing w:before="4" w:line="440" w:lineRule="exact"/>
              <w:rPr>
                <w:rFonts w:hint="eastAsia"/>
                <w:color w:val="auto"/>
                <w:highlight w:val="none"/>
                <w:lang w:eastAsia="zh-CN"/>
              </w:rPr>
            </w:pPr>
            <w:r>
              <w:rPr>
                <w:color w:val="auto"/>
                <w:spacing w:val="-10"/>
                <w:highlight w:val="none"/>
                <w:lang w:eastAsia="zh-CN"/>
              </w:rPr>
              <w:t>投标人近</w:t>
            </w:r>
            <w:r>
              <w:rPr>
                <w:color w:val="auto"/>
                <w:spacing w:val="-46"/>
                <w:highlight w:val="none"/>
                <w:lang w:eastAsia="zh-CN"/>
              </w:rPr>
              <w:t xml:space="preserve"> </w:t>
            </w:r>
            <w:r>
              <w:rPr>
                <w:rFonts w:hint="eastAsia"/>
                <w:color w:val="auto"/>
                <w:spacing w:val="-10"/>
                <w:highlight w:val="none"/>
                <w:lang w:val="en-US" w:eastAsia="zh-CN"/>
              </w:rPr>
              <w:t>3</w:t>
            </w:r>
            <w:r>
              <w:rPr>
                <w:color w:val="auto"/>
                <w:spacing w:val="-10"/>
                <w:highlight w:val="none"/>
                <w:lang w:eastAsia="zh-CN"/>
              </w:rPr>
              <w:t>年</w:t>
            </w:r>
            <w:r>
              <w:rPr>
                <w:color w:val="auto"/>
                <w:spacing w:val="-11"/>
                <w:highlight w:val="none"/>
                <w:lang w:eastAsia="zh-CN"/>
              </w:rPr>
              <w:t>内（202</w:t>
            </w:r>
            <w:r>
              <w:rPr>
                <w:rFonts w:hint="eastAsia"/>
                <w:color w:val="auto"/>
                <w:spacing w:val="-11"/>
                <w:highlight w:val="none"/>
                <w:lang w:eastAsia="zh-CN"/>
              </w:rPr>
              <w:t>3</w:t>
            </w:r>
            <w:r>
              <w:rPr>
                <w:color w:val="auto"/>
                <w:spacing w:val="-3"/>
                <w:highlight w:val="none"/>
                <w:lang w:eastAsia="zh-CN"/>
              </w:rPr>
              <w:t>年</w:t>
            </w:r>
            <w:r>
              <w:rPr>
                <w:rFonts w:hint="eastAsia"/>
                <w:color w:val="auto"/>
                <w:spacing w:val="-3"/>
                <w:highlight w:val="none"/>
                <w:lang w:val="en-US" w:eastAsia="zh-CN"/>
              </w:rPr>
              <w:t>7</w:t>
            </w:r>
            <w:r>
              <w:rPr>
                <w:color w:val="auto"/>
                <w:spacing w:val="-43"/>
                <w:highlight w:val="none"/>
                <w:lang w:eastAsia="zh-CN"/>
              </w:rPr>
              <w:t xml:space="preserve"> </w:t>
            </w:r>
            <w:r>
              <w:rPr>
                <w:color w:val="auto"/>
                <w:spacing w:val="-3"/>
                <w:highlight w:val="none"/>
                <w:lang w:eastAsia="zh-CN"/>
              </w:rPr>
              <w:t>月1日至</w:t>
            </w:r>
            <w:r>
              <w:rPr>
                <w:rFonts w:hint="eastAsia"/>
                <w:color w:val="auto"/>
                <w:spacing w:val="-3"/>
                <w:highlight w:val="none"/>
                <w:lang w:val="en-US" w:eastAsia="zh-CN"/>
              </w:rPr>
              <w:t>响应</w:t>
            </w:r>
            <w:r>
              <w:rPr>
                <w:color w:val="auto"/>
                <w:spacing w:val="-3"/>
                <w:highlight w:val="none"/>
                <w:lang w:eastAsia="zh-CN"/>
              </w:rPr>
              <w:t>文件递交截止时间前）具备类似项目</w:t>
            </w:r>
            <w:r>
              <w:rPr>
                <w:color w:val="auto"/>
                <w:spacing w:val="1"/>
                <w:highlight w:val="none"/>
                <w:lang w:eastAsia="zh-CN"/>
              </w:rPr>
              <w:t>业绩</w:t>
            </w:r>
            <w:r>
              <w:rPr>
                <w:rFonts w:hint="eastAsia"/>
                <w:color w:val="auto"/>
                <w:spacing w:val="1"/>
                <w:highlight w:val="none"/>
                <w:lang w:eastAsia="zh-CN"/>
              </w:rPr>
              <w:t>，</w:t>
            </w:r>
            <w:r>
              <w:rPr>
                <w:rFonts w:hint="eastAsia"/>
                <w:color w:val="auto"/>
                <w:spacing w:val="1"/>
                <w:highlight w:val="none"/>
                <w:lang w:val="en-US" w:eastAsia="zh-CN"/>
              </w:rPr>
              <w:t>每提供一份得2分，共10分</w:t>
            </w:r>
            <w:r>
              <w:rPr>
                <w:color w:val="auto"/>
                <w:highlight w:val="none"/>
                <w:lang w:eastAsia="zh-CN"/>
              </w:rPr>
              <w:t>。提供合同</w:t>
            </w:r>
            <w:r>
              <w:rPr>
                <w:rFonts w:hint="eastAsia"/>
                <w:color w:val="auto"/>
                <w:highlight w:val="none"/>
                <w:lang w:val="en-US" w:eastAsia="zh-CN"/>
              </w:rPr>
              <w:t>复印件和审核报告关键页复印件</w:t>
            </w:r>
            <w:r>
              <w:rPr>
                <w:color w:val="auto"/>
                <w:highlight w:val="none"/>
                <w:lang w:eastAsia="zh-CN"/>
              </w:rPr>
              <w:t>，业绩时间</w:t>
            </w:r>
            <w:r>
              <w:rPr>
                <w:color w:val="auto"/>
                <w:spacing w:val="-1"/>
                <w:highlight w:val="none"/>
                <w:lang w:eastAsia="zh-CN"/>
              </w:rPr>
              <w:t>以投标人加盖公章的合同签订日期为准。</w:t>
            </w:r>
          </w:p>
        </w:tc>
      </w:tr>
      <w:tr w14:paraId="0639F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jc w:val="center"/>
        </w:trPr>
        <w:tc>
          <w:tcPr>
            <w:tcW w:w="1087" w:type="dxa"/>
            <w:noWrap w:val="0"/>
            <w:vAlign w:val="center"/>
          </w:tcPr>
          <w:p w14:paraId="6C528537">
            <w:pPr>
              <w:pStyle w:val="57"/>
              <w:spacing w:before="78"/>
              <w:jc w:val="center"/>
              <w:rPr>
                <w:rFonts w:hint="default" w:eastAsia="宋体"/>
                <w:color w:val="auto"/>
                <w:spacing w:val="-3"/>
                <w:highlight w:val="none"/>
                <w:lang w:val="en-US" w:eastAsia="zh-CN"/>
              </w:rPr>
            </w:pPr>
            <w:r>
              <w:rPr>
                <w:rFonts w:hint="eastAsia"/>
                <w:color w:val="auto"/>
                <w:spacing w:val="-3"/>
                <w:highlight w:val="none"/>
                <w:lang w:eastAsia="zh-CN"/>
              </w:rPr>
              <w:t>（</w:t>
            </w:r>
            <w:r>
              <w:rPr>
                <w:rFonts w:hint="eastAsia"/>
                <w:color w:val="auto"/>
                <w:spacing w:val="-3"/>
                <w:highlight w:val="none"/>
                <w:lang w:val="en-US" w:eastAsia="zh-CN"/>
              </w:rPr>
              <w:t>2</w:t>
            </w:r>
            <w:r>
              <w:rPr>
                <w:rFonts w:hint="eastAsia"/>
                <w:color w:val="auto"/>
                <w:spacing w:val="-3"/>
                <w:highlight w:val="none"/>
                <w:lang w:eastAsia="zh-CN"/>
              </w:rPr>
              <w:t>）</w:t>
            </w:r>
            <w:r>
              <w:rPr>
                <w:rFonts w:hint="eastAsia"/>
                <w:color w:val="auto"/>
                <w:spacing w:val="-3"/>
                <w:highlight w:val="none"/>
                <w:lang w:val="en-US" w:eastAsia="zh-CN"/>
              </w:rPr>
              <w:t>技术指标（14分）</w:t>
            </w:r>
          </w:p>
        </w:tc>
        <w:tc>
          <w:tcPr>
            <w:tcW w:w="1328" w:type="dxa"/>
            <w:noWrap w:val="0"/>
            <w:vAlign w:val="center"/>
          </w:tcPr>
          <w:p w14:paraId="1E35829D">
            <w:pPr>
              <w:pStyle w:val="57"/>
              <w:spacing w:before="4"/>
              <w:jc w:val="center"/>
              <w:rPr>
                <w:rFonts w:hint="eastAsia"/>
                <w:color w:val="auto"/>
                <w:spacing w:val="-3"/>
                <w:highlight w:val="none"/>
                <w:lang w:val="en-US" w:eastAsia="zh-CN"/>
              </w:rPr>
            </w:pPr>
            <w:r>
              <w:rPr>
                <w:rFonts w:hint="eastAsia"/>
                <w:color w:val="auto"/>
                <w:spacing w:val="-3"/>
                <w:highlight w:val="none"/>
                <w:lang w:val="en-US" w:eastAsia="zh-CN"/>
              </w:rPr>
              <w:t>技术指标</w:t>
            </w:r>
          </w:p>
          <w:p w14:paraId="7FE4F7CD">
            <w:pPr>
              <w:pStyle w:val="57"/>
              <w:spacing w:before="4"/>
              <w:jc w:val="center"/>
              <w:rPr>
                <w:rFonts w:hint="eastAsia" w:eastAsia="宋体"/>
                <w:color w:val="auto"/>
                <w:spacing w:val="-3"/>
                <w:highlight w:val="none"/>
                <w:lang w:val="en-US" w:eastAsia="zh-CN"/>
              </w:rPr>
            </w:pPr>
            <w:r>
              <w:rPr>
                <w:rFonts w:hint="eastAsia"/>
                <w:color w:val="auto"/>
                <w:spacing w:val="-3"/>
                <w:highlight w:val="none"/>
                <w:lang w:val="en-US" w:eastAsia="zh-CN"/>
              </w:rPr>
              <w:t>（14分）</w:t>
            </w:r>
          </w:p>
        </w:tc>
        <w:tc>
          <w:tcPr>
            <w:tcW w:w="6319" w:type="dxa"/>
            <w:noWrap w:val="0"/>
            <w:vAlign w:val="center"/>
          </w:tcPr>
          <w:p w14:paraId="770DF969">
            <w:pPr>
              <w:pStyle w:val="57"/>
              <w:spacing w:before="4" w:line="440" w:lineRule="exact"/>
              <w:rPr>
                <w:color w:val="auto"/>
                <w:spacing w:val="-10"/>
                <w:highlight w:val="none"/>
                <w:lang w:eastAsia="zh-CN"/>
              </w:rPr>
            </w:pPr>
            <w:r>
              <w:rPr>
                <w:rFonts w:hint="eastAsia"/>
                <w:color w:val="auto"/>
                <w:spacing w:val="-10"/>
                <w:highlight w:val="none"/>
                <w:lang w:eastAsia="zh-CN"/>
              </w:rPr>
              <w:t>根据对采购文件参数响应情况进行打分，经评审专家审定得分。（</w:t>
            </w:r>
            <w:r>
              <w:rPr>
                <w:rFonts w:hint="eastAsia"/>
                <w:color w:val="auto"/>
                <w:spacing w:val="-10"/>
                <w:highlight w:val="none"/>
                <w:lang w:val="en-US" w:eastAsia="zh-CN"/>
              </w:rPr>
              <w:t>14</w:t>
            </w:r>
            <w:r>
              <w:rPr>
                <w:rFonts w:hint="eastAsia"/>
                <w:color w:val="auto"/>
                <w:spacing w:val="-10"/>
                <w:highlight w:val="none"/>
                <w:lang w:eastAsia="zh-CN"/>
              </w:rPr>
              <w:t>分）：未带标识参数完全符合、响应采购文件要求，没有负偏离计</w:t>
            </w:r>
            <w:r>
              <w:rPr>
                <w:rFonts w:hint="eastAsia"/>
                <w:color w:val="auto"/>
                <w:spacing w:val="-10"/>
                <w:highlight w:val="none"/>
                <w:lang w:val="en-US" w:eastAsia="zh-CN"/>
              </w:rPr>
              <w:t>14</w:t>
            </w:r>
            <w:r>
              <w:rPr>
                <w:rFonts w:hint="eastAsia"/>
                <w:color w:val="auto"/>
                <w:spacing w:val="-10"/>
                <w:highlight w:val="none"/>
                <w:lang w:eastAsia="zh-CN"/>
              </w:rPr>
              <w:t>分，未标识参数每负偏离一项扣</w:t>
            </w:r>
            <w:r>
              <w:rPr>
                <w:rFonts w:hint="eastAsia"/>
                <w:color w:val="auto"/>
                <w:spacing w:val="-10"/>
                <w:highlight w:val="none"/>
                <w:lang w:val="en-US" w:eastAsia="zh-CN"/>
              </w:rPr>
              <w:t>1</w:t>
            </w:r>
            <w:r>
              <w:rPr>
                <w:rFonts w:hint="eastAsia"/>
                <w:color w:val="auto"/>
                <w:spacing w:val="-10"/>
                <w:highlight w:val="none"/>
                <w:lang w:eastAsia="zh-CN"/>
              </w:rPr>
              <w:t>分，扣完为止。</w:t>
            </w:r>
          </w:p>
        </w:tc>
      </w:tr>
      <w:tr w14:paraId="35D2B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1" w:hRule="atLeast"/>
          <w:jc w:val="center"/>
        </w:trPr>
        <w:tc>
          <w:tcPr>
            <w:tcW w:w="1087" w:type="dxa"/>
            <w:vMerge w:val="restart"/>
            <w:noWrap w:val="0"/>
            <w:vAlign w:val="center"/>
          </w:tcPr>
          <w:p w14:paraId="46ACDC7C">
            <w:pPr>
              <w:pStyle w:val="57"/>
              <w:spacing w:before="78"/>
              <w:jc w:val="center"/>
              <w:rPr>
                <w:rFonts w:hint="eastAsia"/>
                <w:color w:val="auto"/>
                <w:spacing w:val="-3"/>
                <w:highlight w:val="none"/>
              </w:rPr>
            </w:pPr>
            <w:r>
              <w:rPr>
                <w:color w:val="auto"/>
                <w:spacing w:val="-7"/>
                <w:highlight w:val="none"/>
              </w:rPr>
              <w:t>（</w:t>
            </w:r>
            <w:r>
              <w:rPr>
                <w:rFonts w:hint="eastAsia"/>
                <w:color w:val="auto"/>
                <w:spacing w:val="-7"/>
                <w:highlight w:val="none"/>
                <w:lang w:val="en-US" w:eastAsia="zh-CN"/>
              </w:rPr>
              <w:t>3</w:t>
            </w:r>
            <w:r>
              <w:rPr>
                <w:color w:val="auto"/>
                <w:spacing w:val="-7"/>
                <w:highlight w:val="none"/>
              </w:rPr>
              <w:t>）</w:t>
            </w:r>
            <w:r>
              <w:rPr>
                <w:color w:val="auto"/>
                <w:spacing w:val="-3"/>
                <w:highlight w:val="none"/>
              </w:rPr>
              <w:t>服务方案</w:t>
            </w:r>
          </w:p>
          <w:p w14:paraId="53B5CADA">
            <w:pPr>
              <w:pStyle w:val="57"/>
              <w:spacing w:before="78"/>
              <w:jc w:val="center"/>
              <w:rPr>
                <w:rFonts w:hint="eastAsia"/>
                <w:color w:val="auto"/>
                <w:spacing w:val="-3"/>
                <w:highlight w:val="none"/>
              </w:rPr>
            </w:pPr>
            <w:r>
              <w:rPr>
                <w:color w:val="auto"/>
                <w:spacing w:val="-11"/>
                <w:highlight w:val="none"/>
              </w:rPr>
              <w:t>（</w:t>
            </w:r>
            <w:r>
              <w:rPr>
                <w:rFonts w:hint="eastAsia"/>
                <w:color w:val="auto"/>
                <w:spacing w:val="-11"/>
                <w:highlight w:val="none"/>
                <w:lang w:val="en-US" w:eastAsia="zh-CN"/>
              </w:rPr>
              <w:t>35</w:t>
            </w:r>
            <w:r>
              <w:rPr>
                <w:color w:val="auto"/>
                <w:spacing w:val="-48"/>
                <w:highlight w:val="none"/>
              </w:rPr>
              <w:t xml:space="preserve"> </w:t>
            </w:r>
            <w:r>
              <w:rPr>
                <w:color w:val="auto"/>
                <w:spacing w:val="-11"/>
                <w:highlight w:val="none"/>
              </w:rPr>
              <w:t>分）</w:t>
            </w:r>
          </w:p>
        </w:tc>
        <w:tc>
          <w:tcPr>
            <w:tcW w:w="1328" w:type="dxa"/>
            <w:noWrap w:val="0"/>
            <w:vAlign w:val="center"/>
          </w:tcPr>
          <w:p w14:paraId="73A5979E">
            <w:pPr>
              <w:pStyle w:val="57"/>
              <w:spacing w:before="4"/>
              <w:jc w:val="center"/>
              <w:rPr>
                <w:rFonts w:hint="eastAsia"/>
                <w:color w:val="auto"/>
                <w:spacing w:val="19"/>
                <w:highlight w:val="none"/>
              </w:rPr>
            </w:pPr>
            <w:r>
              <w:rPr>
                <w:color w:val="auto"/>
                <w:spacing w:val="19"/>
                <w:highlight w:val="none"/>
              </w:rPr>
              <w:t>工作实施</w:t>
            </w:r>
          </w:p>
          <w:p w14:paraId="2C103390">
            <w:pPr>
              <w:pStyle w:val="57"/>
              <w:spacing w:before="4"/>
              <w:jc w:val="center"/>
              <w:rPr>
                <w:rFonts w:hint="eastAsia"/>
                <w:color w:val="auto"/>
                <w:spacing w:val="19"/>
                <w:highlight w:val="none"/>
              </w:rPr>
            </w:pPr>
            <w:r>
              <w:rPr>
                <w:color w:val="auto"/>
                <w:spacing w:val="19"/>
                <w:highlight w:val="none"/>
              </w:rPr>
              <w:t>方案</w:t>
            </w:r>
          </w:p>
          <w:p w14:paraId="67AAC6CB">
            <w:pPr>
              <w:pStyle w:val="57"/>
              <w:spacing w:before="4"/>
              <w:jc w:val="center"/>
              <w:rPr>
                <w:rFonts w:hint="eastAsia"/>
                <w:color w:val="auto"/>
                <w:spacing w:val="3"/>
                <w:highlight w:val="none"/>
              </w:rPr>
            </w:pPr>
            <w:r>
              <w:rPr>
                <w:color w:val="auto"/>
                <w:spacing w:val="-7"/>
                <w:highlight w:val="none"/>
              </w:rPr>
              <w:t>（</w:t>
            </w:r>
            <w:r>
              <w:rPr>
                <w:rFonts w:hint="eastAsia"/>
                <w:color w:val="auto"/>
                <w:spacing w:val="-7"/>
                <w:highlight w:val="none"/>
                <w:lang w:val="en-US" w:eastAsia="zh-CN"/>
              </w:rPr>
              <w:t>5</w:t>
            </w:r>
            <w:r>
              <w:rPr>
                <w:color w:val="auto"/>
                <w:spacing w:val="-7"/>
                <w:highlight w:val="none"/>
              </w:rPr>
              <w:t>分）</w:t>
            </w:r>
          </w:p>
        </w:tc>
        <w:tc>
          <w:tcPr>
            <w:tcW w:w="6319" w:type="dxa"/>
            <w:noWrap w:val="0"/>
            <w:vAlign w:val="center"/>
          </w:tcPr>
          <w:p w14:paraId="584D257E">
            <w:pPr>
              <w:pStyle w:val="57"/>
              <w:spacing w:before="4" w:line="440" w:lineRule="exact"/>
              <w:rPr>
                <w:rFonts w:hint="eastAsia"/>
                <w:color w:val="auto"/>
                <w:spacing w:val="-10"/>
                <w:highlight w:val="none"/>
              </w:rPr>
            </w:pPr>
            <w:r>
              <w:rPr>
                <w:rFonts w:hint="eastAsia"/>
                <w:color w:val="auto"/>
                <w:spacing w:val="3"/>
                <w:highlight w:val="none"/>
                <w:lang w:val="en-US" w:eastAsia="zh-CN"/>
              </w:rPr>
              <w:t>供应商提供工作实施方案，包括但不限于①</w:t>
            </w:r>
            <w:r>
              <w:rPr>
                <w:color w:val="auto"/>
                <w:spacing w:val="3"/>
                <w:highlight w:val="none"/>
                <w:lang w:eastAsia="zh-CN"/>
              </w:rPr>
              <w:t>对</w:t>
            </w:r>
            <w:r>
              <w:rPr>
                <w:rFonts w:hint="eastAsia"/>
                <w:color w:val="auto"/>
                <w:spacing w:val="3"/>
                <w:highlight w:val="none"/>
                <w:lang w:val="en-US" w:eastAsia="zh-CN"/>
              </w:rPr>
              <w:t>本项目</w:t>
            </w:r>
            <w:r>
              <w:rPr>
                <w:color w:val="auto"/>
                <w:spacing w:val="3"/>
                <w:highlight w:val="none"/>
                <w:lang w:eastAsia="zh-CN"/>
              </w:rPr>
              <w:t>服务范围</w:t>
            </w:r>
            <w:r>
              <w:rPr>
                <w:rFonts w:hint="eastAsia"/>
                <w:color w:val="auto"/>
                <w:spacing w:val="3"/>
                <w:highlight w:val="none"/>
                <w:lang w:val="en-US" w:eastAsia="zh-CN"/>
              </w:rPr>
              <w:t>的了解及对需求的理解分析</w:t>
            </w:r>
            <w:r>
              <w:rPr>
                <w:rFonts w:hint="eastAsia"/>
                <w:color w:val="auto"/>
                <w:spacing w:val="3"/>
                <w:highlight w:val="none"/>
                <w:lang w:eastAsia="zh-CN"/>
              </w:rPr>
              <w:t>；</w:t>
            </w:r>
            <w:r>
              <w:rPr>
                <w:rFonts w:hint="eastAsia"/>
                <w:color w:val="auto"/>
                <w:spacing w:val="3"/>
                <w:highlight w:val="none"/>
                <w:lang w:val="en-US" w:eastAsia="zh-CN"/>
              </w:rPr>
              <w:t>②</w:t>
            </w:r>
            <w:r>
              <w:rPr>
                <w:color w:val="auto"/>
                <w:spacing w:val="3"/>
                <w:highlight w:val="none"/>
                <w:lang w:eastAsia="zh-CN"/>
              </w:rPr>
              <w:t>工作</w:t>
            </w:r>
            <w:r>
              <w:rPr>
                <w:rFonts w:hint="eastAsia"/>
                <w:color w:val="auto"/>
                <w:spacing w:val="3"/>
                <w:highlight w:val="none"/>
                <w:lang w:val="en-US" w:eastAsia="zh-CN"/>
              </w:rPr>
              <w:t>总体</w:t>
            </w:r>
            <w:r>
              <w:rPr>
                <w:color w:val="auto"/>
                <w:spacing w:val="3"/>
                <w:highlight w:val="none"/>
                <w:lang w:eastAsia="zh-CN"/>
              </w:rPr>
              <w:t>实施方案</w:t>
            </w:r>
            <w:r>
              <w:rPr>
                <w:rFonts w:hint="eastAsia"/>
                <w:color w:val="auto"/>
                <w:spacing w:val="3"/>
                <w:highlight w:val="none"/>
                <w:lang w:eastAsia="zh-CN"/>
              </w:rPr>
              <w:t>；</w:t>
            </w:r>
            <w:r>
              <w:rPr>
                <w:rFonts w:hint="eastAsia"/>
                <w:color w:val="auto"/>
                <w:spacing w:val="3"/>
                <w:highlight w:val="none"/>
                <w:lang w:val="en-US" w:eastAsia="zh-CN"/>
              </w:rPr>
              <w:t>③</w:t>
            </w:r>
            <w:r>
              <w:rPr>
                <w:color w:val="auto"/>
                <w:spacing w:val="3"/>
                <w:highlight w:val="none"/>
                <w:lang w:eastAsia="zh-CN"/>
              </w:rPr>
              <w:t>审计程序</w:t>
            </w:r>
            <w:r>
              <w:rPr>
                <w:rFonts w:hint="eastAsia"/>
                <w:color w:val="auto"/>
                <w:spacing w:val="3"/>
                <w:highlight w:val="none"/>
                <w:lang w:val="en-US" w:eastAsia="zh-CN"/>
              </w:rPr>
              <w:t>及</w:t>
            </w:r>
            <w:r>
              <w:rPr>
                <w:color w:val="auto"/>
                <w:spacing w:val="3"/>
                <w:highlight w:val="none"/>
                <w:lang w:eastAsia="zh-CN"/>
              </w:rPr>
              <w:t>审</w:t>
            </w:r>
            <w:r>
              <w:rPr>
                <w:color w:val="auto"/>
                <w:spacing w:val="-3"/>
                <w:highlight w:val="none"/>
                <w:lang w:eastAsia="zh-CN"/>
              </w:rPr>
              <w:t>计方法</w:t>
            </w:r>
            <w:r>
              <w:rPr>
                <w:rFonts w:hint="eastAsia"/>
                <w:color w:val="auto"/>
                <w:spacing w:val="-3"/>
                <w:highlight w:val="none"/>
                <w:lang w:val="en-US" w:eastAsia="zh-CN"/>
              </w:rPr>
              <w:t>；④项目</w:t>
            </w:r>
            <w:r>
              <w:rPr>
                <w:color w:val="auto"/>
                <w:spacing w:val="-3"/>
                <w:highlight w:val="none"/>
                <w:lang w:eastAsia="zh-CN"/>
              </w:rPr>
              <w:t>组织计划</w:t>
            </w:r>
            <w:r>
              <w:rPr>
                <w:rFonts w:hint="eastAsia"/>
                <w:color w:val="auto"/>
                <w:spacing w:val="-3"/>
                <w:highlight w:val="none"/>
                <w:lang w:eastAsia="zh-CN"/>
              </w:rPr>
              <w:t>；</w:t>
            </w:r>
            <w:r>
              <w:rPr>
                <w:rFonts w:hint="eastAsia"/>
                <w:color w:val="auto"/>
                <w:spacing w:val="-3"/>
                <w:highlight w:val="none"/>
                <w:lang w:val="en-US" w:eastAsia="zh-CN"/>
              </w:rPr>
              <w:t>⑤针对本项目的合理化建议等</w:t>
            </w:r>
            <w:r>
              <w:rPr>
                <w:rFonts w:hint="eastAsia"/>
                <w:color w:val="auto"/>
                <w:spacing w:val="-3"/>
                <w:highlight w:val="none"/>
                <w:lang w:eastAsia="zh-CN"/>
              </w:rPr>
              <w:t>。</w:t>
            </w:r>
            <w:r>
              <w:rPr>
                <w:rFonts w:hint="eastAsia"/>
                <w:color w:val="auto"/>
                <w:spacing w:val="3"/>
                <w:highlight w:val="none"/>
                <w:lang w:val="en-US" w:eastAsia="zh-CN"/>
              </w:rPr>
              <w:t>满分5分</w:t>
            </w:r>
            <w:r>
              <w:rPr>
                <w:rFonts w:hint="eastAsia"/>
                <w:color w:val="auto"/>
                <w:spacing w:val="-3"/>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F7D0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2" w:hRule="atLeast"/>
          <w:jc w:val="center"/>
        </w:trPr>
        <w:tc>
          <w:tcPr>
            <w:tcW w:w="1087" w:type="dxa"/>
            <w:vMerge w:val="continue"/>
            <w:noWrap w:val="0"/>
            <w:vAlign w:val="center"/>
          </w:tcPr>
          <w:p w14:paraId="1DDAAD5D">
            <w:pPr>
              <w:pStyle w:val="57"/>
              <w:spacing w:before="78"/>
              <w:jc w:val="center"/>
              <w:rPr>
                <w:rFonts w:hint="eastAsia"/>
                <w:color w:val="auto"/>
                <w:spacing w:val="-11"/>
                <w:highlight w:val="none"/>
              </w:rPr>
            </w:pPr>
          </w:p>
        </w:tc>
        <w:tc>
          <w:tcPr>
            <w:tcW w:w="1328" w:type="dxa"/>
            <w:noWrap w:val="0"/>
            <w:vAlign w:val="center"/>
          </w:tcPr>
          <w:p w14:paraId="359D7D5E">
            <w:pPr>
              <w:pStyle w:val="57"/>
              <w:spacing w:before="4"/>
              <w:jc w:val="center"/>
              <w:rPr>
                <w:rFonts w:hint="eastAsia"/>
                <w:color w:val="auto"/>
                <w:spacing w:val="-13"/>
                <w:highlight w:val="none"/>
                <w:lang w:eastAsia="zh-CN"/>
              </w:rPr>
            </w:pPr>
            <w:r>
              <w:rPr>
                <w:color w:val="auto"/>
                <w:spacing w:val="19"/>
                <w:highlight w:val="none"/>
                <w:lang w:eastAsia="zh-CN"/>
              </w:rPr>
              <w:t>质量保证措施</w:t>
            </w:r>
            <w:r>
              <w:rPr>
                <w:color w:val="auto"/>
                <w:spacing w:val="-13"/>
                <w:highlight w:val="none"/>
                <w:lang w:eastAsia="zh-CN"/>
              </w:rPr>
              <w:t>及承诺</w:t>
            </w:r>
          </w:p>
          <w:p w14:paraId="3A1EC210">
            <w:pPr>
              <w:pStyle w:val="57"/>
              <w:spacing w:before="4"/>
              <w:jc w:val="center"/>
              <w:rPr>
                <w:rFonts w:hint="eastAsia"/>
                <w:color w:val="auto"/>
                <w:spacing w:val="19"/>
                <w:highlight w:val="none"/>
                <w:lang w:eastAsia="zh-CN"/>
              </w:rPr>
            </w:pPr>
            <w:r>
              <w:rPr>
                <w:color w:val="auto"/>
                <w:spacing w:val="-13"/>
                <w:highlight w:val="none"/>
                <w:lang w:eastAsia="zh-CN"/>
              </w:rPr>
              <w:t>（</w:t>
            </w:r>
            <w:r>
              <w:rPr>
                <w:rFonts w:hint="eastAsia"/>
                <w:color w:val="auto"/>
                <w:spacing w:val="-13"/>
                <w:highlight w:val="none"/>
                <w:lang w:val="en-US" w:eastAsia="zh-CN"/>
              </w:rPr>
              <w:t>5</w:t>
            </w:r>
            <w:r>
              <w:rPr>
                <w:color w:val="auto"/>
                <w:spacing w:val="-42"/>
                <w:highlight w:val="none"/>
                <w:lang w:eastAsia="zh-CN"/>
              </w:rPr>
              <w:t xml:space="preserve"> </w:t>
            </w:r>
            <w:r>
              <w:rPr>
                <w:color w:val="auto"/>
                <w:spacing w:val="-13"/>
                <w:highlight w:val="none"/>
                <w:lang w:eastAsia="zh-CN"/>
              </w:rPr>
              <w:t>分）</w:t>
            </w:r>
          </w:p>
        </w:tc>
        <w:tc>
          <w:tcPr>
            <w:tcW w:w="6319" w:type="dxa"/>
            <w:noWrap w:val="0"/>
            <w:vAlign w:val="center"/>
          </w:tcPr>
          <w:p w14:paraId="4B5E801F">
            <w:pPr>
              <w:pStyle w:val="57"/>
              <w:spacing w:before="4" w:line="440" w:lineRule="exact"/>
              <w:rPr>
                <w:rFonts w:hint="eastAsia"/>
                <w:color w:val="auto"/>
                <w:spacing w:val="3"/>
                <w:highlight w:val="none"/>
              </w:rPr>
            </w:pPr>
            <w:r>
              <w:rPr>
                <w:rFonts w:hint="eastAsia"/>
                <w:color w:val="auto"/>
                <w:spacing w:val="3"/>
                <w:highlight w:val="none"/>
                <w:lang w:val="en-US" w:eastAsia="zh-CN"/>
              </w:rPr>
              <w:t>供应商提供</w:t>
            </w:r>
            <w:r>
              <w:rPr>
                <w:color w:val="auto"/>
                <w:spacing w:val="19"/>
                <w:highlight w:val="none"/>
                <w:lang w:eastAsia="zh-CN"/>
              </w:rPr>
              <w:t>质量保证措施</w:t>
            </w:r>
            <w:r>
              <w:rPr>
                <w:color w:val="auto"/>
                <w:spacing w:val="-13"/>
                <w:highlight w:val="none"/>
                <w:lang w:eastAsia="zh-CN"/>
              </w:rPr>
              <w:t>及承诺</w:t>
            </w:r>
            <w:r>
              <w:rPr>
                <w:rFonts w:hint="eastAsia"/>
                <w:color w:val="auto"/>
                <w:spacing w:val="3"/>
                <w:highlight w:val="none"/>
                <w:lang w:val="en-US" w:eastAsia="zh-CN"/>
              </w:rPr>
              <w:t>，包括但不限于：①</w:t>
            </w:r>
            <w:r>
              <w:rPr>
                <w:color w:val="auto"/>
                <w:spacing w:val="3"/>
                <w:highlight w:val="none"/>
                <w:lang w:eastAsia="zh-CN"/>
              </w:rPr>
              <w:t>根据全过程跟踪审计业务服务周期、服务计划及后续服务的周到性等提供详细完善的质量保证措施及承诺</w:t>
            </w:r>
            <w:r>
              <w:rPr>
                <w:rFonts w:hint="eastAsia"/>
                <w:color w:val="auto"/>
                <w:spacing w:val="3"/>
                <w:highlight w:val="none"/>
                <w:lang w:eastAsia="zh-CN"/>
              </w:rPr>
              <w:t>；</w:t>
            </w:r>
            <w:r>
              <w:rPr>
                <w:rFonts w:hint="eastAsia"/>
                <w:color w:val="auto"/>
                <w:spacing w:val="3"/>
                <w:highlight w:val="none"/>
                <w:lang w:val="en-US" w:eastAsia="zh-CN"/>
              </w:rPr>
              <w:t>②</w:t>
            </w:r>
            <w:r>
              <w:rPr>
                <w:color w:val="auto"/>
                <w:spacing w:val="3"/>
                <w:highlight w:val="none"/>
                <w:lang w:eastAsia="zh-CN"/>
              </w:rPr>
              <w:t>对审计质量、工作底稿准确规范性与成果文件一致性情况作出实质性承诺（应包含不能完全履行承诺时愿意接</w:t>
            </w:r>
            <w:r>
              <w:rPr>
                <w:color w:val="auto"/>
                <w:spacing w:val="2"/>
                <w:highlight w:val="none"/>
                <w:lang w:eastAsia="zh-CN"/>
              </w:rPr>
              <w:t>受相关处罚的承诺</w:t>
            </w:r>
            <w:r>
              <w:rPr>
                <w:color w:val="auto"/>
                <w:spacing w:val="17"/>
                <w:highlight w:val="none"/>
                <w:lang w:eastAsia="zh-CN"/>
              </w:rPr>
              <w:t>）</w:t>
            </w:r>
            <w:r>
              <w:rPr>
                <w:rFonts w:hint="eastAsia"/>
                <w:color w:val="auto"/>
                <w:spacing w:val="17"/>
                <w:highlight w:val="none"/>
                <w:lang w:eastAsia="zh-CN"/>
              </w:rPr>
              <w:t>；</w:t>
            </w:r>
            <w:r>
              <w:rPr>
                <w:rFonts w:hint="eastAsia"/>
                <w:color w:val="auto"/>
                <w:spacing w:val="17"/>
                <w:highlight w:val="none"/>
                <w:lang w:val="en-US" w:eastAsia="zh-CN"/>
              </w:rPr>
              <w:t>③供应商提供对本项目全过程（包括</w:t>
            </w:r>
            <w:r>
              <w:rPr>
                <w:color w:val="auto"/>
                <w:spacing w:val="2"/>
                <w:highlight w:val="none"/>
                <w:lang w:eastAsia="zh-CN"/>
              </w:rPr>
              <w:t>出具正式成果</w:t>
            </w:r>
            <w:r>
              <w:rPr>
                <w:color w:val="auto"/>
                <w:spacing w:val="3"/>
                <w:highlight w:val="none"/>
                <w:lang w:eastAsia="zh-CN"/>
              </w:rPr>
              <w:t>前的抽查及复审、相关职能部门后期对本项目进行二次审计</w:t>
            </w:r>
            <w:r>
              <w:rPr>
                <w:rFonts w:hint="eastAsia"/>
                <w:color w:val="auto"/>
                <w:spacing w:val="3"/>
                <w:highlight w:val="none"/>
                <w:lang w:val="en-US" w:eastAsia="zh-CN"/>
              </w:rPr>
              <w:t>等</w:t>
            </w:r>
            <w:r>
              <w:rPr>
                <w:rFonts w:hint="eastAsia"/>
                <w:color w:val="auto"/>
                <w:spacing w:val="17"/>
                <w:highlight w:val="none"/>
                <w:lang w:val="en-US" w:eastAsia="zh-CN"/>
              </w:rPr>
              <w:t>）无条件配合采购人及承担相应质量责任的方案及承诺；④前期图纸与清单质量控制措施；⑤施工过程中造价质量管控措施、竣工结算质量保证措施</w:t>
            </w:r>
            <w:r>
              <w:rPr>
                <w:color w:val="auto"/>
                <w:spacing w:val="3"/>
                <w:highlight w:val="none"/>
                <w:lang w:eastAsia="zh-CN"/>
              </w:rPr>
              <w:t>。</w:t>
            </w:r>
            <w:r>
              <w:rPr>
                <w:rFonts w:hint="eastAsia"/>
                <w:color w:val="auto"/>
                <w:spacing w:val="3"/>
                <w:highlight w:val="none"/>
                <w:lang w:val="en-US" w:eastAsia="zh-CN"/>
              </w:rPr>
              <w:t>满分5分</w:t>
            </w:r>
            <w:r>
              <w:rPr>
                <w:rFonts w:hint="eastAsia"/>
                <w:color w:val="auto"/>
                <w:spacing w:val="-3"/>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C757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6" w:hRule="atLeast"/>
          <w:jc w:val="center"/>
        </w:trPr>
        <w:tc>
          <w:tcPr>
            <w:tcW w:w="1087" w:type="dxa"/>
            <w:vMerge w:val="continue"/>
            <w:noWrap w:val="0"/>
            <w:vAlign w:val="center"/>
          </w:tcPr>
          <w:p w14:paraId="12A36222">
            <w:pPr>
              <w:pStyle w:val="57"/>
              <w:spacing w:before="78"/>
              <w:jc w:val="center"/>
              <w:rPr>
                <w:rFonts w:hint="eastAsia"/>
                <w:color w:val="auto"/>
                <w:spacing w:val="-11"/>
                <w:highlight w:val="none"/>
              </w:rPr>
            </w:pPr>
          </w:p>
        </w:tc>
        <w:tc>
          <w:tcPr>
            <w:tcW w:w="1328" w:type="dxa"/>
            <w:noWrap w:val="0"/>
            <w:vAlign w:val="center"/>
          </w:tcPr>
          <w:p w14:paraId="37C12C16">
            <w:pPr>
              <w:pStyle w:val="57"/>
              <w:spacing w:before="4"/>
              <w:jc w:val="center"/>
              <w:rPr>
                <w:rFonts w:hint="eastAsia"/>
                <w:color w:val="auto"/>
                <w:spacing w:val="-13"/>
                <w:highlight w:val="none"/>
                <w:lang w:eastAsia="zh-CN"/>
              </w:rPr>
            </w:pPr>
            <w:r>
              <w:rPr>
                <w:color w:val="auto"/>
                <w:spacing w:val="19"/>
                <w:highlight w:val="none"/>
                <w:lang w:eastAsia="zh-CN"/>
              </w:rPr>
              <w:t>进度保证措施</w:t>
            </w:r>
            <w:r>
              <w:rPr>
                <w:color w:val="auto"/>
                <w:spacing w:val="-13"/>
                <w:highlight w:val="none"/>
                <w:lang w:eastAsia="zh-CN"/>
              </w:rPr>
              <w:t>及承诺</w:t>
            </w:r>
          </w:p>
          <w:p w14:paraId="5653168E">
            <w:pPr>
              <w:pStyle w:val="57"/>
              <w:spacing w:before="4"/>
              <w:jc w:val="center"/>
              <w:rPr>
                <w:rFonts w:hint="eastAsia"/>
                <w:color w:val="auto"/>
                <w:spacing w:val="19"/>
                <w:highlight w:val="none"/>
                <w:lang w:eastAsia="zh-CN"/>
              </w:rPr>
            </w:pPr>
            <w:r>
              <w:rPr>
                <w:color w:val="auto"/>
                <w:spacing w:val="-13"/>
                <w:highlight w:val="none"/>
                <w:lang w:eastAsia="zh-CN"/>
              </w:rPr>
              <w:t>（</w:t>
            </w:r>
            <w:r>
              <w:rPr>
                <w:rFonts w:hint="eastAsia"/>
                <w:color w:val="auto"/>
                <w:spacing w:val="-13"/>
                <w:highlight w:val="none"/>
                <w:lang w:val="en-US" w:eastAsia="zh-CN"/>
              </w:rPr>
              <w:t>5</w:t>
            </w:r>
            <w:r>
              <w:rPr>
                <w:color w:val="auto"/>
                <w:spacing w:val="-42"/>
                <w:highlight w:val="none"/>
                <w:lang w:eastAsia="zh-CN"/>
              </w:rPr>
              <w:t xml:space="preserve"> </w:t>
            </w:r>
            <w:r>
              <w:rPr>
                <w:color w:val="auto"/>
                <w:spacing w:val="-13"/>
                <w:highlight w:val="none"/>
                <w:lang w:eastAsia="zh-CN"/>
              </w:rPr>
              <w:t>分）</w:t>
            </w:r>
          </w:p>
        </w:tc>
        <w:tc>
          <w:tcPr>
            <w:tcW w:w="6319" w:type="dxa"/>
            <w:noWrap w:val="0"/>
            <w:vAlign w:val="center"/>
          </w:tcPr>
          <w:p w14:paraId="20067D92">
            <w:pPr>
              <w:pStyle w:val="57"/>
              <w:spacing w:before="4" w:line="440" w:lineRule="exact"/>
              <w:rPr>
                <w:rFonts w:hint="eastAsia"/>
                <w:color w:val="auto"/>
                <w:spacing w:val="3"/>
                <w:highlight w:val="none"/>
              </w:rPr>
            </w:pPr>
            <w:r>
              <w:rPr>
                <w:rFonts w:hint="eastAsia"/>
                <w:color w:val="auto"/>
                <w:spacing w:val="3"/>
                <w:highlight w:val="none"/>
                <w:lang w:val="en-US" w:eastAsia="zh-CN"/>
              </w:rPr>
              <w:t>供应商提供</w:t>
            </w:r>
            <w:r>
              <w:rPr>
                <w:color w:val="auto"/>
                <w:spacing w:val="19"/>
                <w:highlight w:val="none"/>
                <w:lang w:eastAsia="zh-CN"/>
              </w:rPr>
              <w:t>进度保证措施</w:t>
            </w:r>
            <w:r>
              <w:rPr>
                <w:color w:val="auto"/>
                <w:spacing w:val="-13"/>
                <w:highlight w:val="none"/>
                <w:lang w:eastAsia="zh-CN"/>
              </w:rPr>
              <w:t>及承诺</w:t>
            </w:r>
            <w:r>
              <w:rPr>
                <w:rFonts w:hint="eastAsia"/>
                <w:color w:val="auto"/>
                <w:spacing w:val="3"/>
                <w:highlight w:val="none"/>
                <w:lang w:val="en-US" w:eastAsia="zh-CN"/>
              </w:rPr>
              <w:t>，包括但不限于：①</w:t>
            </w:r>
            <w:r>
              <w:rPr>
                <w:color w:val="auto"/>
                <w:spacing w:val="3"/>
                <w:highlight w:val="none"/>
                <w:lang w:eastAsia="zh-CN"/>
              </w:rPr>
              <w:t>对审计服务</w:t>
            </w:r>
            <w:r>
              <w:rPr>
                <w:rFonts w:hint="eastAsia"/>
                <w:color w:val="auto"/>
                <w:spacing w:val="3"/>
                <w:highlight w:val="none"/>
                <w:lang w:val="en-US" w:eastAsia="zh-CN"/>
              </w:rPr>
              <w:t>时</w:t>
            </w:r>
            <w:r>
              <w:rPr>
                <w:color w:val="auto"/>
                <w:spacing w:val="3"/>
                <w:highlight w:val="none"/>
                <w:lang w:eastAsia="zh-CN"/>
              </w:rPr>
              <w:t>限</w:t>
            </w:r>
            <w:r>
              <w:rPr>
                <w:rFonts w:hint="eastAsia"/>
                <w:color w:val="auto"/>
                <w:spacing w:val="3"/>
                <w:highlight w:val="none"/>
                <w:lang w:val="en-US" w:eastAsia="zh-CN"/>
              </w:rPr>
              <w:t>性要求的把控；②项目整体</w:t>
            </w:r>
            <w:r>
              <w:rPr>
                <w:color w:val="auto"/>
                <w:spacing w:val="3"/>
                <w:highlight w:val="none"/>
                <w:lang w:eastAsia="zh-CN"/>
              </w:rPr>
              <w:t>进度把控</w:t>
            </w:r>
            <w:r>
              <w:rPr>
                <w:rFonts w:hint="eastAsia"/>
                <w:color w:val="auto"/>
                <w:spacing w:val="3"/>
                <w:highlight w:val="none"/>
                <w:lang w:eastAsia="zh-CN"/>
              </w:rPr>
              <w:t>；</w:t>
            </w:r>
            <w:r>
              <w:rPr>
                <w:rFonts w:hint="eastAsia"/>
                <w:color w:val="auto"/>
                <w:spacing w:val="3"/>
                <w:highlight w:val="none"/>
                <w:lang w:val="en-US" w:eastAsia="zh-CN"/>
              </w:rPr>
              <w:t>③</w:t>
            </w:r>
            <w:r>
              <w:rPr>
                <w:color w:val="auto"/>
                <w:spacing w:val="3"/>
                <w:highlight w:val="none"/>
                <w:lang w:eastAsia="zh-CN"/>
              </w:rPr>
              <w:t>驻场人员到岗履职</w:t>
            </w:r>
            <w:r>
              <w:rPr>
                <w:rFonts w:hint="eastAsia"/>
                <w:color w:val="auto"/>
                <w:spacing w:val="3"/>
                <w:highlight w:val="none"/>
                <w:lang w:val="en-US" w:eastAsia="zh-CN"/>
              </w:rPr>
              <w:t>安排；④进度保证措施及承诺；⑤不能</w:t>
            </w:r>
            <w:r>
              <w:rPr>
                <w:color w:val="auto"/>
                <w:spacing w:val="3"/>
                <w:highlight w:val="none"/>
                <w:lang w:eastAsia="zh-CN"/>
              </w:rPr>
              <w:t>完全履行</w:t>
            </w:r>
            <w:r>
              <w:rPr>
                <w:rFonts w:hint="eastAsia"/>
                <w:color w:val="auto"/>
                <w:spacing w:val="3"/>
                <w:highlight w:val="none"/>
                <w:lang w:val="en-US" w:eastAsia="zh-CN"/>
              </w:rPr>
              <w:t>进度保证措施</w:t>
            </w:r>
            <w:r>
              <w:rPr>
                <w:color w:val="auto"/>
                <w:spacing w:val="3"/>
                <w:highlight w:val="none"/>
                <w:lang w:eastAsia="zh-CN"/>
              </w:rPr>
              <w:t>时愿意接受相关处罚的承诺</w:t>
            </w:r>
            <w:r>
              <w:rPr>
                <w:rFonts w:hint="eastAsia"/>
                <w:color w:val="auto"/>
                <w:spacing w:val="3"/>
                <w:highlight w:val="none"/>
                <w:lang w:val="en-US" w:eastAsia="zh-CN"/>
              </w:rPr>
              <w:t>等</w:t>
            </w:r>
            <w:r>
              <w:rPr>
                <w:color w:val="auto"/>
                <w:spacing w:val="3"/>
                <w:highlight w:val="none"/>
                <w:lang w:eastAsia="zh-CN"/>
              </w:rPr>
              <w:t>。</w:t>
            </w:r>
            <w:r>
              <w:rPr>
                <w:rFonts w:hint="eastAsia" w:ascii="宋体" w:hAnsi="宋体" w:eastAsia="宋体" w:cs="宋体"/>
                <w:color w:val="auto"/>
                <w:sz w:val="24"/>
                <w:szCs w:val="24"/>
                <w:highlight w:val="none"/>
                <w:lang w:val="en-US" w:eastAsia="zh-CN"/>
              </w:rPr>
              <w:t>满分5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1E099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jc w:val="center"/>
        </w:trPr>
        <w:tc>
          <w:tcPr>
            <w:tcW w:w="1087" w:type="dxa"/>
            <w:vMerge w:val="continue"/>
            <w:noWrap w:val="0"/>
            <w:vAlign w:val="center"/>
          </w:tcPr>
          <w:p w14:paraId="787549F3">
            <w:pPr>
              <w:pStyle w:val="57"/>
              <w:spacing w:before="78"/>
              <w:jc w:val="center"/>
              <w:rPr>
                <w:rFonts w:hint="eastAsia"/>
                <w:color w:val="auto"/>
                <w:spacing w:val="-11"/>
                <w:highlight w:val="none"/>
              </w:rPr>
            </w:pPr>
          </w:p>
        </w:tc>
        <w:tc>
          <w:tcPr>
            <w:tcW w:w="1328" w:type="dxa"/>
            <w:noWrap w:val="0"/>
            <w:vAlign w:val="center"/>
          </w:tcPr>
          <w:p w14:paraId="4D641CDE">
            <w:pPr>
              <w:pStyle w:val="57"/>
              <w:spacing w:before="4" w:line="320" w:lineRule="exact"/>
              <w:jc w:val="center"/>
              <w:rPr>
                <w:rFonts w:hint="eastAsia"/>
                <w:color w:val="auto"/>
                <w:spacing w:val="19"/>
                <w:highlight w:val="none"/>
              </w:rPr>
            </w:pPr>
            <w:r>
              <w:rPr>
                <w:color w:val="auto"/>
                <w:spacing w:val="18"/>
                <w:highlight w:val="none"/>
              </w:rPr>
              <w:t>争议解决方案</w:t>
            </w:r>
            <w:r>
              <w:rPr>
                <w:color w:val="auto"/>
                <w:spacing w:val="-7"/>
                <w:highlight w:val="none"/>
              </w:rPr>
              <w:t>（</w:t>
            </w:r>
            <w:r>
              <w:rPr>
                <w:rFonts w:hint="eastAsia"/>
                <w:color w:val="auto"/>
                <w:spacing w:val="-7"/>
                <w:highlight w:val="none"/>
                <w:lang w:val="en-US" w:eastAsia="zh-CN"/>
              </w:rPr>
              <w:t>5</w:t>
            </w:r>
            <w:r>
              <w:rPr>
                <w:color w:val="auto"/>
                <w:spacing w:val="-47"/>
                <w:highlight w:val="none"/>
              </w:rPr>
              <w:t xml:space="preserve"> </w:t>
            </w:r>
            <w:r>
              <w:rPr>
                <w:color w:val="auto"/>
                <w:spacing w:val="-7"/>
                <w:highlight w:val="none"/>
              </w:rPr>
              <w:t>分）</w:t>
            </w:r>
          </w:p>
        </w:tc>
        <w:tc>
          <w:tcPr>
            <w:tcW w:w="6319" w:type="dxa"/>
            <w:noWrap w:val="0"/>
            <w:vAlign w:val="center"/>
          </w:tcPr>
          <w:p w14:paraId="253D89F7">
            <w:pPr>
              <w:pStyle w:val="57"/>
              <w:spacing w:before="4" w:line="320" w:lineRule="exact"/>
              <w:rPr>
                <w:rFonts w:hint="eastAsia"/>
                <w:color w:val="auto"/>
                <w:spacing w:val="3"/>
                <w:highlight w:val="none"/>
                <w:lang w:eastAsia="zh-CN"/>
              </w:rPr>
            </w:pPr>
            <w:r>
              <w:rPr>
                <w:rFonts w:hint="eastAsia"/>
                <w:color w:val="auto"/>
                <w:spacing w:val="3"/>
                <w:highlight w:val="none"/>
                <w:lang w:val="en-US" w:eastAsia="zh-CN"/>
              </w:rPr>
              <w:t>供应商提供</w:t>
            </w:r>
            <w:r>
              <w:rPr>
                <w:color w:val="auto"/>
                <w:spacing w:val="18"/>
                <w:highlight w:val="none"/>
              </w:rPr>
              <w:t>争议解决方案</w:t>
            </w:r>
            <w:r>
              <w:rPr>
                <w:rFonts w:hint="eastAsia"/>
                <w:color w:val="auto"/>
                <w:spacing w:val="3"/>
                <w:highlight w:val="none"/>
                <w:lang w:val="en-US" w:eastAsia="zh-CN"/>
              </w:rPr>
              <w:t>，包括但不限于：①争议预防管控措施</w:t>
            </w:r>
            <w:r>
              <w:rPr>
                <w:rFonts w:hint="eastAsia"/>
                <w:color w:val="auto"/>
                <w:spacing w:val="3"/>
                <w:highlight w:val="none"/>
                <w:lang w:eastAsia="zh-CN"/>
              </w:rPr>
              <w:t>；</w:t>
            </w:r>
            <w:r>
              <w:rPr>
                <w:rFonts w:hint="eastAsia"/>
                <w:color w:val="auto"/>
                <w:spacing w:val="3"/>
                <w:highlight w:val="none"/>
                <w:lang w:val="en-US" w:eastAsia="zh-CN"/>
              </w:rPr>
              <w:t>②</w:t>
            </w:r>
            <w:r>
              <w:rPr>
                <w:color w:val="auto"/>
                <w:spacing w:val="3"/>
                <w:highlight w:val="none"/>
                <w:lang w:eastAsia="zh-CN"/>
              </w:rPr>
              <w:t>对全过程跟踪审计服务过程中预计产生的争议能够提出合理、有效解决方案</w:t>
            </w:r>
            <w:r>
              <w:rPr>
                <w:rFonts w:hint="eastAsia"/>
                <w:color w:val="auto"/>
                <w:spacing w:val="3"/>
                <w:highlight w:val="none"/>
                <w:lang w:val="en-US" w:eastAsia="zh-CN"/>
              </w:rPr>
              <w:t>；③争议解决人员安排及响应时间；④对全过程跟踪审计过程中相关资料有歧义、争议处理方案；⑤对已发生的争议进行复盘，并生成总结报告</w:t>
            </w:r>
            <w:r>
              <w:rPr>
                <w:color w:val="auto"/>
                <w:spacing w:val="-2"/>
                <w:highlight w:val="none"/>
                <w:lang w:eastAsia="zh-CN"/>
              </w:rPr>
              <w:t>。</w:t>
            </w:r>
            <w:r>
              <w:rPr>
                <w:rFonts w:hint="eastAsia" w:ascii="宋体" w:hAnsi="宋体" w:eastAsia="宋体" w:cs="宋体"/>
                <w:color w:val="auto"/>
                <w:sz w:val="24"/>
                <w:szCs w:val="24"/>
                <w:highlight w:val="none"/>
                <w:lang w:val="en-US" w:eastAsia="zh-CN"/>
              </w:rPr>
              <w:t>满分5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A7C0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jc w:val="center"/>
        </w:trPr>
        <w:tc>
          <w:tcPr>
            <w:tcW w:w="1087" w:type="dxa"/>
            <w:vMerge w:val="continue"/>
            <w:noWrap w:val="0"/>
            <w:vAlign w:val="center"/>
          </w:tcPr>
          <w:p w14:paraId="1EE685DA">
            <w:pPr>
              <w:pStyle w:val="57"/>
              <w:spacing w:before="78"/>
              <w:jc w:val="center"/>
              <w:rPr>
                <w:rFonts w:hint="eastAsia"/>
                <w:color w:val="auto"/>
                <w:spacing w:val="-11"/>
                <w:highlight w:val="none"/>
              </w:rPr>
            </w:pPr>
          </w:p>
        </w:tc>
        <w:tc>
          <w:tcPr>
            <w:tcW w:w="1328" w:type="dxa"/>
            <w:noWrap w:val="0"/>
            <w:vAlign w:val="center"/>
          </w:tcPr>
          <w:p w14:paraId="41787143">
            <w:pPr>
              <w:spacing w:line="320" w:lineRule="exact"/>
              <w:jc w:val="center"/>
              <w:rPr>
                <w:color w:val="auto"/>
                <w:sz w:val="20"/>
                <w:highlight w:val="none"/>
                <w:lang w:eastAsia="zh-CN"/>
              </w:rPr>
            </w:pPr>
          </w:p>
          <w:p w14:paraId="38910D58">
            <w:pPr>
              <w:pStyle w:val="57"/>
              <w:spacing w:before="78" w:line="320" w:lineRule="exact"/>
              <w:ind w:left="180"/>
              <w:jc w:val="center"/>
              <w:rPr>
                <w:rFonts w:hint="eastAsia"/>
                <w:color w:val="auto"/>
                <w:spacing w:val="-2"/>
                <w:highlight w:val="none"/>
                <w:lang w:eastAsia="zh-CN"/>
              </w:rPr>
            </w:pPr>
            <w:r>
              <w:rPr>
                <w:color w:val="auto"/>
                <w:spacing w:val="-3"/>
                <w:highlight w:val="none"/>
                <w:lang w:eastAsia="zh-CN"/>
              </w:rPr>
              <w:t>项目重难点及</w:t>
            </w:r>
            <w:r>
              <w:rPr>
                <w:color w:val="auto"/>
                <w:spacing w:val="-2"/>
                <w:highlight w:val="none"/>
                <w:lang w:eastAsia="zh-CN"/>
              </w:rPr>
              <w:t>风险分析</w:t>
            </w:r>
          </w:p>
          <w:p w14:paraId="55071359">
            <w:pPr>
              <w:pStyle w:val="57"/>
              <w:spacing w:before="78" w:line="320" w:lineRule="exact"/>
              <w:ind w:left="180"/>
              <w:jc w:val="center"/>
              <w:rPr>
                <w:rFonts w:hint="eastAsia"/>
                <w:color w:val="auto"/>
                <w:spacing w:val="18"/>
                <w:highlight w:val="none"/>
                <w:lang w:eastAsia="zh-CN"/>
              </w:rPr>
            </w:pPr>
            <w:r>
              <w:rPr>
                <w:color w:val="auto"/>
                <w:spacing w:val="-2"/>
                <w:highlight w:val="none"/>
                <w:lang w:eastAsia="zh-CN"/>
              </w:rPr>
              <w:t>（5</w:t>
            </w:r>
            <w:r>
              <w:rPr>
                <w:color w:val="auto"/>
                <w:spacing w:val="-7"/>
                <w:highlight w:val="none"/>
                <w:lang w:eastAsia="zh-CN"/>
              </w:rPr>
              <w:t>分）</w:t>
            </w:r>
          </w:p>
        </w:tc>
        <w:tc>
          <w:tcPr>
            <w:tcW w:w="6319" w:type="dxa"/>
            <w:noWrap w:val="0"/>
            <w:vAlign w:val="center"/>
          </w:tcPr>
          <w:p w14:paraId="2D564A38">
            <w:pPr>
              <w:pStyle w:val="57"/>
              <w:spacing w:before="194" w:line="320" w:lineRule="exact"/>
              <w:ind w:left="113" w:right="28" w:firstLine="6"/>
              <w:rPr>
                <w:rFonts w:hint="eastAsia"/>
                <w:color w:val="auto"/>
                <w:spacing w:val="3"/>
                <w:highlight w:val="none"/>
              </w:rPr>
            </w:pPr>
            <w:r>
              <w:rPr>
                <w:rFonts w:hint="eastAsia"/>
                <w:color w:val="auto"/>
                <w:spacing w:val="3"/>
                <w:highlight w:val="none"/>
                <w:lang w:val="en-US" w:eastAsia="zh-CN"/>
              </w:rPr>
              <w:t>供应商提供</w:t>
            </w:r>
            <w:r>
              <w:rPr>
                <w:color w:val="auto"/>
                <w:spacing w:val="-3"/>
                <w:highlight w:val="none"/>
                <w:lang w:eastAsia="zh-CN"/>
              </w:rPr>
              <w:t>项目重难点及</w:t>
            </w:r>
            <w:r>
              <w:rPr>
                <w:color w:val="auto"/>
                <w:spacing w:val="-2"/>
                <w:highlight w:val="none"/>
                <w:lang w:eastAsia="zh-CN"/>
              </w:rPr>
              <w:t>风险分析</w:t>
            </w:r>
            <w:r>
              <w:rPr>
                <w:color w:val="auto"/>
                <w:spacing w:val="18"/>
                <w:highlight w:val="none"/>
              </w:rPr>
              <w:t>方案</w:t>
            </w:r>
            <w:r>
              <w:rPr>
                <w:rFonts w:hint="eastAsia"/>
                <w:color w:val="auto"/>
                <w:spacing w:val="3"/>
                <w:highlight w:val="none"/>
                <w:lang w:val="en-US" w:eastAsia="zh-CN"/>
              </w:rPr>
              <w:t>，包括但不限于：①隐蔽工程影像资料的收集与存档方案；②签证内容的完整性、配合采购人办理相关工作的方案；③</w:t>
            </w:r>
            <w:r>
              <w:rPr>
                <w:color w:val="auto"/>
                <w:spacing w:val="3"/>
                <w:highlight w:val="none"/>
                <w:lang w:eastAsia="zh-CN"/>
              </w:rPr>
              <w:t>具有全过程跟踪审计业务工作重点分析与控制措施</w:t>
            </w:r>
            <w:r>
              <w:rPr>
                <w:rFonts w:hint="eastAsia"/>
                <w:color w:val="auto"/>
                <w:spacing w:val="3"/>
                <w:highlight w:val="none"/>
                <w:lang w:eastAsia="zh-CN"/>
              </w:rPr>
              <w:t>；</w:t>
            </w:r>
            <w:r>
              <w:rPr>
                <w:rFonts w:hint="eastAsia"/>
                <w:color w:val="auto"/>
                <w:spacing w:val="3"/>
                <w:highlight w:val="none"/>
                <w:lang w:val="en-US" w:eastAsia="zh-CN"/>
              </w:rPr>
              <w:t>④</w:t>
            </w:r>
            <w:r>
              <w:rPr>
                <w:color w:val="auto"/>
                <w:spacing w:val="3"/>
                <w:highlight w:val="none"/>
                <w:lang w:eastAsia="zh-CN"/>
              </w:rPr>
              <w:t>具有全过程跟踪审计业务工作</w:t>
            </w:r>
            <w:r>
              <w:rPr>
                <w:rFonts w:hint="eastAsia"/>
                <w:color w:val="auto"/>
                <w:spacing w:val="3"/>
                <w:highlight w:val="none"/>
                <w:lang w:val="en-US" w:eastAsia="zh-CN"/>
              </w:rPr>
              <w:t>难</w:t>
            </w:r>
            <w:r>
              <w:rPr>
                <w:color w:val="auto"/>
                <w:spacing w:val="3"/>
                <w:highlight w:val="none"/>
                <w:lang w:eastAsia="zh-CN"/>
              </w:rPr>
              <w:t>点分析与控制措施</w:t>
            </w:r>
            <w:r>
              <w:rPr>
                <w:rFonts w:hint="eastAsia"/>
                <w:color w:val="auto"/>
                <w:spacing w:val="3"/>
                <w:highlight w:val="none"/>
                <w:lang w:eastAsia="zh-CN"/>
              </w:rPr>
              <w:t>；</w:t>
            </w:r>
            <w:r>
              <w:rPr>
                <w:rFonts w:hint="eastAsia"/>
                <w:color w:val="auto"/>
                <w:spacing w:val="3"/>
                <w:highlight w:val="none"/>
                <w:lang w:val="en-US" w:eastAsia="zh-CN"/>
              </w:rPr>
              <w:t>⑤</w:t>
            </w:r>
            <w:r>
              <w:rPr>
                <w:color w:val="auto"/>
                <w:spacing w:val="3"/>
                <w:highlight w:val="none"/>
                <w:lang w:eastAsia="zh-CN"/>
              </w:rPr>
              <w:t>审计风险控制制度。</w:t>
            </w:r>
            <w:r>
              <w:rPr>
                <w:rFonts w:hint="eastAsia" w:ascii="宋体" w:hAnsi="宋体" w:eastAsia="宋体" w:cs="宋体"/>
                <w:color w:val="auto"/>
                <w:sz w:val="24"/>
                <w:szCs w:val="24"/>
                <w:highlight w:val="none"/>
                <w:lang w:val="en-US" w:eastAsia="zh-CN"/>
              </w:rPr>
              <w:t>满分5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8437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3" w:hRule="atLeast"/>
          <w:jc w:val="center"/>
        </w:trPr>
        <w:tc>
          <w:tcPr>
            <w:tcW w:w="1087" w:type="dxa"/>
            <w:vMerge w:val="continue"/>
            <w:noWrap w:val="0"/>
            <w:vAlign w:val="center"/>
          </w:tcPr>
          <w:p w14:paraId="0CDFD86F">
            <w:pPr>
              <w:pStyle w:val="57"/>
              <w:spacing w:before="78"/>
              <w:jc w:val="center"/>
              <w:rPr>
                <w:rFonts w:hint="eastAsia"/>
                <w:color w:val="auto"/>
                <w:spacing w:val="-11"/>
                <w:highlight w:val="none"/>
              </w:rPr>
            </w:pPr>
          </w:p>
        </w:tc>
        <w:tc>
          <w:tcPr>
            <w:tcW w:w="1328" w:type="dxa"/>
            <w:noWrap w:val="0"/>
            <w:vAlign w:val="center"/>
          </w:tcPr>
          <w:p w14:paraId="335C0B4D">
            <w:pPr>
              <w:pStyle w:val="57"/>
              <w:spacing w:before="196" w:line="320" w:lineRule="exact"/>
              <w:ind w:left="205"/>
              <w:jc w:val="center"/>
              <w:rPr>
                <w:rFonts w:hint="eastAsia"/>
                <w:color w:val="auto"/>
                <w:spacing w:val="18"/>
                <w:highlight w:val="none"/>
              </w:rPr>
            </w:pPr>
            <w:r>
              <w:rPr>
                <w:color w:val="auto"/>
                <w:spacing w:val="-7"/>
                <w:highlight w:val="none"/>
              </w:rPr>
              <w:t>内部管理制度</w:t>
            </w:r>
            <w:r>
              <w:rPr>
                <w:color w:val="auto"/>
                <w:spacing w:val="-9"/>
                <w:highlight w:val="none"/>
              </w:rPr>
              <w:t>（5</w:t>
            </w:r>
            <w:r>
              <w:rPr>
                <w:color w:val="auto"/>
                <w:spacing w:val="-46"/>
                <w:highlight w:val="none"/>
              </w:rPr>
              <w:t xml:space="preserve"> </w:t>
            </w:r>
            <w:r>
              <w:rPr>
                <w:color w:val="auto"/>
                <w:spacing w:val="-9"/>
                <w:highlight w:val="none"/>
              </w:rPr>
              <w:t>分）</w:t>
            </w:r>
          </w:p>
        </w:tc>
        <w:tc>
          <w:tcPr>
            <w:tcW w:w="6319" w:type="dxa"/>
            <w:noWrap w:val="0"/>
            <w:vAlign w:val="center"/>
          </w:tcPr>
          <w:p w14:paraId="34943594">
            <w:pPr>
              <w:pStyle w:val="57"/>
              <w:spacing w:before="195" w:line="320" w:lineRule="exact"/>
              <w:ind w:left="117" w:right="149" w:firstLine="1"/>
              <w:rPr>
                <w:rFonts w:hint="eastAsia"/>
                <w:color w:val="auto"/>
                <w:spacing w:val="3"/>
                <w:highlight w:val="none"/>
              </w:rPr>
            </w:pPr>
            <w:r>
              <w:rPr>
                <w:rFonts w:hint="eastAsia"/>
                <w:color w:val="auto"/>
                <w:spacing w:val="3"/>
                <w:highlight w:val="none"/>
                <w:lang w:val="en-US" w:eastAsia="zh-CN"/>
              </w:rPr>
              <w:t>供应商提供</w:t>
            </w:r>
            <w:r>
              <w:rPr>
                <w:color w:val="auto"/>
                <w:spacing w:val="-7"/>
                <w:highlight w:val="none"/>
              </w:rPr>
              <w:t>内部管理制度</w:t>
            </w:r>
            <w:r>
              <w:rPr>
                <w:rFonts w:hint="eastAsia"/>
                <w:color w:val="auto"/>
                <w:spacing w:val="3"/>
                <w:highlight w:val="none"/>
                <w:lang w:val="en-US" w:eastAsia="zh-CN"/>
              </w:rPr>
              <w:t>，包括但不限于：①</w:t>
            </w:r>
            <w:r>
              <w:rPr>
                <w:color w:val="auto"/>
                <w:spacing w:val="1"/>
                <w:highlight w:val="none"/>
                <w:lang w:eastAsia="zh-CN"/>
              </w:rPr>
              <w:t>具有完善的</w:t>
            </w:r>
            <w:r>
              <w:rPr>
                <w:rFonts w:hint="eastAsia"/>
                <w:color w:val="auto"/>
                <w:spacing w:val="1"/>
                <w:highlight w:val="none"/>
                <w:lang w:val="en-US" w:eastAsia="zh-CN"/>
              </w:rPr>
              <w:t>公司总体</w:t>
            </w:r>
            <w:r>
              <w:rPr>
                <w:color w:val="auto"/>
                <w:spacing w:val="1"/>
                <w:highlight w:val="none"/>
                <w:lang w:eastAsia="zh-CN"/>
              </w:rPr>
              <w:t>管理制度</w:t>
            </w:r>
            <w:r>
              <w:rPr>
                <w:rFonts w:hint="eastAsia"/>
                <w:color w:val="auto"/>
                <w:spacing w:val="1"/>
                <w:highlight w:val="none"/>
                <w:lang w:eastAsia="zh-CN"/>
              </w:rPr>
              <w:t>；</w:t>
            </w:r>
            <w:r>
              <w:rPr>
                <w:rFonts w:hint="eastAsia"/>
                <w:color w:val="auto"/>
                <w:spacing w:val="1"/>
                <w:highlight w:val="none"/>
                <w:lang w:val="en-US" w:eastAsia="zh-CN"/>
              </w:rPr>
              <w:t>②内部控制</w:t>
            </w:r>
            <w:r>
              <w:rPr>
                <w:color w:val="auto"/>
                <w:spacing w:val="1"/>
                <w:highlight w:val="none"/>
                <w:lang w:eastAsia="zh-CN"/>
              </w:rPr>
              <w:t>制度</w:t>
            </w:r>
            <w:r>
              <w:rPr>
                <w:rFonts w:hint="eastAsia"/>
                <w:color w:val="auto"/>
                <w:spacing w:val="1"/>
                <w:highlight w:val="none"/>
                <w:lang w:eastAsia="zh-CN"/>
              </w:rPr>
              <w:t>；</w:t>
            </w:r>
            <w:r>
              <w:rPr>
                <w:rFonts w:hint="eastAsia"/>
                <w:color w:val="auto"/>
                <w:spacing w:val="1"/>
                <w:highlight w:val="none"/>
                <w:lang w:val="en-US" w:eastAsia="zh-CN"/>
              </w:rPr>
              <w:t>③资料档案管理制度；④培训制度；⑤考核制度等，</w:t>
            </w:r>
            <w:r>
              <w:rPr>
                <w:rFonts w:hint="eastAsia" w:ascii="宋体" w:hAnsi="宋体" w:eastAsia="宋体" w:cs="宋体"/>
                <w:color w:val="auto"/>
                <w:sz w:val="24"/>
                <w:szCs w:val="24"/>
                <w:highlight w:val="none"/>
                <w:lang w:val="en-US" w:eastAsia="zh-CN"/>
              </w:rPr>
              <w:t>满分5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每项内容</w:t>
            </w:r>
            <w:r>
              <w:rPr>
                <w:color w:val="auto"/>
                <w:spacing w:val="-3"/>
                <w:highlight w:val="none"/>
                <w:lang w:eastAsia="zh-CN"/>
              </w:rPr>
              <w:t>阐</w:t>
            </w:r>
            <w:r>
              <w:rPr>
                <w:color w:val="auto"/>
                <w:spacing w:val="-4"/>
                <w:highlight w:val="none"/>
                <w:lang w:eastAsia="zh-CN"/>
              </w:rPr>
              <w:t>述完整、</w:t>
            </w:r>
            <w:r>
              <w:rPr>
                <w:color w:val="auto"/>
                <w:spacing w:val="3"/>
                <w:highlight w:val="none"/>
                <w:lang w:eastAsia="zh-CN"/>
              </w:rPr>
              <w:t>合理、可行，有具体可操作</w:t>
            </w:r>
            <w:r>
              <w:rPr>
                <w:rFonts w:hint="eastAsia"/>
                <w:color w:val="auto"/>
                <w:spacing w:val="3"/>
                <w:highlight w:val="none"/>
                <w:lang w:val="en-US" w:eastAsia="zh-CN"/>
              </w:rPr>
              <w:t>性计1分</w:t>
            </w:r>
            <w:r>
              <w:rPr>
                <w:rFonts w:hint="eastAsia" w:cs="宋体"/>
                <w:color w:val="auto"/>
                <w:sz w:val="24"/>
                <w:szCs w:val="24"/>
                <w:highlight w:val="none"/>
                <w:lang w:val="en-US" w:eastAsia="zh-CN"/>
              </w:rPr>
              <w:t>，每项内容</w:t>
            </w:r>
            <w:r>
              <w:rPr>
                <w:rFonts w:hint="eastAsia" w:ascii="宋体" w:hAnsi="宋体" w:eastAsia="宋体" w:cs="宋体"/>
                <w:color w:val="auto"/>
                <w:sz w:val="24"/>
                <w:szCs w:val="24"/>
                <w:highlight w:val="none"/>
              </w:rPr>
              <w:t>有缺陷扣</w:t>
            </w:r>
            <w:r>
              <w:rPr>
                <w:rFonts w:hint="eastAsia" w:cs="宋体"/>
                <w:color w:val="auto"/>
                <w:sz w:val="24"/>
                <w:szCs w:val="24"/>
                <w:highlight w:val="none"/>
                <w:lang w:val="en-US" w:eastAsia="zh-CN"/>
              </w:rPr>
              <w:t>0.5</w:t>
            </w:r>
            <w:r>
              <w:rPr>
                <w:rFonts w:hint="eastAsia" w:ascii="宋体" w:hAnsi="宋体" w:eastAsia="宋体" w:cs="宋体"/>
                <w:color w:val="auto"/>
                <w:sz w:val="24"/>
                <w:szCs w:val="24"/>
                <w:highlight w:val="none"/>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8551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1087" w:type="dxa"/>
            <w:vMerge w:val="continue"/>
            <w:noWrap w:val="0"/>
            <w:vAlign w:val="center"/>
          </w:tcPr>
          <w:p w14:paraId="7A4286C8">
            <w:pPr>
              <w:pStyle w:val="57"/>
              <w:spacing w:before="78"/>
              <w:jc w:val="center"/>
              <w:rPr>
                <w:rFonts w:hint="eastAsia"/>
                <w:color w:val="auto"/>
                <w:spacing w:val="-11"/>
                <w:highlight w:val="none"/>
              </w:rPr>
            </w:pPr>
          </w:p>
        </w:tc>
        <w:tc>
          <w:tcPr>
            <w:tcW w:w="1328" w:type="dxa"/>
            <w:noWrap w:val="0"/>
            <w:vAlign w:val="center"/>
          </w:tcPr>
          <w:p w14:paraId="68F476D6">
            <w:pPr>
              <w:pStyle w:val="57"/>
              <w:spacing w:line="320" w:lineRule="exact"/>
              <w:ind w:left="113" w:right="68" w:firstLine="62"/>
              <w:jc w:val="center"/>
              <w:rPr>
                <w:rFonts w:hint="eastAsia"/>
                <w:color w:val="auto"/>
                <w:spacing w:val="-7"/>
                <w:highlight w:val="none"/>
                <w:lang w:eastAsia="zh-CN"/>
              </w:rPr>
            </w:pPr>
            <w:r>
              <w:rPr>
                <w:color w:val="auto"/>
                <w:spacing w:val="-2"/>
                <w:highlight w:val="none"/>
                <w:lang w:eastAsia="zh-CN"/>
              </w:rPr>
              <w:t>廉洁从业及保</w:t>
            </w:r>
            <w:r>
              <w:rPr>
                <w:color w:val="auto"/>
                <w:spacing w:val="-7"/>
                <w:highlight w:val="none"/>
                <w:lang w:eastAsia="zh-CN"/>
              </w:rPr>
              <w:t>密措施</w:t>
            </w:r>
          </w:p>
          <w:p w14:paraId="29B57A10">
            <w:pPr>
              <w:pStyle w:val="57"/>
              <w:spacing w:line="320" w:lineRule="exact"/>
              <w:ind w:left="113" w:right="68" w:firstLine="62"/>
              <w:jc w:val="center"/>
              <w:rPr>
                <w:rFonts w:hint="eastAsia"/>
                <w:color w:val="auto"/>
                <w:spacing w:val="18"/>
                <w:highlight w:val="none"/>
                <w:lang w:eastAsia="zh-CN"/>
              </w:rPr>
            </w:pPr>
            <w:r>
              <w:rPr>
                <w:color w:val="auto"/>
                <w:spacing w:val="-7"/>
                <w:highlight w:val="none"/>
                <w:lang w:eastAsia="zh-CN"/>
              </w:rPr>
              <w:t>（5</w:t>
            </w:r>
            <w:r>
              <w:rPr>
                <w:color w:val="auto"/>
                <w:spacing w:val="-44"/>
                <w:highlight w:val="none"/>
                <w:lang w:eastAsia="zh-CN"/>
              </w:rPr>
              <w:t xml:space="preserve"> </w:t>
            </w:r>
            <w:r>
              <w:rPr>
                <w:color w:val="auto"/>
                <w:spacing w:val="-7"/>
                <w:highlight w:val="none"/>
                <w:lang w:eastAsia="zh-CN"/>
              </w:rPr>
              <w:t>分）</w:t>
            </w:r>
          </w:p>
        </w:tc>
        <w:tc>
          <w:tcPr>
            <w:tcW w:w="6319" w:type="dxa"/>
            <w:noWrap w:val="0"/>
            <w:vAlign w:val="center"/>
          </w:tcPr>
          <w:p w14:paraId="37B9DC7F">
            <w:pPr>
              <w:pStyle w:val="57"/>
              <w:spacing w:before="196" w:line="320" w:lineRule="exact"/>
              <w:ind w:left="115" w:right="149" w:hanging="2"/>
              <w:rPr>
                <w:rFonts w:hint="eastAsia"/>
                <w:color w:val="auto"/>
                <w:spacing w:val="1"/>
                <w:highlight w:val="none"/>
                <w:lang w:val="en-US" w:eastAsia="zh-CN"/>
              </w:rPr>
            </w:pPr>
            <w:r>
              <w:rPr>
                <w:rFonts w:hint="eastAsia"/>
                <w:color w:val="auto"/>
                <w:spacing w:val="3"/>
                <w:highlight w:val="none"/>
                <w:lang w:val="en-US" w:eastAsia="zh-CN"/>
              </w:rPr>
              <w:t>1.供应商提供</w:t>
            </w:r>
            <w:r>
              <w:rPr>
                <w:rFonts w:hint="eastAsia"/>
                <w:color w:val="auto"/>
                <w:spacing w:val="-2"/>
                <w:highlight w:val="none"/>
                <w:lang w:val="en-US" w:eastAsia="zh-CN"/>
              </w:rPr>
              <w:t>完整、合理可行的</w:t>
            </w:r>
            <w:r>
              <w:rPr>
                <w:color w:val="auto"/>
                <w:spacing w:val="1"/>
                <w:highlight w:val="none"/>
                <w:lang w:eastAsia="zh-CN"/>
              </w:rPr>
              <w:t>廉政从业</w:t>
            </w:r>
            <w:r>
              <w:rPr>
                <w:rFonts w:hint="eastAsia"/>
                <w:color w:val="auto"/>
                <w:spacing w:val="1"/>
                <w:highlight w:val="none"/>
                <w:lang w:val="en-US" w:eastAsia="zh-CN"/>
              </w:rPr>
              <w:t>承诺计2.5分，未提供不计分；</w:t>
            </w:r>
          </w:p>
          <w:p w14:paraId="0C1B29DC">
            <w:pPr>
              <w:pStyle w:val="57"/>
              <w:spacing w:before="196" w:line="320" w:lineRule="exact"/>
              <w:ind w:left="115" w:right="149" w:hanging="2"/>
              <w:rPr>
                <w:rFonts w:hint="eastAsia"/>
                <w:color w:val="auto"/>
                <w:spacing w:val="3"/>
                <w:highlight w:val="none"/>
              </w:rPr>
            </w:pPr>
            <w:r>
              <w:rPr>
                <w:rFonts w:hint="eastAsia"/>
                <w:color w:val="auto"/>
                <w:spacing w:val="3"/>
                <w:highlight w:val="none"/>
                <w:lang w:val="en-US" w:eastAsia="zh-CN"/>
              </w:rPr>
              <w:t>2.供应商提供</w:t>
            </w:r>
            <w:r>
              <w:rPr>
                <w:rFonts w:hint="eastAsia"/>
                <w:color w:val="auto"/>
                <w:spacing w:val="-2"/>
                <w:highlight w:val="none"/>
                <w:lang w:val="en-US" w:eastAsia="zh-CN"/>
              </w:rPr>
              <w:t>完整、合理可行的</w:t>
            </w:r>
            <w:r>
              <w:rPr>
                <w:color w:val="auto"/>
                <w:spacing w:val="1"/>
                <w:highlight w:val="none"/>
                <w:lang w:eastAsia="zh-CN"/>
              </w:rPr>
              <w:t>商业秘密保密</w:t>
            </w:r>
            <w:r>
              <w:rPr>
                <w:rFonts w:hint="eastAsia"/>
                <w:color w:val="auto"/>
                <w:spacing w:val="1"/>
                <w:highlight w:val="none"/>
                <w:lang w:val="en-US" w:eastAsia="zh-CN"/>
              </w:rPr>
              <w:t>承诺计2.5分</w:t>
            </w:r>
            <w:r>
              <w:rPr>
                <w:color w:val="auto"/>
                <w:spacing w:val="1"/>
                <w:highlight w:val="none"/>
                <w:lang w:eastAsia="zh-CN"/>
              </w:rPr>
              <w:t>，</w:t>
            </w:r>
            <w:r>
              <w:rPr>
                <w:rFonts w:hint="eastAsia"/>
                <w:color w:val="auto"/>
                <w:spacing w:val="1"/>
                <w:highlight w:val="none"/>
                <w:lang w:val="en-US" w:eastAsia="zh-CN"/>
              </w:rPr>
              <w:t>未提供不计分</w:t>
            </w:r>
            <w:r>
              <w:rPr>
                <w:color w:val="auto"/>
                <w:spacing w:val="1"/>
                <w:highlight w:val="none"/>
                <w:lang w:eastAsia="zh-CN"/>
              </w:rPr>
              <w:t>。</w:t>
            </w:r>
          </w:p>
        </w:tc>
      </w:tr>
      <w:tr w14:paraId="62579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jc w:val="center"/>
        </w:trPr>
        <w:tc>
          <w:tcPr>
            <w:tcW w:w="1087" w:type="dxa"/>
            <w:noWrap w:val="0"/>
            <w:vAlign w:val="center"/>
          </w:tcPr>
          <w:p w14:paraId="2E82E311">
            <w:pPr>
              <w:pStyle w:val="57"/>
              <w:spacing w:before="78"/>
              <w:jc w:val="center"/>
              <w:rPr>
                <w:rFonts w:hint="eastAsia"/>
                <w:color w:val="auto"/>
                <w:spacing w:val="-11"/>
                <w:highlight w:val="none"/>
                <w:lang w:eastAsia="zh-CN"/>
              </w:rPr>
            </w:pPr>
            <w:r>
              <w:rPr>
                <w:rFonts w:hint="eastAsia"/>
                <w:color w:val="auto"/>
                <w:spacing w:val="-11"/>
                <w:highlight w:val="none"/>
                <w:lang w:eastAsia="zh-CN"/>
              </w:rPr>
              <w:t>（</w:t>
            </w:r>
            <w:r>
              <w:rPr>
                <w:rFonts w:hint="eastAsia"/>
                <w:color w:val="auto"/>
                <w:spacing w:val="-11"/>
                <w:highlight w:val="none"/>
                <w:lang w:val="en-US" w:eastAsia="zh-CN"/>
              </w:rPr>
              <w:t>4</w:t>
            </w:r>
            <w:r>
              <w:rPr>
                <w:rFonts w:hint="eastAsia"/>
                <w:color w:val="auto"/>
                <w:spacing w:val="-11"/>
                <w:highlight w:val="none"/>
                <w:lang w:eastAsia="zh-CN"/>
              </w:rPr>
              <w:t>）项目服务团队</w:t>
            </w:r>
          </w:p>
          <w:p w14:paraId="3D5990DE">
            <w:pPr>
              <w:pStyle w:val="57"/>
              <w:spacing w:before="78"/>
              <w:jc w:val="center"/>
              <w:rPr>
                <w:rFonts w:hint="eastAsia"/>
                <w:color w:val="auto"/>
                <w:spacing w:val="-11"/>
                <w:highlight w:val="none"/>
                <w:lang w:eastAsia="zh-CN"/>
              </w:rPr>
            </w:pPr>
            <w:r>
              <w:rPr>
                <w:rFonts w:hint="eastAsia"/>
                <w:color w:val="auto"/>
                <w:spacing w:val="-11"/>
                <w:highlight w:val="none"/>
                <w:lang w:eastAsia="zh-CN"/>
              </w:rPr>
              <w:t>（</w:t>
            </w:r>
            <w:r>
              <w:rPr>
                <w:rFonts w:hint="eastAsia"/>
                <w:color w:val="auto"/>
                <w:spacing w:val="-11"/>
                <w:highlight w:val="none"/>
                <w:lang w:val="en-US" w:eastAsia="zh-CN"/>
              </w:rPr>
              <w:t>17</w:t>
            </w:r>
            <w:r>
              <w:rPr>
                <w:rFonts w:hint="eastAsia"/>
                <w:color w:val="auto"/>
                <w:spacing w:val="-11"/>
                <w:highlight w:val="none"/>
                <w:lang w:eastAsia="zh-CN"/>
              </w:rPr>
              <w:t>分）</w:t>
            </w:r>
          </w:p>
        </w:tc>
        <w:tc>
          <w:tcPr>
            <w:tcW w:w="1328" w:type="dxa"/>
            <w:noWrap w:val="0"/>
            <w:vAlign w:val="center"/>
          </w:tcPr>
          <w:p w14:paraId="05BAC2D0">
            <w:pPr>
              <w:pStyle w:val="57"/>
              <w:spacing w:line="300" w:lineRule="exact"/>
              <w:ind w:left="113" w:right="68" w:firstLine="62"/>
              <w:jc w:val="center"/>
              <w:rPr>
                <w:rFonts w:hint="eastAsia"/>
                <w:color w:val="auto"/>
                <w:spacing w:val="-2"/>
                <w:highlight w:val="none"/>
                <w:lang w:eastAsia="zh-CN"/>
              </w:rPr>
            </w:pPr>
            <w:r>
              <w:rPr>
                <w:rFonts w:hint="eastAsia"/>
                <w:color w:val="auto"/>
                <w:spacing w:val="-2"/>
                <w:highlight w:val="none"/>
                <w:lang w:eastAsia="zh-CN"/>
              </w:rPr>
              <w:t>专业技术人员配置</w:t>
            </w:r>
          </w:p>
          <w:p w14:paraId="5CA882CF">
            <w:pPr>
              <w:pStyle w:val="57"/>
              <w:spacing w:line="300" w:lineRule="exact"/>
              <w:ind w:left="113" w:right="68" w:firstLine="62"/>
              <w:jc w:val="center"/>
              <w:rPr>
                <w:rFonts w:hint="eastAsia"/>
                <w:color w:val="auto"/>
                <w:spacing w:val="-2"/>
                <w:highlight w:val="none"/>
                <w:lang w:eastAsia="zh-CN"/>
              </w:rPr>
            </w:pPr>
            <w:r>
              <w:rPr>
                <w:rFonts w:hint="eastAsia"/>
                <w:color w:val="auto"/>
                <w:spacing w:val="-2"/>
                <w:highlight w:val="none"/>
                <w:lang w:eastAsia="zh-CN"/>
              </w:rPr>
              <w:t>（</w:t>
            </w:r>
            <w:r>
              <w:rPr>
                <w:rFonts w:hint="eastAsia"/>
                <w:color w:val="auto"/>
                <w:spacing w:val="-2"/>
                <w:highlight w:val="none"/>
                <w:lang w:val="en-US" w:eastAsia="zh-CN"/>
              </w:rPr>
              <w:t>17</w:t>
            </w:r>
            <w:r>
              <w:rPr>
                <w:rFonts w:hint="eastAsia"/>
                <w:color w:val="auto"/>
                <w:spacing w:val="-2"/>
                <w:highlight w:val="none"/>
                <w:lang w:eastAsia="zh-CN"/>
              </w:rPr>
              <w:t>分）</w:t>
            </w:r>
          </w:p>
        </w:tc>
        <w:tc>
          <w:tcPr>
            <w:tcW w:w="6319" w:type="dxa"/>
            <w:noWrap w:val="0"/>
            <w:vAlign w:val="top"/>
          </w:tcPr>
          <w:p w14:paraId="2AE75C5F">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val="en-US" w:eastAsia="zh-CN"/>
              </w:rPr>
              <w:t>1.</w:t>
            </w:r>
            <w:r>
              <w:rPr>
                <w:rFonts w:hint="eastAsia"/>
                <w:color w:val="auto"/>
                <w:spacing w:val="1"/>
                <w:highlight w:val="none"/>
                <w:lang w:eastAsia="zh-CN"/>
              </w:rPr>
              <w:t>投标人提供项目服务团队专业技术人员配备情况表，关键岗位人员配置及专业设置合理、职责分工明确，能够保障全过程跟踪审计工作高效推进及施工阶段造价控制管理需求的，根据响应程度综合评分，本项满分3分。</w:t>
            </w:r>
          </w:p>
          <w:p w14:paraId="0E54B00E">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①人员配置齐全、专业覆盖全面、岗位职责清晰的，得3分;</w:t>
            </w:r>
          </w:p>
          <w:p w14:paraId="52E32983">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②人员配置基本满足需求、专业覆盖及职责划分较清晰的，得2分;</w:t>
            </w:r>
          </w:p>
          <w:p w14:paraId="79BBADED">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③人员配置存在缺项或职责划分不够清晰的，得1分;</w:t>
            </w:r>
          </w:p>
          <w:p w14:paraId="4DC5A44D">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④未提供或未作说明的，不得分。</w:t>
            </w:r>
          </w:p>
          <w:p w14:paraId="54FED860">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val="en-US" w:eastAsia="zh-CN"/>
              </w:rPr>
              <w:t>2.</w:t>
            </w:r>
            <w:r>
              <w:rPr>
                <w:rFonts w:hint="eastAsia"/>
                <w:color w:val="auto"/>
                <w:spacing w:val="1"/>
                <w:highlight w:val="none"/>
                <w:lang w:eastAsia="zh-CN"/>
              </w:rPr>
              <w:t>拟派项目负责人:(4分）</w:t>
            </w:r>
          </w:p>
          <w:p w14:paraId="77631887">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①具有工程类或工程经济类高级职称的，得2分;具有中级职称的，得1分;</w:t>
            </w:r>
          </w:p>
          <w:p w14:paraId="5611A6DE">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注；提供相关职称证书，未提供本项不得分。</w:t>
            </w:r>
          </w:p>
          <w:p w14:paraId="2DA909D5">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②202</w:t>
            </w:r>
            <w:r>
              <w:rPr>
                <w:rFonts w:hint="eastAsia"/>
                <w:color w:val="auto"/>
                <w:spacing w:val="1"/>
                <w:highlight w:val="none"/>
                <w:lang w:val="en-US" w:eastAsia="zh-CN"/>
              </w:rPr>
              <w:t>3</w:t>
            </w:r>
            <w:r>
              <w:rPr>
                <w:rFonts w:hint="eastAsia"/>
                <w:color w:val="auto"/>
                <w:spacing w:val="1"/>
                <w:highlight w:val="none"/>
                <w:lang w:eastAsia="zh-CN"/>
              </w:rPr>
              <w:t>年</w:t>
            </w:r>
            <w:r>
              <w:rPr>
                <w:rFonts w:hint="eastAsia"/>
                <w:color w:val="auto"/>
                <w:spacing w:val="1"/>
                <w:highlight w:val="none"/>
                <w:lang w:val="en-US" w:eastAsia="zh-CN"/>
              </w:rPr>
              <w:t>7</w:t>
            </w:r>
            <w:r>
              <w:rPr>
                <w:rFonts w:hint="eastAsia"/>
                <w:color w:val="auto"/>
                <w:spacing w:val="1"/>
                <w:highlight w:val="none"/>
                <w:lang w:eastAsia="zh-CN"/>
              </w:rPr>
              <w:t>月1日以来(以合同签订时间为准)担任过房屋建筑装修工程跟踪审计或全过程造价咨询项目</w:t>
            </w:r>
            <w:r>
              <w:rPr>
                <w:rFonts w:hint="eastAsia"/>
                <w:color w:val="auto"/>
                <w:spacing w:val="1"/>
                <w:highlight w:val="none"/>
                <w:lang w:val="en-US" w:eastAsia="zh-CN"/>
              </w:rPr>
              <w:t>类似</w:t>
            </w:r>
            <w:r>
              <w:rPr>
                <w:rFonts w:hint="eastAsia"/>
                <w:color w:val="auto"/>
                <w:spacing w:val="1"/>
                <w:highlight w:val="none"/>
                <w:lang w:eastAsia="zh-CN"/>
              </w:rPr>
              <w:t>负责人业绩的得2分。</w:t>
            </w:r>
          </w:p>
          <w:p w14:paraId="75B7B1FD">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注：</w:t>
            </w:r>
            <w:r>
              <w:rPr>
                <w:rFonts w:hint="default"/>
                <w:color w:val="auto"/>
                <w:spacing w:val="1"/>
                <w:highlight w:val="none"/>
                <w:lang w:val="en-US" w:eastAsia="zh-CN"/>
              </w:rPr>
              <w:t>项目负责人业绩须提供造价咨询合同或审核报告关键页复印件并加盖投标人公章，合同中无法体现项目负责人姓名的，须另附建设单位出具的任职证明。</w:t>
            </w:r>
            <w:r>
              <w:rPr>
                <w:rFonts w:hint="eastAsia"/>
                <w:color w:val="auto"/>
                <w:spacing w:val="1"/>
                <w:highlight w:val="none"/>
                <w:lang w:val="en-US" w:eastAsia="zh-CN"/>
              </w:rPr>
              <w:t>未提供不得分</w:t>
            </w:r>
          </w:p>
          <w:p w14:paraId="4B8F7BD3">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本项最高得分4分。</w:t>
            </w:r>
          </w:p>
          <w:p w14:paraId="132E02A2">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val="en-US" w:eastAsia="zh-CN"/>
              </w:rPr>
              <w:t>3.</w:t>
            </w:r>
            <w:r>
              <w:rPr>
                <w:rFonts w:hint="eastAsia"/>
                <w:color w:val="auto"/>
                <w:spacing w:val="1"/>
                <w:highlight w:val="none"/>
                <w:lang w:eastAsia="zh-CN"/>
              </w:rPr>
              <w:t>拟派1名土木建筑工程</w:t>
            </w:r>
            <w:r>
              <w:rPr>
                <w:rFonts w:hint="eastAsia"/>
                <w:color w:val="auto"/>
                <w:spacing w:val="1"/>
                <w:highlight w:val="none"/>
                <w:lang w:val="en-US" w:eastAsia="zh-CN"/>
              </w:rPr>
              <w:t>或安装工程</w:t>
            </w:r>
            <w:r>
              <w:rPr>
                <w:rFonts w:hint="eastAsia"/>
                <w:color w:val="auto"/>
                <w:spacing w:val="1"/>
                <w:highlight w:val="none"/>
                <w:lang w:eastAsia="zh-CN"/>
              </w:rPr>
              <w:t>专业一级注册造价工程师执业资格驻场造价工程师:具有工程类或工程经济类高级职称的，得2分;具有中级职称的，得1分。</w:t>
            </w:r>
          </w:p>
          <w:p w14:paraId="44C5B663">
            <w:pPr>
              <w:pStyle w:val="57"/>
              <w:keepNext w:val="0"/>
              <w:keepLines w:val="0"/>
              <w:pageBreakBefore w:val="0"/>
              <w:widowControl w:val="0"/>
              <w:numPr>
                <w:ilvl w:val="-1"/>
                <w:numId w:val="0"/>
              </w:numPr>
              <w:kinsoku/>
              <w:wordWrap/>
              <w:overflowPunct/>
              <w:topLinePunct w:val="0"/>
              <w:autoSpaceDE/>
              <w:autoSpaceDN/>
              <w:bidi w:val="0"/>
              <w:adjustRightInd/>
              <w:snapToGrid/>
              <w:spacing w:line="200" w:lineRule="atLeast"/>
              <w:ind w:right="147" w:rightChars="0" w:firstLine="0" w:firstLineChars="0"/>
              <w:textAlignment w:val="auto"/>
              <w:rPr>
                <w:rFonts w:hint="default"/>
                <w:color w:val="auto"/>
                <w:spacing w:val="1"/>
                <w:highlight w:val="none"/>
                <w:lang w:val="en-US" w:eastAsia="zh-CN"/>
              </w:rPr>
            </w:pPr>
            <w:r>
              <w:rPr>
                <w:rFonts w:hint="eastAsia"/>
                <w:color w:val="auto"/>
                <w:spacing w:val="1"/>
                <w:highlight w:val="none"/>
                <w:lang w:val="en-US" w:eastAsia="zh-CN"/>
              </w:rPr>
              <w:t>注：</w:t>
            </w:r>
            <w:r>
              <w:rPr>
                <w:rFonts w:hint="default"/>
                <w:color w:val="auto"/>
                <w:spacing w:val="1"/>
                <w:highlight w:val="none"/>
                <w:lang w:val="en-US" w:eastAsia="zh-CN"/>
              </w:rPr>
              <w:t>提供相应执业资格证书(注册在本单位)、职称证书</w:t>
            </w:r>
            <w:r>
              <w:rPr>
                <w:rFonts w:hint="eastAsia"/>
                <w:color w:val="auto"/>
                <w:spacing w:val="1"/>
                <w:highlight w:val="none"/>
                <w:lang w:val="en-US" w:eastAsia="zh-CN"/>
              </w:rPr>
              <w:t>，未提供不得分。</w:t>
            </w:r>
          </w:p>
          <w:p w14:paraId="0FA73F71">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本项最高得分</w:t>
            </w:r>
            <w:r>
              <w:rPr>
                <w:rFonts w:hint="eastAsia"/>
                <w:color w:val="auto"/>
                <w:spacing w:val="1"/>
                <w:highlight w:val="none"/>
                <w:lang w:val="en-US" w:eastAsia="zh-CN"/>
              </w:rPr>
              <w:t>2分。</w:t>
            </w:r>
          </w:p>
          <w:p w14:paraId="0E3AE95B">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4.除项目负责人</w:t>
            </w:r>
            <w:r>
              <w:rPr>
                <w:rFonts w:hint="eastAsia"/>
                <w:color w:val="auto"/>
                <w:spacing w:val="1"/>
                <w:highlight w:val="none"/>
                <w:lang w:val="en-US" w:eastAsia="zh-CN"/>
              </w:rPr>
              <w:t>及驻场造价工程师</w:t>
            </w:r>
            <w:r>
              <w:rPr>
                <w:rFonts w:hint="eastAsia"/>
                <w:color w:val="auto"/>
                <w:spacing w:val="1"/>
                <w:highlight w:val="none"/>
                <w:lang w:eastAsia="zh-CN"/>
              </w:rPr>
              <w:t>外，拟派项目服务团队中:</w:t>
            </w:r>
          </w:p>
          <w:p w14:paraId="5EEB8859">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eastAsia="zh-CN"/>
              </w:rPr>
            </w:pPr>
            <w:r>
              <w:rPr>
                <w:rFonts w:hint="eastAsia"/>
                <w:color w:val="auto"/>
                <w:spacing w:val="1"/>
                <w:highlight w:val="none"/>
                <w:lang w:eastAsia="zh-CN"/>
              </w:rPr>
              <w:t>具有土木建筑工程</w:t>
            </w:r>
            <w:r>
              <w:rPr>
                <w:rFonts w:hint="eastAsia"/>
                <w:color w:val="auto"/>
                <w:spacing w:val="1"/>
                <w:highlight w:val="none"/>
                <w:lang w:val="en-US" w:eastAsia="zh-CN"/>
              </w:rPr>
              <w:t>或安装工程</w:t>
            </w:r>
            <w:r>
              <w:rPr>
                <w:rFonts w:hint="eastAsia"/>
                <w:color w:val="auto"/>
                <w:spacing w:val="1"/>
                <w:highlight w:val="none"/>
                <w:lang w:eastAsia="zh-CN"/>
              </w:rPr>
              <w:t>专业</w:t>
            </w:r>
            <w:r>
              <w:rPr>
                <w:rFonts w:hint="eastAsia"/>
                <w:color w:val="auto"/>
                <w:spacing w:val="1"/>
                <w:highlight w:val="none"/>
                <w:lang w:val="en-US" w:eastAsia="zh-CN"/>
              </w:rPr>
              <w:t>二</w:t>
            </w:r>
            <w:r>
              <w:rPr>
                <w:rFonts w:hint="eastAsia"/>
                <w:color w:val="auto"/>
                <w:spacing w:val="1"/>
                <w:highlight w:val="none"/>
                <w:lang w:eastAsia="zh-CN"/>
              </w:rPr>
              <w:t>级</w:t>
            </w:r>
            <w:r>
              <w:rPr>
                <w:rFonts w:hint="eastAsia"/>
                <w:color w:val="auto"/>
                <w:spacing w:val="1"/>
                <w:highlight w:val="none"/>
                <w:lang w:val="en-US" w:eastAsia="zh-CN"/>
              </w:rPr>
              <w:t>及以上</w:t>
            </w:r>
            <w:r>
              <w:rPr>
                <w:rFonts w:hint="eastAsia"/>
                <w:color w:val="auto"/>
                <w:spacing w:val="1"/>
                <w:highlight w:val="none"/>
                <w:lang w:eastAsia="zh-CN"/>
              </w:rPr>
              <w:t>注册造价工程师执业资格，</w:t>
            </w:r>
            <w:r>
              <w:rPr>
                <w:rFonts w:hint="eastAsia"/>
                <w:color w:val="auto"/>
                <w:spacing w:val="1"/>
                <w:highlight w:val="none"/>
                <w:lang w:val="en-US" w:eastAsia="zh-CN"/>
              </w:rPr>
              <w:t>一级</w:t>
            </w:r>
            <w:r>
              <w:rPr>
                <w:rFonts w:hint="eastAsia"/>
                <w:color w:val="auto"/>
                <w:spacing w:val="1"/>
                <w:highlight w:val="none"/>
                <w:lang w:eastAsia="zh-CN"/>
              </w:rPr>
              <w:t>注册造价工程师</w:t>
            </w:r>
            <w:r>
              <w:rPr>
                <w:rFonts w:hint="eastAsia"/>
                <w:color w:val="auto"/>
                <w:spacing w:val="1"/>
                <w:highlight w:val="none"/>
                <w:lang w:val="en-US" w:eastAsia="zh-CN"/>
              </w:rPr>
              <w:t>每提供1人得2分</w:t>
            </w:r>
            <w:r>
              <w:rPr>
                <w:rFonts w:hint="eastAsia"/>
                <w:color w:val="auto"/>
                <w:spacing w:val="1"/>
                <w:highlight w:val="none"/>
                <w:lang w:eastAsia="zh-CN"/>
              </w:rPr>
              <w:t>，</w:t>
            </w:r>
            <w:r>
              <w:rPr>
                <w:rFonts w:hint="eastAsia"/>
                <w:color w:val="auto"/>
                <w:spacing w:val="1"/>
                <w:highlight w:val="none"/>
                <w:lang w:val="en-US" w:eastAsia="zh-CN"/>
              </w:rPr>
              <w:t>二级</w:t>
            </w:r>
            <w:r>
              <w:rPr>
                <w:rFonts w:hint="eastAsia"/>
                <w:color w:val="auto"/>
                <w:spacing w:val="1"/>
                <w:highlight w:val="none"/>
                <w:lang w:eastAsia="zh-CN"/>
              </w:rPr>
              <w:t>注册造价工程师</w:t>
            </w:r>
            <w:r>
              <w:rPr>
                <w:rFonts w:hint="eastAsia"/>
                <w:color w:val="auto"/>
                <w:spacing w:val="1"/>
                <w:highlight w:val="none"/>
                <w:lang w:val="en-US" w:eastAsia="zh-CN"/>
              </w:rPr>
              <w:t>每提供1人得1</w:t>
            </w:r>
            <w:r>
              <w:rPr>
                <w:rFonts w:hint="eastAsia"/>
                <w:color w:val="auto"/>
                <w:spacing w:val="1"/>
                <w:highlight w:val="none"/>
                <w:lang w:eastAsia="zh-CN"/>
              </w:rPr>
              <w:t>分;</w:t>
            </w:r>
          </w:p>
          <w:p w14:paraId="3F9C6A5E">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注：</w:t>
            </w:r>
            <w:r>
              <w:rPr>
                <w:rFonts w:hint="default"/>
                <w:color w:val="auto"/>
                <w:spacing w:val="1"/>
                <w:highlight w:val="none"/>
                <w:lang w:val="en-US" w:eastAsia="zh-CN"/>
              </w:rPr>
              <w:t>提供相应执业资格证书(注册在本单位)</w:t>
            </w:r>
            <w:r>
              <w:rPr>
                <w:rFonts w:hint="eastAsia"/>
                <w:color w:val="auto"/>
                <w:spacing w:val="1"/>
                <w:highlight w:val="none"/>
                <w:lang w:val="en-US" w:eastAsia="zh-CN"/>
              </w:rPr>
              <w:t>，未提供不得分。</w:t>
            </w:r>
          </w:p>
          <w:p w14:paraId="26DB5960">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eastAsia"/>
                <w:color w:val="auto"/>
                <w:spacing w:val="1"/>
                <w:highlight w:val="none"/>
                <w:lang w:val="en-US" w:eastAsia="zh-CN"/>
              </w:rPr>
            </w:pPr>
            <w:r>
              <w:rPr>
                <w:rFonts w:hint="eastAsia"/>
                <w:color w:val="auto"/>
                <w:spacing w:val="1"/>
                <w:highlight w:val="none"/>
                <w:lang w:eastAsia="zh-CN"/>
              </w:rPr>
              <w:t>本项最高得分</w:t>
            </w:r>
            <w:r>
              <w:rPr>
                <w:rFonts w:hint="eastAsia"/>
                <w:color w:val="auto"/>
                <w:spacing w:val="1"/>
                <w:highlight w:val="none"/>
                <w:lang w:val="en-US" w:eastAsia="zh-CN"/>
              </w:rPr>
              <w:t>8分。</w:t>
            </w:r>
          </w:p>
          <w:p w14:paraId="3169EE21">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本项总体要求</w:t>
            </w:r>
            <w:r>
              <w:rPr>
                <w:rFonts w:hint="default"/>
                <w:color w:val="auto"/>
                <w:spacing w:val="1"/>
                <w:highlight w:val="none"/>
                <w:lang w:val="en-US" w:eastAsia="zh-CN"/>
              </w:rPr>
              <w:t>:</w:t>
            </w:r>
          </w:p>
          <w:p w14:paraId="5F99DB6F">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1.</w:t>
            </w:r>
            <w:r>
              <w:rPr>
                <w:rFonts w:hint="default"/>
                <w:color w:val="auto"/>
                <w:spacing w:val="1"/>
                <w:highlight w:val="none"/>
                <w:lang w:val="en-US" w:eastAsia="zh-CN"/>
              </w:rPr>
              <w:t>同一人同时持有多个专业资格的，仅按一个专业计分。</w:t>
            </w:r>
          </w:p>
          <w:p w14:paraId="0A4CBB15">
            <w:pPr>
              <w:pStyle w:val="57"/>
              <w:keepNext w:val="0"/>
              <w:keepLines w:val="0"/>
              <w:pageBreakBefore w:val="0"/>
              <w:widowControl w:val="0"/>
              <w:numPr>
                <w:ilvl w:val="0"/>
                <w:numId w:val="0"/>
              </w:numPr>
              <w:kinsoku/>
              <w:wordWrap/>
              <w:overflowPunct/>
              <w:topLinePunct w:val="0"/>
              <w:autoSpaceDE/>
              <w:autoSpaceDN/>
              <w:bidi w:val="0"/>
              <w:adjustRightInd/>
              <w:snapToGrid/>
              <w:spacing w:line="200" w:lineRule="atLeast"/>
              <w:ind w:right="147" w:rightChars="0"/>
              <w:textAlignment w:val="auto"/>
              <w:rPr>
                <w:rFonts w:hint="default"/>
                <w:color w:val="auto"/>
                <w:spacing w:val="1"/>
                <w:highlight w:val="none"/>
                <w:lang w:val="en-US" w:eastAsia="zh-CN"/>
              </w:rPr>
            </w:pPr>
            <w:r>
              <w:rPr>
                <w:rFonts w:hint="eastAsia"/>
                <w:color w:val="auto"/>
                <w:spacing w:val="1"/>
                <w:highlight w:val="none"/>
                <w:lang w:val="en-US" w:eastAsia="zh-CN"/>
              </w:rPr>
              <w:t>2.</w:t>
            </w:r>
            <w:r>
              <w:rPr>
                <w:rFonts w:hint="default"/>
                <w:color w:val="auto"/>
                <w:spacing w:val="1"/>
                <w:highlight w:val="none"/>
                <w:lang w:val="en-US" w:eastAsia="zh-CN"/>
              </w:rPr>
              <w:t>所有人员须提供近</w:t>
            </w:r>
            <w:r>
              <w:rPr>
                <w:rFonts w:hint="eastAsia"/>
                <w:color w:val="auto"/>
                <w:spacing w:val="1"/>
                <w:highlight w:val="none"/>
                <w:lang w:val="en-US" w:eastAsia="zh-CN"/>
              </w:rPr>
              <w:t>3</w:t>
            </w:r>
            <w:r>
              <w:rPr>
                <w:rFonts w:hint="default"/>
                <w:color w:val="auto"/>
                <w:spacing w:val="1"/>
                <w:highlight w:val="none"/>
                <w:lang w:val="en-US" w:eastAsia="zh-CN"/>
              </w:rPr>
              <w:t>个月在本单位缴纳社保的证明材料(退休人员提供退休证明及劳务聘用合同)</w:t>
            </w:r>
            <w:r>
              <w:rPr>
                <w:rFonts w:hint="eastAsia"/>
                <w:color w:val="auto"/>
                <w:spacing w:val="1"/>
                <w:highlight w:val="none"/>
                <w:lang w:val="en-US" w:eastAsia="zh-CN"/>
              </w:rPr>
              <w:t>，未提供不计分</w:t>
            </w:r>
            <w:r>
              <w:rPr>
                <w:rFonts w:hint="default"/>
                <w:color w:val="auto"/>
                <w:spacing w:val="1"/>
                <w:highlight w:val="none"/>
                <w:lang w:val="en-US" w:eastAsia="zh-CN"/>
              </w:rPr>
              <w:t>。</w:t>
            </w:r>
          </w:p>
        </w:tc>
      </w:tr>
      <w:tr w14:paraId="553AD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0" w:hRule="atLeast"/>
          <w:jc w:val="center"/>
        </w:trPr>
        <w:tc>
          <w:tcPr>
            <w:tcW w:w="1087" w:type="dxa"/>
            <w:noWrap w:val="0"/>
            <w:vAlign w:val="center"/>
          </w:tcPr>
          <w:p w14:paraId="4DFD3AD8">
            <w:pPr>
              <w:spacing w:line="360" w:lineRule="auto"/>
              <w:jc w:val="center"/>
              <w:rPr>
                <w:rFonts w:hint="default"/>
                <w:color w:val="auto"/>
                <w:spacing w:val="-11"/>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）人员承诺（</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分）</w:t>
            </w:r>
          </w:p>
        </w:tc>
        <w:tc>
          <w:tcPr>
            <w:tcW w:w="1328" w:type="dxa"/>
            <w:noWrap w:val="0"/>
            <w:vAlign w:val="center"/>
          </w:tcPr>
          <w:p w14:paraId="474E30CA">
            <w:pPr>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人员</w:t>
            </w:r>
          </w:p>
          <w:p w14:paraId="24AA9929">
            <w:pPr>
              <w:spacing w:line="36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调整</w:t>
            </w:r>
          </w:p>
          <w:p w14:paraId="7C24B0C9">
            <w:pPr>
              <w:spacing w:line="360" w:lineRule="auto"/>
              <w:jc w:val="center"/>
              <w:rPr>
                <w:rFonts w:hint="eastAsia"/>
                <w:color w:val="auto"/>
                <w:spacing w:val="-2"/>
                <w:highlight w:val="none"/>
                <w:lang w:eastAsia="zh-CN"/>
              </w:rPr>
            </w:pPr>
            <w:r>
              <w:rPr>
                <w:rFonts w:hint="eastAsia" w:ascii="宋体" w:hAnsi="宋体" w:eastAsia="宋体" w:cs="宋体"/>
                <w:b w:val="0"/>
                <w:bCs w:val="0"/>
                <w:color w:val="auto"/>
                <w:sz w:val="24"/>
                <w:szCs w:val="24"/>
                <w:highlight w:val="none"/>
                <w:lang w:val="en-US" w:eastAsia="zh-CN"/>
              </w:rPr>
              <w:t>（4分）</w:t>
            </w:r>
          </w:p>
        </w:tc>
        <w:tc>
          <w:tcPr>
            <w:tcW w:w="6319" w:type="dxa"/>
            <w:noWrap w:val="0"/>
            <w:vAlign w:val="center"/>
          </w:tcPr>
          <w:p w14:paraId="1AD175B8">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1.供应商针对本项目提供人员调整承诺（根据项目实际情况采购人有权要求成交供应商增加或调整相关专业人员</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 xml:space="preserve">费用不予调整）承诺计2分，未提供不计分； </w:t>
            </w:r>
          </w:p>
          <w:p w14:paraId="2782ECFE">
            <w:pPr>
              <w:keepNext w:val="0"/>
              <w:keepLines w:val="0"/>
              <w:widowControl/>
              <w:suppressLineNumbers w:val="0"/>
              <w:spacing w:line="360" w:lineRule="auto"/>
              <w:jc w:val="left"/>
              <w:rPr>
                <w:rFonts w:hint="eastAsia"/>
                <w:color w:val="auto"/>
                <w:spacing w:val="1"/>
                <w:highlight w:val="none"/>
                <w:lang w:eastAsia="zh-CN"/>
              </w:rPr>
            </w:pPr>
            <w:r>
              <w:rPr>
                <w:rFonts w:hint="eastAsia" w:ascii="宋体" w:hAnsi="宋体" w:eastAsia="宋体" w:cs="宋体"/>
                <w:color w:val="auto"/>
                <w:kern w:val="0"/>
                <w:sz w:val="24"/>
                <w:szCs w:val="24"/>
                <w:highlight w:val="none"/>
                <w:lang w:val="en-US" w:eastAsia="zh-CN" w:bidi="ar"/>
              </w:rPr>
              <w:t xml:space="preserve">2.供应商针对本项目提供“在服务期限内不擅自或无故更换本项目团队人员。擅自更换项目团队人员的，承担相应的违约责任”的承诺计2分，未提供不计分。 </w:t>
            </w:r>
          </w:p>
        </w:tc>
      </w:tr>
      <w:tr w14:paraId="44C42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jc w:val="center"/>
        </w:trPr>
        <w:tc>
          <w:tcPr>
            <w:tcW w:w="1087" w:type="dxa"/>
            <w:vMerge w:val="restart"/>
            <w:noWrap w:val="0"/>
            <w:vAlign w:val="center"/>
          </w:tcPr>
          <w:p w14:paraId="1EF3E642">
            <w:pPr>
              <w:pStyle w:val="57"/>
              <w:spacing w:before="78"/>
              <w:jc w:val="center"/>
              <w:rPr>
                <w:rFonts w:hint="eastAsia"/>
                <w:color w:val="auto"/>
                <w:spacing w:val="-4"/>
                <w:highlight w:val="none"/>
              </w:rPr>
            </w:pPr>
            <w:r>
              <w:rPr>
                <w:rFonts w:hint="eastAsia"/>
                <w:color w:val="auto"/>
                <w:spacing w:val="-4"/>
                <w:highlight w:val="none"/>
                <w:lang w:val="en-US" w:eastAsia="zh-CN"/>
              </w:rPr>
              <w:t>响应</w:t>
            </w:r>
            <w:r>
              <w:rPr>
                <w:color w:val="auto"/>
                <w:spacing w:val="-4"/>
                <w:highlight w:val="none"/>
              </w:rPr>
              <w:t>报价</w:t>
            </w:r>
          </w:p>
          <w:p w14:paraId="37ABAFF3">
            <w:pPr>
              <w:pStyle w:val="57"/>
              <w:spacing w:before="78"/>
              <w:jc w:val="center"/>
              <w:rPr>
                <w:rFonts w:hint="eastAsia"/>
                <w:color w:val="auto"/>
                <w:spacing w:val="-4"/>
                <w:highlight w:val="none"/>
              </w:rPr>
            </w:pPr>
            <w:r>
              <w:rPr>
                <w:rFonts w:hint="eastAsia"/>
                <w:color w:val="auto"/>
                <w:spacing w:val="-11"/>
                <w:highlight w:val="none"/>
              </w:rPr>
              <w:t>（</w:t>
            </w:r>
            <w:r>
              <w:rPr>
                <w:rFonts w:hint="eastAsia"/>
                <w:color w:val="auto"/>
                <w:spacing w:val="-11"/>
                <w:highlight w:val="none"/>
                <w:lang w:val="en-US" w:eastAsia="zh-CN"/>
              </w:rPr>
              <w:t>20</w:t>
            </w:r>
            <w:r>
              <w:rPr>
                <w:rFonts w:hint="eastAsia"/>
                <w:color w:val="auto"/>
                <w:spacing w:val="-11"/>
                <w:highlight w:val="none"/>
              </w:rPr>
              <w:t>分）</w:t>
            </w:r>
          </w:p>
        </w:tc>
        <w:tc>
          <w:tcPr>
            <w:tcW w:w="1328" w:type="dxa"/>
            <w:noWrap w:val="0"/>
            <w:vAlign w:val="center"/>
          </w:tcPr>
          <w:p w14:paraId="12CBE650">
            <w:pPr>
              <w:pStyle w:val="57"/>
              <w:keepNext w:val="0"/>
              <w:keepLines w:val="0"/>
              <w:pageBreakBefore w:val="0"/>
              <w:widowControl w:val="0"/>
              <w:kinsoku/>
              <w:wordWrap/>
              <w:overflowPunct/>
              <w:topLinePunct w:val="0"/>
              <w:autoSpaceDE/>
              <w:autoSpaceDN/>
              <w:bidi w:val="0"/>
              <w:adjustRightInd/>
              <w:snapToGrid/>
              <w:spacing w:line="240" w:lineRule="auto"/>
              <w:ind w:left="113" w:right="68" w:firstLine="62"/>
              <w:jc w:val="center"/>
              <w:textAlignment w:val="auto"/>
              <w:rPr>
                <w:rFonts w:hint="eastAsia"/>
                <w:color w:val="auto"/>
                <w:spacing w:val="-2"/>
                <w:highlight w:val="none"/>
              </w:rPr>
            </w:pPr>
            <w:r>
              <w:rPr>
                <w:rFonts w:hint="eastAsia" w:ascii="宋体" w:hAnsi="宋体" w:cs="宋体"/>
                <w:color w:val="auto"/>
                <w:sz w:val="24"/>
                <w:szCs w:val="24"/>
                <w:highlight w:val="none"/>
              </w:rPr>
              <w:t>固定基本费</w:t>
            </w:r>
            <w:r>
              <w:rPr>
                <w:rFonts w:hint="eastAsia" w:cs="宋体"/>
                <w:color w:val="auto"/>
                <w:sz w:val="24"/>
                <w:szCs w:val="24"/>
                <w:highlight w:val="none"/>
                <w:lang w:val="en-US" w:eastAsia="zh-CN"/>
              </w:rPr>
              <w:t>费率</w:t>
            </w:r>
            <w:r>
              <w:rPr>
                <w:rFonts w:hint="eastAsia"/>
                <w:color w:val="auto"/>
                <w:spacing w:val="-2"/>
                <w:highlight w:val="none"/>
              </w:rPr>
              <w:t>评审</w:t>
            </w:r>
          </w:p>
          <w:p w14:paraId="74BD4810">
            <w:pPr>
              <w:pStyle w:val="57"/>
              <w:keepNext w:val="0"/>
              <w:keepLines w:val="0"/>
              <w:pageBreakBefore w:val="0"/>
              <w:widowControl w:val="0"/>
              <w:kinsoku/>
              <w:wordWrap/>
              <w:overflowPunct/>
              <w:topLinePunct w:val="0"/>
              <w:autoSpaceDE/>
              <w:autoSpaceDN/>
              <w:bidi w:val="0"/>
              <w:adjustRightInd/>
              <w:snapToGrid/>
              <w:spacing w:line="240" w:lineRule="auto"/>
              <w:ind w:left="113" w:right="68" w:firstLine="62"/>
              <w:jc w:val="center"/>
              <w:textAlignment w:val="auto"/>
              <w:rPr>
                <w:rFonts w:hint="eastAsia"/>
                <w:color w:val="auto"/>
                <w:spacing w:val="-2"/>
                <w:highlight w:val="none"/>
              </w:rPr>
            </w:pPr>
            <w:r>
              <w:rPr>
                <w:rFonts w:hint="eastAsia"/>
                <w:color w:val="auto"/>
                <w:spacing w:val="-2"/>
                <w:highlight w:val="none"/>
              </w:rPr>
              <w:t>（</w:t>
            </w:r>
            <w:r>
              <w:rPr>
                <w:rFonts w:hint="eastAsia"/>
                <w:color w:val="auto"/>
                <w:spacing w:val="-2"/>
                <w:highlight w:val="none"/>
                <w:lang w:val="en-US" w:eastAsia="zh-CN"/>
              </w:rPr>
              <w:t>10</w:t>
            </w:r>
            <w:r>
              <w:rPr>
                <w:rFonts w:hint="eastAsia"/>
                <w:color w:val="auto"/>
                <w:spacing w:val="-2"/>
                <w:highlight w:val="none"/>
              </w:rPr>
              <w:t>分）</w:t>
            </w:r>
          </w:p>
        </w:tc>
        <w:tc>
          <w:tcPr>
            <w:tcW w:w="6319" w:type="dxa"/>
            <w:noWrap w:val="0"/>
            <w:vAlign w:val="top"/>
          </w:tcPr>
          <w:p w14:paraId="2AC69156">
            <w:pPr>
              <w:pStyle w:val="57"/>
              <w:spacing w:before="196" w:line="360" w:lineRule="auto"/>
              <w:ind w:left="113" w:right="147"/>
              <w:rPr>
                <w:rFonts w:hint="eastAsia"/>
                <w:b/>
                <w:bCs/>
                <w:color w:val="auto"/>
                <w:spacing w:val="-2"/>
                <w:szCs w:val="24"/>
                <w:highlight w:val="none"/>
                <w:lang w:eastAsia="zh-CN"/>
              </w:rPr>
            </w:pPr>
            <w:r>
              <w:rPr>
                <w:rFonts w:hint="eastAsia"/>
                <w:color w:val="auto"/>
                <w:szCs w:val="24"/>
                <w:highlight w:val="none"/>
                <w:lang w:eastAsia="zh-CN"/>
              </w:rPr>
              <w:t>满足磋商文件要求且</w:t>
            </w:r>
            <w:r>
              <w:rPr>
                <w:rFonts w:hint="eastAsia" w:ascii="宋体" w:hAnsi="宋体" w:cs="宋体"/>
                <w:color w:val="auto"/>
                <w:sz w:val="24"/>
                <w:szCs w:val="24"/>
                <w:highlight w:val="none"/>
              </w:rPr>
              <w:t>固定基本费</w:t>
            </w:r>
            <w:r>
              <w:rPr>
                <w:rFonts w:hint="eastAsia" w:cs="宋体"/>
                <w:color w:val="auto"/>
                <w:sz w:val="24"/>
                <w:szCs w:val="24"/>
                <w:highlight w:val="none"/>
                <w:lang w:val="en-US" w:eastAsia="zh-CN"/>
              </w:rPr>
              <w:t>费率</w:t>
            </w:r>
            <w:r>
              <w:rPr>
                <w:rFonts w:hint="eastAsia"/>
                <w:color w:val="auto"/>
                <w:szCs w:val="24"/>
                <w:highlight w:val="none"/>
                <w:lang w:eastAsia="zh-CN"/>
              </w:rPr>
              <w:t>最终响应价格最低的报价为评</w:t>
            </w:r>
            <w:r>
              <w:rPr>
                <w:rFonts w:hint="eastAsia"/>
                <w:color w:val="auto"/>
                <w:spacing w:val="1"/>
                <w:szCs w:val="24"/>
                <w:highlight w:val="none"/>
                <w:lang w:eastAsia="zh-CN"/>
              </w:rPr>
              <w:t>审基准价,其价格分为满分</w:t>
            </w:r>
            <w:r>
              <w:rPr>
                <w:rFonts w:hint="eastAsia"/>
                <w:color w:val="auto"/>
                <w:spacing w:val="1"/>
                <w:szCs w:val="24"/>
                <w:highlight w:val="none"/>
                <w:lang w:val="en-US" w:eastAsia="zh-CN"/>
              </w:rPr>
              <w:t>10</w:t>
            </w:r>
            <w:r>
              <w:rPr>
                <w:rFonts w:hint="eastAsia"/>
                <w:color w:val="auto"/>
                <w:spacing w:val="1"/>
                <w:szCs w:val="24"/>
                <w:highlight w:val="none"/>
                <w:lang w:eastAsia="zh-CN"/>
              </w:rPr>
              <w:t>分,其他供应商的价格分按</w:t>
            </w:r>
            <w:r>
              <w:rPr>
                <w:rFonts w:hint="eastAsia"/>
                <w:color w:val="auto"/>
                <w:spacing w:val="6"/>
                <w:szCs w:val="24"/>
                <w:highlight w:val="none"/>
                <w:lang w:eastAsia="zh-CN"/>
              </w:rPr>
              <w:t>照下列公式计算：响应报价得分=(评审基准价/</w:t>
            </w:r>
            <w:r>
              <w:rPr>
                <w:rFonts w:hint="eastAsia" w:ascii="宋体" w:hAnsi="宋体" w:cs="宋体"/>
                <w:color w:val="auto"/>
                <w:sz w:val="24"/>
                <w:szCs w:val="24"/>
                <w:highlight w:val="none"/>
              </w:rPr>
              <w:t>固定基本费</w:t>
            </w:r>
            <w:r>
              <w:rPr>
                <w:rFonts w:hint="eastAsia" w:cs="宋体"/>
                <w:color w:val="auto"/>
                <w:sz w:val="24"/>
                <w:szCs w:val="24"/>
                <w:highlight w:val="none"/>
                <w:lang w:val="en-US" w:eastAsia="zh-CN"/>
              </w:rPr>
              <w:t>费率</w:t>
            </w:r>
            <w:r>
              <w:rPr>
                <w:rFonts w:hint="eastAsia"/>
                <w:color w:val="auto"/>
                <w:spacing w:val="6"/>
                <w:szCs w:val="24"/>
                <w:highlight w:val="none"/>
                <w:lang w:eastAsia="zh-CN"/>
              </w:rPr>
              <w:t>最终响应</w:t>
            </w:r>
            <w:r>
              <w:rPr>
                <w:rFonts w:hint="eastAsia"/>
                <w:color w:val="auto"/>
                <w:spacing w:val="-2"/>
                <w:szCs w:val="24"/>
                <w:highlight w:val="none"/>
                <w:lang w:eastAsia="zh-CN"/>
              </w:rPr>
              <w:t>报价)×</w:t>
            </w:r>
            <w:r>
              <w:rPr>
                <w:rFonts w:hint="eastAsia"/>
                <w:color w:val="auto"/>
                <w:spacing w:val="-2"/>
                <w:szCs w:val="24"/>
                <w:highlight w:val="none"/>
                <w:lang w:val="en-US" w:eastAsia="zh-CN"/>
              </w:rPr>
              <w:t>10</w:t>
            </w:r>
            <w:r>
              <w:rPr>
                <w:rFonts w:hint="eastAsia"/>
                <w:color w:val="auto"/>
                <w:spacing w:val="-2"/>
                <w:szCs w:val="24"/>
                <w:highlight w:val="none"/>
                <w:lang w:eastAsia="zh-CN"/>
              </w:rPr>
              <w:t>；</w:t>
            </w:r>
          </w:p>
        </w:tc>
      </w:tr>
      <w:tr w14:paraId="0CEBF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2" w:hRule="atLeast"/>
          <w:jc w:val="center"/>
        </w:trPr>
        <w:tc>
          <w:tcPr>
            <w:tcW w:w="1087" w:type="dxa"/>
            <w:vMerge w:val="continue"/>
            <w:noWrap w:val="0"/>
            <w:vAlign w:val="center"/>
          </w:tcPr>
          <w:p w14:paraId="6624DCC5">
            <w:pPr>
              <w:pStyle w:val="57"/>
              <w:spacing w:before="78"/>
              <w:jc w:val="center"/>
              <w:rPr>
                <w:rFonts w:hint="eastAsia"/>
                <w:color w:val="auto"/>
                <w:spacing w:val="-11"/>
                <w:highlight w:val="none"/>
              </w:rPr>
            </w:pPr>
          </w:p>
        </w:tc>
        <w:tc>
          <w:tcPr>
            <w:tcW w:w="1328" w:type="dxa"/>
            <w:noWrap w:val="0"/>
            <w:vAlign w:val="center"/>
          </w:tcPr>
          <w:p w14:paraId="79043575">
            <w:pPr>
              <w:pStyle w:val="57"/>
              <w:keepNext w:val="0"/>
              <w:keepLines w:val="0"/>
              <w:pageBreakBefore w:val="0"/>
              <w:widowControl w:val="0"/>
              <w:kinsoku/>
              <w:wordWrap/>
              <w:overflowPunct/>
              <w:topLinePunct w:val="0"/>
              <w:autoSpaceDE/>
              <w:autoSpaceDN/>
              <w:bidi w:val="0"/>
              <w:adjustRightInd/>
              <w:snapToGrid/>
              <w:spacing w:line="240" w:lineRule="auto"/>
              <w:ind w:left="113" w:right="68" w:firstLine="62"/>
              <w:jc w:val="center"/>
              <w:textAlignment w:val="auto"/>
              <w:rPr>
                <w:rFonts w:hint="eastAsia"/>
                <w:color w:val="auto"/>
                <w:spacing w:val="-2"/>
                <w:highlight w:val="none"/>
              </w:rPr>
            </w:pPr>
            <w:r>
              <w:rPr>
                <w:rFonts w:hint="eastAsia" w:ascii="宋体" w:hAnsi="宋体" w:cs="宋体"/>
                <w:color w:val="auto"/>
                <w:sz w:val="24"/>
                <w:szCs w:val="24"/>
                <w:highlight w:val="none"/>
              </w:rPr>
              <w:t>效益费</w:t>
            </w:r>
            <w:r>
              <w:rPr>
                <w:rFonts w:hint="eastAsia" w:cs="宋体"/>
                <w:color w:val="auto"/>
                <w:sz w:val="24"/>
                <w:szCs w:val="24"/>
                <w:highlight w:val="none"/>
                <w:lang w:val="en-US" w:eastAsia="zh-CN"/>
              </w:rPr>
              <w:t>费率</w:t>
            </w:r>
            <w:r>
              <w:rPr>
                <w:rFonts w:hint="eastAsia"/>
                <w:color w:val="auto"/>
                <w:spacing w:val="-2"/>
                <w:highlight w:val="none"/>
              </w:rPr>
              <w:t>评审</w:t>
            </w:r>
          </w:p>
          <w:p w14:paraId="725A61D6">
            <w:pPr>
              <w:pStyle w:val="57"/>
              <w:keepNext w:val="0"/>
              <w:keepLines w:val="0"/>
              <w:pageBreakBefore w:val="0"/>
              <w:widowControl w:val="0"/>
              <w:kinsoku/>
              <w:wordWrap/>
              <w:overflowPunct/>
              <w:topLinePunct w:val="0"/>
              <w:autoSpaceDE/>
              <w:autoSpaceDN/>
              <w:bidi w:val="0"/>
              <w:adjustRightInd/>
              <w:snapToGrid/>
              <w:spacing w:line="240" w:lineRule="auto"/>
              <w:ind w:left="113" w:right="68" w:firstLine="62"/>
              <w:jc w:val="center"/>
              <w:textAlignment w:val="auto"/>
              <w:rPr>
                <w:rFonts w:hint="eastAsia"/>
                <w:color w:val="auto"/>
                <w:spacing w:val="-2"/>
                <w:highlight w:val="none"/>
              </w:rPr>
            </w:pPr>
            <w:r>
              <w:rPr>
                <w:rFonts w:hint="eastAsia"/>
                <w:color w:val="auto"/>
                <w:spacing w:val="-2"/>
                <w:highlight w:val="none"/>
              </w:rPr>
              <w:t>（</w:t>
            </w:r>
            <w:r>
              <w:rPr>
                <w:rFonts w:hint="eastAsia"/>
                <w:color w:val="auto"/>
                <w:spacing w:val="-2"/>
                <w:highlight w:val="none"/>
                <w:lang w:val="en-US" w:eastAsia="zh-CN"/>
              </w:rPr>
              <w:t>10</w:t>
            </w:r>
            <w:r>
              <w:rPr>
                <w:rFonts w:hint="eastAsia"/>
                <w:color w:val="auto"/>
                <w:spacing w:val="-2"/>
                <w:highlight w:val="none"/>
              </w:rPr>
              <w:t>分）</w:t>
            </w:r>
          </w:p>
        </w:tc>
        <w:tc>
          <w:tcPr>
            <w:tcW w:w="6319" w:type="dxa"/>
            <w:noWrap w:val="0"/>
            <w:vAlign w:val="top"/>
          </w:tcPr>
          <w:p w14:paraId="71C2B783">
            <w:pPr>
              <w:pStyle w:val="57"/>
              <w:spacing w:before="196" w:line="240" w:lineRule="auto"/>
              <w:ind w:left="113" w:right="147"/>
              <w:rPr>
                <w:rFonts w:hint="eastAsia"/>
                <w:color w:val="auto"/>
                <w:szCs w:val="24"/>
                <w:highlight w:val="none"/>
                <w:lang w:eastAsia="zh-CN"/>
              </w:rPr>
            </w:pPr>
            <w:r>
              <w:rPr>
                <w:rFonts w:hint="eastAsia"/>
                <w:b/>
                <w:bCs/>
                <w:color w:val="auto"/>
                <w:szCs w:val="24"/>
                <w:highlight w:val="none"/>
                <w:lang w:eastAsia="zh-CN"/>
              </w:rPr>
              <w:t>（</w:t>
            </w:r>
            <w:r>
              <w:rPr>
                <w:rFonts w:hint="eastAsia" w:ascii="宋体" w:hAnsi="宋体" w:cs="宋体"/>
                <w:b/>
                <w:bCs/>
                <w:color w:val="auto"/>
                <w:sz w:val="24"/>
                <w:szCs w:val="24"/>
                <w:highlight w:val="none"/>
              </w:rPr>
              <w:t>效益费</w:t>
            </w:r>
            <w:r>
              <w:rPr>
                <w:rFonts w:hint="eastAsia" w:cs="宋体"/>
                <w:b/>
                <w:bCs/>
                <w:color w:val="auto"/>
                <w:sz w:val="24"/>
                <w:szCs w:val="24"/>
                <w:highlight w:val="none"/>
                <w:lang w:val="en-US" w:eastAsia="zh-CN"/>
              </w:rPr>
              <w:t>率为一次性报价</w:t>
            </w:r>
            <w:r>
              <w:rPr>
                <w:rFonts w:hint="eastAsia"/>
                <w:b/>
                <w:bCs/>
                <w:color w:val="auto"/>
                <w:szCs w:val="24"/>
                <w:highlight w:val="none"/>
                <w:lang w:eastAsia="zh-CN"/>
              </w:rPr>
              <w:t>）</w:t>
            </w:r>
          </w:p>
          <w:p w14:paraId="7EC7A75B">
            <w:pPr>
              <w:pStyle w:val="57"/>
              <w:spacing w:before="196" w:line="360" w:lineRule="auto"/>
              <w:ind w:left="113" w:right="147"/>
              <w:rPr>
                <w:rFonts w:hint="eastAsia"/>
                <w:color w:val="auto"/>
                <w:szCs w:val="24"/>
                <w:highlight w:val="none"/>
                <w:lang w:eastAsia="zh-CN"/>
              </w:rPr>
            </w:pPr>
            <w:r>
              <w:rPr>
                <w:rFonts w:hint="eastAsia"/>
                <w:color w:val="auto"/>
                <w:szCs w:val="24"/>
                <w:highlight w:val="none"/>
                <w:lang w:eastAsia="zh-CN"/>
              </w:rPr>
              <w:t>满足磋商文件要求且</w:t>
            </w:r>
            <w:r>
              <w:rPr>
                <w:rFonts w:hint="eastAsia" w:ascii="宋体" w:hAnsi="宋体" w:cs="宋体"/>
                <w:color w:val="auto"/>
                <w:sz w:val="24"/>
                <w:szCs w:val="24"/>
                <w:highlight w:val="none"/>
              </w:rPr>
              <w:t>效益费</w:t>
            </w:r>
            <w:r>
              <w:rPr>
                <w:rFonts w:hint="eastAsia" w:cs="宋体"/>
                <w:color w:val="auto"/>
                <w:sz w:val="24"/>
                <w:szCs w:val="24"/>
                <w:highlight w:val="none"/>
                <w:lang w:val="en-US" w:eastAsia="zh-CN"/>
              </w:rPr>
              <w:t>费率</w:t>
            </w:r>
            <w:r>
              <w:rPr>
                <w:rFonts w:hint="eastAsia"/>
                <w:color w:val="auto"/>
                <w:szCs w:val="24"/>
                <w:highlight w:val="none"/>
                <w:lang w:eastAsia="zh-CN"/>
              </w:rPr>
              <w:t>最终响应价格最低的响应报价为评</w:t>
            </w:r>
            <w:r>
              <w:rPr>
                <w:rFonts w:hint="eastAsia"/>
                <w:color w:val="auto"/>
                <w:spacing w:val="1"/>
                <w:szCs w:val="24"/>
                <w:highlight w:val="none"/>
                <w:lang w:eastAsia="zh-CN"/>
              </w:rPr>
              <w:t>审基准价,其价格分为满分</w:t>
            </w:r>
            <w:r>
              <w:rPr>
                <w:rFonts w:hint="eastAsia"/>
                <w:color w:val="auto"/>
                <w:spacing w:val="1"/>
                <w:szCs w:val="24"/>
                <w:highlight w:val="none"/>
                <w:lang w:val="en-US" w:eastAsia="zh-CN"/>
              </w:rPr>
              <w:t>10</w:t>
            </w:r>
            <w:r>
              <w:rPr>
                <w:rFonts w:hint="eastAsia"/>
                <w:color w:val="auto"/>
                <w:spacing w:val="1"/>
                <w:szCs w:val="24"/>
                <w:highlight w:val="none"/>
                <w:lang w:eastAsia="zh-CN"/>
              </w:rPr>
              <w:t>分,其他供应商的价格分按</w:t>
            </w:r>
            <w:r>
              <w:rPr>
                <w:rFonts w:hint="eastAsia"/>
                <w:color w:val="auto"/>
                <w:spacing w:val="6"/>
                <w:szCs w:val="24"/>
                <w:highlight w:val="none"/>
                <w:lang w:eastAsia="zh-CN"/>
              </w:rPr>
              <w:t>照下列公式计算：响应报价得分=(评审基准价/</w:t>
            </w:r>
            <w:r>
              <w:rPr>
                <w:rFonts w:hint="eastAsia" w:ascii="宋体" w:hAnsi="宋体" w:cs="宋体"/>
                <w:color w:val="auto"/>
                <w:sz w:val="24"/>
                <w:szCs w:val="24"/>
                <w:highlight w:val="none"/>
              </w:rPr>
              <w:t>效益费</w:t>
            </w:r>
            <w:r>
              <w:rPr>
                <w:rFonts w:hint="eastAsia" w:cs="宋体"/>
                <w:color w:val="auto"/>
                <w:sz w:val="24"/>
                <w:szCs w:val="24"/>
                <w:highlight w:val="none"/>
                <w:lang w:val="en-US" w:eastAsia="zh-CN"/>
              </w:rPr>
              <w:t>费率</w:t>
            </w:r>
            <w:r>
              <w:rPr>
                <w:rFonts w:hint="eastAsia"/>
                <w:color w:val="auto"/>
                <w:spacing w:val="6"/>
                <w:szCs w:val="24"/>
                <w:highlight w:val="none"/>
                <w:lang w:eastAsia="zh-CN"/>
              </w:rPr>
              <w:t>最终响应</w:t>
            </w:r>
            <w:r>
              <w:rPr>
                <w:rFonts w:hint="eastAsia"/>
                <w:color w:val="auto"/>
                <w:spacing w:val="-2"/>
                <w:szCs w:val="24"/>
                <w:highlight w:val="none"/>
                <w:lang w:eastAsia="zh-CN"/>
              </w:rPr>
              <w:t>报价)×</w:t>
            </w:r>
            <w:r>
              <w:rPr>
                <w:rFonts w:hint="eastAsia"/>
                <w:color w:val="auto"/>
                <w:spacing w:val="-2"/>
                <w:szCs w:val="24"/>
                <w:highlight w:val="none"/>
                <w:lang w:val="en-US" w:eastAsia="zh-CN"/>
              </w:rPr>
              <w:t>10</w:t>
            </w:r>
            <w:r>
              <w:rPr>
                <w:rFonts w:hint="eastAsia"/>
                <w:color w:val="auto"/>
                <w:spacing w:val="-2"/>
                <w:szCs w:val="24"/>
                <w:highlight w:val="none"/>
                <w:lang w:eastAsia="zh-CN"/>
              </w:rPr>
              <w:t>；</w:t>
            </w:r>
          </w:p>
        </w:tc>
      </w:tr>
    </w:tbl>
    <w:p w14:paraId="708F8A1C">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备注：</w:t>
      </w:r>
    </w:p>
    <w:p w14:paraId="5A5CFC16">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1.本项目专门面向</w:t>
      </w:r>
      <w:r>
        <w:rPr>
          <w:rFonts w:hint="eastAsia" w:ascii="宋体" w:hAnsi="宋体" w:cs="宋体"/>
          <w:b/>
          <w:bCs/>
          <w:color w:val="auto"/>
          <w:sz w:val="24"/>
          <w:highlight w:val="none"/>
          <w:lang w:val="en-US" w:eastAsia="zh-CN"/>
        </w:rPr>
        <w:t>中小</w:t>
      </w:r>
      <w:r>
        <w:rPr>
          <w:rFonts w:hint="eastAsia" w:ascii="宋体" w:hAnsi="宋体" w:cs="宋体"/>
          <w:b/>
          <w:bCs/>
          <w:color w:val="auto"/>
          <w:sz w:val="24"/>
          <w:highlight w:val="none"/>
        </w:rPr>
        <w:t>企业采购</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供应商须提供中小企业声明函</w:t>
      </w:r>
      <w:r>
        <w:rPr>
          <w:rFonts w:hint="eastAsia" w:ascii="宋体" w:hAnsi="宋体" w:cs="宋体"/>
          <w:b/>
          <w:bCs/>
          <w:color w:val="auto"/>
          <w:sz w:val="24"/>
          <w:highlight w:val="none"/>
        </w:rPr>
        <w:t>；</w:t>
      </w:r>
    </w:p>
    <w:p w14:paraId="73DD43A2">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2.监狱企业视同小型、微型企业。监狱企业参加政府采购活动时，须提供由省级以上监狱管理局、戒毒管理局（含新疆生产建设兵团）出具的属于监狱企业的证明文件。</w:t>
      </w:r>
    </w:p>
    <w:p w14:paraId="2888E961">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3.残疾人福利性单位视同小型、微型企业。残疾人福利性单位参加政府采购活动时，须出具三部门联合发布关于促进残疾人就业政府采购政策的通知财库〔2017〕141号规定的残疾人福利性单位声明函。</w:t>
      </w:r>
    </w:p>
    <w:p w14:paraId="07FDA21F">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评审指标出现漏项的最低得分为零分。</w:t>
      </w:r>
    </w:p>
    <w:p w14:paraId="56B4EFAD">
      <w:pPr>
        <w:spacing w:line="360" w:lineRule="auto"/>
        <w:rPr>
          <w:rFonts w:ascii="宋体" w:hAnsi="宋体" w:cs="宋体"/>
          <w:b/>
          <w:bCs/>
          <w:color w:val="auto"/>
          <w:sz w:val="24"/>
          <w:highlight w:val="none"/>
        </w:rPr>
        <w:sectPr>
          <w:headerReference r:id="rId14" w:type="default"/>
          <w:footerReference r:id="rId15" w:type="default"/>
          <w:pgSz w:w="11906" w:h="16838"/>
          <w:pgMar w:top="1440" w:right="1483" w:bottom="1440" w:left="1803" w:header="851" w:footer="992" w:gutter="0"/>
          <w:pgNumType w:fmt="decimal"/>
          <w:cols w:space="720" w:num="1"/>
          <w:formProt w:val="0"/>
          <w:docGrid w:type="lines" w:linePitch="319" w:charSpace="0"/>
        </w:sectPr>
      </w:pPr>
    </w:p>
    <w:p w14:paraId="32370D47">
      <w:pPr>
        <w:pStyle w:val="2"/>
        <w:numPr>
          <w:ilvl w:val="0"/>
          <w:numId w:val="19"/>
        </w:numPr>
        <w:spacing w:line="240" w:lineRule="auto"/>
        <w:rPr>
          <w:color w:val="auto"/>
          <w:highlight w:val="none"/>
        </w:rPr>
      </w:pPr>
      <w:bookmarkStart w:id="35" w:name="_Toc15480"/>
      <w:bookmarkStart w:id="36" w:name="_Toc30850"/>
      <w:bookmarkStart w:id="37" w:name="_Toc28287"/>
      <w:r>
        <w:rPr>
          <w:color w:val="auto"/>
          <w:highlight w:val="none"/>
        </w:rPr>
        <w:t>采购要求</w:t>
      </w:r>
      <w:bookmarkEnd w:id="35"/>
      <w:bookmarkEnd w:id="36"/>
      <w:bookmarkEnd w:id="37"/>
    </w:p>
    <w:p w14:paraId="75658F04">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仿宋" w:hAnsi="仿宋" w:eastAsia="仿宋" w:cs="仿宋"/>
          <w:b/>
          <w:bCs/>
          <w:i w:val="0"/>
          <w:iCs w:val="0"/>
          <w:color w:val="auto"/>
          <w:sz w:val="28"/>
          <w:szCs w:val="28"/>
          <w:highlight w:val="none"/>
          <w:u w:val="none"/>
        </w:rPr>
      </w:pPr>
      <w:bookmarkStart w:id="38" w:name="_Toc18322"/>
      <w:bookmarkStart w:id="39" w:name="_Toc6563"/>
      <w:bookmarkStart w:id="40" w:name="_Toc28781"/>
      <w:r>
        <w:rPr>
          <w:rFonts w:hint="eastAsia" w:ascii="仿宋" w:hAnsi="仿宋" w:eastAsia="仿宋" w:cs="仿宋"/>
          <w:b/>
          <w:bCs/>
          <w:i w:val="0"/>
          <w:iCs w:val="0"/>
          <w:color w:val="auto"/>
          <w:sz w:val="28"/>
          <w:szCs w:val="28"/>
          <w:highlight w:val="none"/>
          <w:u w:val="none"/>
        </w:rPr>
        <w:t>（1）技术要求</w:t>
      </w:r>
    </w:p>
    <w:p w14:paraId="798510C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(一)项目概况</w:t>
      </w:r>
    </w:p>
    <w:p w14:paraId="4A6E641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1.工程规模：安康市人民医院病房改造提升项目，拟改造病房面积 23227.1m²,提升改造病房190间，配套附属设施。</w:t>
      </w:r>
    </w:p>
    <w:p w14:paraId="64A134B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2.本项目建设期为24个月(具体以实际工期为准).</w:t>
      </w:r>
    </w:p>
    <w:p w14:paraId="2306947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3.本项目总投资12270.07万元，其中工程费用10455.41万元，工程建设其他费用1230.37万元，预备费584.29万元。</w:t>
      </w:r>
    </w:p>
    <w:p w14:paraId="6F06914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宋体"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4.报价要求：</w:t>
      </w:r>
      <w:r>
        <w:rPr>
          <w:rFonts w:hint="eastAsia" w:ascii="仿宋" w:hAnsi="仿宋" w:eastAsia="仿宋" w:cs="仿宋"/>
          <w:i w:val="0"/>
          <w:iCs w:val="0"/>
          <w:color w:val="auto"/>
          <w:sz w:val="28"/>
          <w:szCs w:val="28"/>
          <w:highlight w:val="none"/>
          <w:u w:val="none"/>
        </w:rPr>
        <w:t>全过程造价跟踪审核最高限价为60万元，按固定基本费</w:t>
      </w:r>
      <w:r>
        <w:rPr>
          <w:rFonts w:hint="eastAsia" w:ascii="仿宋" w:hAnsi="仿宋" w:eastAsia="仿宋" w:cs="仿宋"/>
          <w:i w:val="0"/>
          <w:iCs w:val="0"/>
          <w:color w:val="auto"/>
          <w:sz w:val="28"/>
          <w:szCs w:val="28"/>
          <w:highlight w:val="none"/>
          <w:u w:val="none"/>
          <w:lang w:eastAsia="zh-CN"/>
        </w:rPr>
        <w:t>率</w:t>
      </w:r>
      <w:r>
        <w:rPr>
          <w:rFonts w:hint="eastAsia" w:ascii="仿宋" w:hAnsi="仿宋" w:eastAsia="仿宋" w:cs="仿宋"/>
          <w:i w:val="0"/>
          <w:iCs w:val="0"/>
          <w:color w:val="auto"/>
          <w:sz w:val="28"/>
          <w:szCs w:val="28"/>
          <w:highlight w:val="none"/>
          <w:u w:val="none"/>
        </w:rPr>
        <w:t xml:space="preserve"> (以实际发生的工程造价计算)+效益费</w:t>
      </w:r>
      <w:r>
        <w:rPr>
          <w:rFonts w:hint="eastAsia" w:ascii="仿宋" w:hAnsi="仿宋" w:eastAsia="仿宋" w:cs="仿宋"/>
          <w:i w:val="0"/>
          <w:iCs w:val="0"/>
          <w:color w:val="auto"/>
          <w:sz w:val="28"/>
          <w:szCs w:val="28"/>
          <w:highlight w:val="none"/>
          <w:u w:val="none"/>
          <w:lang w:eastAsia="zh-CN"/>
        </w:rPr>
        <w:t>率</w:t>
      </w:r>
      <w:r>
        <w:rPr>
          <w:rFonts w:hint="eastAsia" w:ascii="仿宋" w:hAnsi="仿宋" w:eastAsia="仿宋" w:cs="仿宋"/>
          <w:i w:val="0"/>
          <w:iCs w:val="0"/>
          <w:color w:val="auto"/>
          <w:sz w:val="28"/>
          <w:szCs w:val="28"/>
          <w:highlight w:val="none"/>
          <w:u w:val="none"/>
        </w:rPr>
        <w:t>(以核减额计算)</w:t>
      </w:r>
      <w:r>
        <w:rPr>
          <w:rFonts w:hint="eastAsia" w:ascii="仿宋" w:hAnsi="仿宋" w:eastAsia="仿宋" w:cs="仿宋"/>
          <w:i w:val="0"/>
          <w:iCs w:val="0"/>
          <w:color w:val="auto"/>
          <w:sz w:val="28"/>
          <w:szCs w:val="28"/>
          <w:highlight w:val="none"/>
          <w:u w:val="none"/>
          <w:lang w:eastAsia="zh-CN"/>
        </w:rPr>
        <w:t>进行报价</w:t>
      </w:r>
      <w:r>
        <w:rPr>
          <w:rFonts w:hint="eastAsia" w:ascii="仿宋" w:hAnsi="仿宋" w:eastAsia="仿宋" w:cs="仿宋"/>
          <w:i w:val="0"/>
          <w:iCs w:val="0"/>
          <w:color w:val="auto"/>
          <w:sz w:val="28"/>
          <w:szCs w:val="28"/>
          <w:highlight w:val="none"/>
          <w:u w:val="none"/>
        </w:rPr>
        <w:t>。</w:t>
      </w:r>
      <w:r>
        <w:rPr>
          <w:rFonts w:hint="eastAsia" w:ascii="仿宋" w:hAnsi="仿宋" w:eastAsia="仿宋" w:cs="仿宋"/>
          <w:i w:val="0"/>
          <w:iCs w:val="0"/>
          <w:color w:val="auto"/>
          <w:sz w:val="28"/>
          <w:szCs w:val="28"/>
          <w:highlight w:val="none"/>
          <w:u w:val="none"/>
          <w:lang w:val="en-US" w:eastAsia="zh-CN"/>
        </w:rPr>
        <w:t xml:space="preserve">  </w:t>
      </w:r>
      <w:r>
        <w:rPr>
          <w:rFonts w:hint="eastAsia" w:ascii="宋体" w:hAnsi="宋体" w:cs="宋体"/>
          <w:b/>
          <w:bCs/>
          <w:color w:val="auto"/>
          <w:sz w:val="24"/>
          <w:szCs w:val="24"/>
          <w:highlight w:val="none"/>
        </w:rPr>
        <w:t>固定基本费</w:t>
      </w:r>
      <w:r>
        <w:rPr>
          <w:rFonts w:hint="eastAsia" w:ascii="宋体" w:hAnsi="宋体" w:cs="宋体"/>
          <w:b/>
          <w:bCs/>
          <w:color w:val="auto"/>
          <w:sz w:val="24"/>
          <w:szCs w:val="24"/>
          <w:highlight w:val="none"/>
          <w:lang w:val="en-US" w:eastAsia="zh-CN"/>
        </w:rPr>
        <w:t>最高</w:t>
      </w:r>
      <w:r>
        <w:rPr>
          <w:rFonts w:hint="eastAsia" w:ascii="宋体" w:hAnsi="宋体" w:cs="宋体"/>
          <w:b/>
          <w:bCs/>
          <w:color w:val="auto"/>
          <w:sz w:val="24"/>
          <w:szCs w:val="24"/>
          <w:highlight w:val="none"/>
        </w:rPr>
        <w:t>限价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效益费</w:t>
      </w:r>
      <w:r>
        <w:rPr>
          <w:rFonts w:hint="eastAsia" w:ascii="宋体" w:hAnsi="宋体" w:cs="宋体"/>
          <w:b/>
          <w:bCs/>
          <w:color w:val="auto"/>
          <w:sz w:val="24"/>
          <w:szCs w:val="24"/>
          <w:highlight w:val="none"/>
          <w:lang w:val="en-US" w:eastAsia="zh-CN"/>
        </w:rPr>
        <w:t>最高</w:t>
      </w:r>
      <w:r>
        <w:rPr>
          <w:rFonts w:hint="eastAsia" w:ascii="宋体" w:hAnsi="宋体" w:cs="宋体"/>
          <w:b/>
          <w:bCs/>
          <w:color w:val="auto"/>
          <w:sz w:val="24"/>
          <w:szCs w:val="24"/>
          <w:highlight w:val="none"/>
        </w:rPr>
        <w:t>限价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w:t>
      </w:r>
    </w:p>
    <w:p w14:paraId="374FD35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(二)服务范围</w:t>
      </w:r>
    </w:p>
    <w:p w14:paraId="66913B3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本项目为项目实施阶段全过程造价跟踪审核工作，对项目建设前期阶段、实施准备阶段、实施阶段、竣工验收阶段进行全过程造价跟踪审核。主要包括：招标采购、工程量清单、最高限价、合同文件、隐蔽工程、变更签证、材料设备采购、工程进度款拨付、索赔事项、工程验收、竣工结算、竣工决算配合等审计。供应商应根据法律法规、行业规范、医院制度、审计要求等，对工程管理部门的工程管理、内部控制、风险管理活动等进行独立、客观地监督、评价。</w:t>
      </w:r>
    </w:p>
    <w:p w14:paraId="214F727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本项目成交后、进驻审计前，供应商应根据本项目的实际情况和项目特点，编制详细完整的审计工作实施方案，以控制审计过程、指导审计人员高质量完成审计工作。供应商应按照工程造价咨询的有关政策、法律法规、行业标准、审计准则和审计目的、内容和要求开展相应的审计工作。按照规范程序获取审计证据，编制审计记录，及时书面报告审计情况等。做到审计问题事实清楚、证据充分，定性准确，提出的意见恰当。审计工作团队要紧密结合施工过程实际，加强工作调研，实时掌握可能影响工程造价、质量、安全、工期等的政策、市场变化情况，不回避、不隐瞒审计过程中发现的任何风险和工作疏漏，提出有利于采购人控制造价、规范工程管理、落实管理责任的具有针对性和可操作性的审计建议。</w:t>
      </w:r>
    </w:p>
    <w:p w14:paraId="510A7156">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b w:val="0"/>
          <w:bCs w:val="0"/>
          <w:i w:val="0"/>
          <w:iCs w:val="0"/>
          <w:color w:val="auto"/>
          <w:sz w:val="28"/>
          <w:szCs w:val="28"/>
          <w:highlight w:val="none"/>
          <w:u w:val="none"/>
        </w:rPr>
      </w:pPr>
      <w:r>
        <w:rPr>
          <w:rFonts w:hint="eastAsia" w:ascii="仿宋" w:hAnsi="仿宋" w:eastAsia="仿宋" w:cs="仿宋"/>
          <w:b w:val="0"/>
          <w:bCs w:val="0"/>
          <w:i w:val="0"/>
          <w:iCs w:val="0"/>
          <w:color w:val="auto"/>
          <w:sz w:val="28"/>
          <w:szCs w:val="28"/>
          <w:highlight w:val="none"/>
          <w:u w:val="none"/>
        </w:rPr>
        <w:t>(三)服务要求</w:t>
      </w:r>
    </w:p>
    <w:p w14:paraId="25E7276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1.供应商在服务过程中应该坚持独立、客观、公正、科学的原则，独立于承建单位、监理单位、设计单位、造价咨询单位及招标代理机构等相关方，依法依规独立开展审计工作，仅对建设单位(采购人)负责，独立行使审计监督权，不受其他单位和个人干预，确保结果真实、准确、完整。</w:t>
      </w:r>
    </w:p>
    <w:p w14:paraId="4E84618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2.供应商必须严格遵守国家相关法律法规和规章，客观公正，遵守职业道德，接受采购人的监督和检查，对其工作成果负责。采购人有权根据制度规定，对供应商进行考核。</w:t>
      </w:r>
    </w:p>
    <w:p w14:paraId="271A5FE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3.供应商或拟派项目人员不得与被审核单位有关联关系，包括但不限于管理关系、参股、相互任职或兼职等，如存在关联关系，采购人有权解除本项目合同。项目部项目人员不得与被审核单位存在任何利害关系，若存在此类情形，成交供应商应更换所派项目人员。</w:t>
      </w:r>
    </w:p>
    <w:p w14:paraId="6868716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4.本项目成交后、进驻前，供应商应根据本项目单位的实际情况和项目特点，编制详细完整的审计工作实施方案，以控制审计过程、指导审计人员高质量完成审计工作。</w:t>
      </w:r>
    </w:p>
    <w:p w14:paraId="7273EB0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lang w:eastAsia="zh-CN"/>
        </w:rPr>
      </w:pPr>
      <w:r>
        <w:rPr>
          <w:rFonts w:hint="eastAsia" w:ascii="仿宋" w:hAnsi="仿宋" w:eastAsia="仿宋" w:cs="仿宋"/>
          <w:i w:val="0"/>
          <w:iCs w:val="0"/>
          <w:color w:val="auto"/>
          <w:sz w:val="28"/>
          <w:szCs w:val="28"/>
          <w:highlight w:val="none"/>
          <w:u w:val="none"/>
        </w:rPr>
        <w:t>5.供应商应承诺按照法律规定和合同约定，完成合同范围内的工程审计任务，不以任何形式将已接受的审计任务转包给其他机构或者个人</w:t>
      </w:r>
      <w:r>
        <w:rPr>
          <w:rFonts w:hint="eastAsia" w:ascii="仿宋" w:hAnsi="仿宋" w:eastAsia="仿宋" w:cs="仿宋"/>
          <w:i w:val="0"/>
          <w:iCs w:val="0"/>
          <w:color w:val="auto"/>
          <w:sz w:val="28"/>
          <w:szCs w:val="28"/>
          <w:highlight w:val="none"/>
          <w:u w:val="none"/>
          <w:lang w:eastAsia="zh-CN"/>
        </w:rPr>
        <w:t>。</w:t>
      </w:r>
    </w:p>
    <w:p w14:paraId="5244AC5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6.供应商应及时报告审计工作中的重大问题，定期报告审计工作进展情况，书面答复有关工作疑问。</w:t>
      </w:r>
    </w:p>
    <w:p w14:paraId="12F2FCE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7.供应商应按规定时间向采购人报告审计结论，并对其真实性、合法性、准确性负责。</w:t>
      </w:r>
    </w:p>
    <w:p w14:paraId="6E6FC5D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8.未经采购人批准，供应商不得以任何形式向任何单位或个人披露审计项目的有关信息，不得对外提供、泄露、公开审计项目的有关情况</w:t>
      </w:r>
    </w:p>
    <w:p w14:paraId="6E7673B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9.供应商应严格遵守各项承诺和审计工作纪律。</w:t>
      </w:r>
    </w:p>
    <w:p w14:paraId="651A843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 xml:space="preserve">(四)人员配置要求              </w:t>
      </w:r>
    </w:p>
    <w:p w14:paraId="685A46E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项目负责人具备国家一级注册造价工程师资格，并在本单位登记注册，具有高级工程师资质；项目组成员要求有土建专业、</w:t>
      </w:r>
      <w:r>
        <w:rPr>
          <w:rFonts w:hint="eastAsia" w:ascii="仿宋" w:hAnsi="仿宋" w:eastAsia="仿宋" w:cs="仿宋"/>
          <w:i w:val="0"/>
          <w:iCs w:val="0"/>
          <w:color w:val="auto"/>
          <w:sz w:val="28"/>
          <w:szCs w:val="28"/>
          <w:highlight w:val="none"/>
          <w:u w:val="none"/>
          <w:lang w:eastAsia="zh-CN"/>
        </w:rPr>
        <w:t>安装</w:t>
      </w:r>
      <w:r>
        <w:rPr>
          <w:rFonts w:hint="eastAsia" w:ascii="仿宋" w:hAnsi="仿宋" w:eastAsia="仿宋" w:cs="仿宋"/>
          <w:i w:val="0"/>
          <w:iCs w:val="0"/>
          <w:color w:val="auto"/>
          <w:sz w:val="28"/>
          <w:szCs w:val="28"/>
          <w:highlight w:val="none"/>
          <w:u w:val="none"/>
        </w:rPr>
        <w:t>专业等相关人员。整个审计服务期间需派一名技术人员驻场，驻场技术人 员须为一级注册造价工程师，中级及以上造价/工程类资质，为有利于工作开展，拟派的驻场人员必须为固定且不可更换的。根据项目进展需要项目负责人、</w:t>
      </w:r>
      <w:r>
        <w:rPr>
          <w:rFonts w:hint="eastAsia" w:ascii="仿宋" w:hAnsi="仿宋" w:eastAsia="仿宋" w:cs="仿宋"/>
          <w:i w:val="0"/>
          <w:iCs w:val="0"/>
          <w:color w:val="auto"/>
          <w:sz w:val="28"/>
          <w:szCs w:val="28"/>
          <w:highlight w:val="none"/>
          <w:u w:val="none"/>
          <w:lang w:eastAsia="zh-CN"/>
        </w:rPr>
        <w:t>驻场技术人员</w:t>
      </w:r>
      <w:r>
        <w:rPr>
          <w:rFonts w:hint="eastAsia" w:ascii="仿宋" w:hAnsi="仿宋" w:eastAsia="仿宋" w:cs="仿宋"/>
          <w:i w:val="0"/>
          <w:iCs w:val="0"/>
          <w:color w:val="auto"/>
          <w:sz w:val="28"/>
          <w:szCs w:val="28"/>
          <w:highlight w:val="none"/>
          <w:u w:val="none"/>
        </w:rPr>
        <w:t>等除参加例会外，每周开展现场巡查不少于3人次，其中驻场技术人</w:t>
      </w:r>
      <w:r>
        <w:rPr>
          <w:rFonts w:hint="eastAsia" w:ascii="仿宋" w:hAnsi="仿宋" w:eastAsia="仿宋" w:cs="仿宋"/>
          <w:i w:val="0"/>
          <w:iCs w:val="0"/>
          <w:color w:val="auto"/>
          <w:sz w:val="28"/>
          <w:szCs w:val="28"/>
          <w:highlight w:val="none"/>
          <w:u w:val="none"/>
          <w:lang w:eastAsia="zh-CN"/>
        </w:rPr>
        <w:t>员</w:t>
      </w:r>
      <w:r>
        <w:rPr>
          <w:rFonts w:hint="eastAsia" w:ascii="仿宋" w:hAnsi="仿宋" w:eastAsia="仿宋" w:cs="仿宋"/>
          <w:i w:val="0"/>
          <w:iCs w:val="0"/>
          <w:color w:val="auto"/>
          <w:sz w:val="28"/>
          <w:szCs w:val="28"/>
          <w:highlight w:val="none"/>
          <w:u w:val="none"/>
        </w:rPr>
        <w:t>一级注册造价工程师每周驻场不少于</w:t>
      </w:r>
      <w:r>
        <w:rPr>
          <w:rFonts w:hint="eastAsia" w:ascii="仿宋" w:hAnsi="仿宋" w:eastAsia="仿宋" w:cs="仿宋"/>
          <w:i w:val="0"/>
          <w:iCs w:val="0"/>
          <w:color w:val="auto"/>
          <w:sz w:val="28"/>
          <w:szCs w:val="28"/>
          <w:highlight w:val="none"/>
          <w:u w:val="none"/>
          <w:lang w:val="en-US" w:eastAsia="zh-CN"/>
        </w:rPr>
        <w:t>5</w:t>
      </w:r>
      <w:r>
        <w:rPr>
          <w:rFonts w:hint="eastAsia" w:ascii="仿宋" w:hAnsi="仿宋" w:eastAsia="仿宋" w:cs="仿宋"/>
          <w:i w:val="0"/>
          <w:iCs w:val="0"/>
          <w:color w:val="auto"/>
          <w:sz w:val="28"/>
          <w:szCs w:val="28"/>
          <w:highlight w:val="none"/>
          <w:u w:val="none"/>
        </w:rPr>
        <w:t>天。</w:t>
      </w:r>
    </w:p>
    <w:p w14:paraId="1761BFC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lang w:eastAsia="zh-CN"/>
        </w:rPr>
      </w:pPr>
      <w:r>
        <w:rPr>
          <w:rFonts w:hint="eastAsia" w:ascii="仿宋" w:hAnsi="仿宋" w:eastAsia="仿宋" w:cs="仿宋"/>
          <w:i w:val="0"/>
          <w:iCs w:val="0"/>
          <w:color w:val="auto"/>
          <w:sz w:val="28"/>
          <w:szCs w:val="28"/>
          <w:highlight w:val="none"/>
          <w:u w:val="none"/>
        </w:rPr>
        <w:t>成交供应商或拟派项目人员不得与被审核单位有关联关系，包括但不限于管理关系、参股、相互任职或兼职等，如存在关联关系，采购人有权 解除本项目合同。项目部项目人员不得与被审核单位存在任何利害关系</w:t>
      </w:r>
      <w:r>
        <w:rPr>
          <w:rFonts w:hint="eastAsia" w:ascii="仿宋" w:hAnsi="仿宋" w:eastAsia="仿宋" w:cs="仿宋"/>
          <w:i w:val="0"/>
          <w:iCs w:val="0"/>
          <w:color w:val="auto"/>
          <w:sz w:val="28"/>
          <w:szCs w:val="28"/>
          <w:highlight w:val="none"/>
          <w:u w:val="none"/>
          <w:lang w:eastAsia="zh-CN"/>
        </w:rPr>
        <w:t>。</w:t>
      </w:r>
    </w:p>
    <w:p w14:paraId="41E0BFF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若存在此类情形，成交供应商应更换所派项目人员。</w:t>
      </w:r>
    </w:p>
    <w:p w14:paraId="7744853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(五)设施设备配置要求 根据采购需求配备。</w:t>
      </w:r>
    </w:p>
    <w:p w14:paraId="1FA4A84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(六)其他需要说明的事项</w:t>
      </w:r>
    </w:p>
    <w:p w14:paraId="64AD69F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1</w:t>
      </w:r>
      <w:r>
        <w:rPr>
          <w:rFonts w:hint="eastAsia" w:ascii="仿宋" w:hAnsi="仿宋" w:eastAsia="仿宋" w:cs="仿宋"/>
          <w:i w:val="0"/>
          <w:iCs w:val="0"/>
          <w:color w:val="auto"/>
          <w:sz w:val="28"/>
          <w:szCs w:val="28"/>
          <w:highlight w:val="none"/>
          <w:u w:val="none"/>
        </w:rPr>
        <w:t>.供应商应以书面形式授权一名项目负责人负责履行合同、主持项目团队工作。项目负责人的专业胜任能力等应当与响应文件载明的一致。</w:t>
      </w:r>
    </w:p>
    <w:p w14:paraId="7015D58B">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2</w:t>
      </w:r>
      <w:r>
        <w:rPr>
          <w:rFonts w:hint="eastAsia" w:ascii="仿宋" w:hAnsi="仿宋" w:eastAsia="仿宋" w:cs="仿宋"/>
          <w:i w:val="0"/>
          <w:iCs w:val="0"/>
          <w:color w:val="auto"/>
          <w:sz w:val="28"/>
          <w:szCs w:val="28"/>
          <w:highlight w:val="none"/>
          <w:u w:val="none"/>
        </w:rPr>
        <w:t>.项目团队人员数量不低于6人，人员配置应与响应文件一致。本合同履行过程中，团队人员应保持相对稳定，以保证工作正常进行。</w:t>
      </w:r>
    </w:p>
    <w:p w14:paraId="5A1C4A7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3</w:t>
      </w:r>
      <w:r>
        <w:rPr>
          <w:rFonts w:hint="eastAsia" w:ascii="仿宋" w:hAnsi="仿宋" w:eastAsia="仿宋" w:cs="仿宋"/>
          <w:i w:val="0"/>
          <w:iCs w:val="0"/>
          <w:color w:val="auto"/>
          <w:sz w:val="28"/>
          <w:szCs w:val="28"/>
          <w:highlight w:val="none"/>
          <w:u w:val="none"/>
        </w:rPr>
        <w:t>.为保证审计工作质量和独立性，供应商需明确承诺：在服务期限内不擅自或无故更换本项目团队人员。擅自更换项目团队人员的，承担相应的违约责任。这些情形是指：</w:t>
      </w:r>
    </w:p>
    <w:p w14:paraId="13A05D8C">
      <w:pPr>
        <w:keepNext w:val="0"/>
        <w:keepLines w:val="0"/>
        <w:pageBreakBefore w:val="0"/>
        <w:widowControl w:val="0"/>
        <w:tabs>
          <w:tab w:val="left" w:pos="621"/>
        </w:tabs>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eastAsia="zh-CN"/>
        </w:rPr>
        <w:tab/>
      </w:r>
      <w:r>
        <w:rPr>
          <w:rFonts w:hint="eastAsia" w:ascii="仿宋" w:hAnsi="仿宋" w:eastAsia="仿宋" w:cs="仿宋"/>
          <w:i w:val="0"/>
          <w:iCs w:val="0"/>
          <w:color w:val="auto"/>
          <w:sz w:val="28"/>
          <w:szCs w:val="28"/>
          <w:highlight w:val="none"/>
          <w:u w:val="none"/>
          <w:lang w:val="en-US" w:eastAsia="zh-CN"/>
        </w:rPr>
        <w:t>3</w:t>
      </w:r>
      <w:r>
        <w:rPr>
          <w:rFonts w:hint="eastAsia" w:ascii="仿宋" w:hAnsi="仿宋" w:eastAsia="仿宋" w:cs="仿宋"/>
          <w:i w:val="0"/>
          <w:iCs w:val="0"/>
          <w:color w:val="auto"/>
          <w:sz w:val="28"/>
          <w:szCs w:val="28"/>
          <w:highlight w:val="none"/>
          <w:u w:val="none"/>
        </w:rPr>
        <w:t>.1服务期内，供应商擅自更换人员；</w:t>
      </w:r>
    </w:p>
    <w:p w14:paraId="01DF116C">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3</w:t>
      </w:r>
      <w:r>
        <w:rPr>
          <w:rFonts w:hint="eastAsia" w:ascii="仿宋" w:hAnsi="仿宋" w:eastAsia="仿宋" w:cs="仿宋"/>
          <w:i w:val="0"/>
          <w:iCs w:val="0"/>
          <w:color w:val="auto"/>
          <w:sz w:val="28"/>
          <w:szCs w:val="28"/>
          <w:highlight w:val="none"/>
          <w:u w:val="none"/>
        </w:rPr>
        <w:t>.2确需更换项目负责人的，供应商应提前7日向采购人书面报告，经采购人书面同意后，方可更换；更换其他人员的，应提前3日向采购人书面报告，经采购人同意后以相当资格与能力的人员替换。否则，采购 人有权中止合同和扣除履约保证金，同时列入失信黑名单禁止未来三年参加医院任何招标采购活动，并保留向财政部门报告不良行为记录的权利(列入中国政府采购网严重失信行为名单)。给采购人造成损失的，应承担赔偿责任。</w:t>
      </w:r>
    </w:p>
    <w:p w14:paraId="45AFC408">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3</w:t>
      </w:r>
      <w:r>
        <w:rPr>
          <w:rFonts w:hint="eastAsia" w:ascii="仿宋" w:hAnsi="仿宋" w:eastAsia="仿宋" w:cs="仿宋"/>
          <w:i w:val="0"/>
          <w:iCs w:val="0"/>
          <w:color w:val="auto"/>
          <w:sz w:val="28"/>
          <w:szCs w:val="28"/>
          <w:highlight w:val="none"/>
          <w:u w:val="none"/>
        </w:rPr>
        <w:t>.3驻场的注册造价工程师不得更换，项目组其他人员符合上述(2)情形，服务期内同一岗位只能更换1次。</w:t>
      </w:r>
    </w:p>
    <w:p w14:paraId="1DEB886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3</w:t>
      </w:r>
      <w:r>
        <w:rPr>
          <w:rFonts w:hint="eastAsia" w:ascii="仿宋" w:hAnsi="仿宋" w:eastAsia="仿宋" w:cs="仿宋"/>
          <w:i w:val="0"/>
          <w:iCs w:val="0"/>
          <w:color w:val="auto"/>
          <w:sz w:val="28"/>
          <w:szCs w:val="28"/>
          <w:highlight w:val="none"/>
          <w:u w:val="none"/>
        </w:rPr>
        <w:t>.4咨询人员有下列情形之一，采购人要求供应商更换的，供应商应 当予以更换：</w:t>
      </w:r>
    </w:p>
    <w:p w14:paraId="23F4DE0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(1)存在严重过失行为的：</w:t>
      </w:r>
    </w:p>
    <w:p w14:paraId="3C7FA2D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(2)存在违法行为不能履行职责的</w:t>
      </w:r>
    </w:p>
    <w:p w14:paraId="6B63A0D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(3)涉嫌犯罪的；</w:t>
      </w:r>
    </w:p>
    <w:p w14:paraId="474C978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(4)不能胜任岗位职责的</w:t>
      </w:r>
    </w:p>
    <w:p w14:paraId="4AA00F9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(5)严重违反职业道德的：</w:t>
      </w:r>
    </w:p>
    <w:p w14:paraId="49C0B635">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(6)专用条件约定的其他情形</w:t>
      </w:r>
    </w:p>
    <w:p w14:paraId="500841E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4</w:t>
      </w:r>
      <w:r>
        <w:rPr>
          <w:rFonts w:hint="eastAsia" w:ascii="仿宋" w:hAnsi="仿宋" w:eastAsia="仿宋" w:cs="仿宋"/>
          <w:i w:val="0"/>
          <w:iCs w:val="0"/>
          <w:color w:val="auto"/>
          <w:sz w:val="28"/>
          <w:szCs w:val="28"/>
          <w:highlight w:val="none"/>
          <w:u w:val="none"/>
        </w:rPr>
        <w:t>.驻场要求：供应商应保证至少有一位项目组人员在采购人指定场所进行 驻场服务，对日常事务进行处理，按要求参加施工现场会议等；若采购人抽查发现任意月份驻场人员的考勤率低于90%的，扣罚履约保证金5000元；每缺勤1次施工现场会议扣罚履约保证金1000元/次。</w:t>
      </w:r>
    </w:p>
    <w:p w14:paraId="531C3D2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5</w:t>
      </w:r>
      <w:r>
        <w:rPr>
          <w:rFonts w:hint="eastAsia" w:ascii="仿宋" w:hAnsi="仿宋" w:eastAsia="仿宋" w:cs="仿宋"/>
          <w:i w:val="0"/>
          <w:iCs w:val="0"/>
          <w:color w:val="auto"/>
          <w:sz w:val="28"/>
          <w:szCs w:val="28"/>
          <w:highlight w:val="none"/>
          <w:u w:val="none"/>
        </w:rPr>
        <w:t>.供应商应根据采购人的要求提交审计资料和审计结果，未能按时提 交审计资料和审计结果的，每推迟一天扣罚履约保证金1000元，严重影响采购人工作的，采购人有权终止合同，供应商应无条件退出并承担由此造成的一切后果，并赔偿由此给采购人造成的损失。</w:t>
      </w:r>
    </w:p>
    <w:p w14:paraId="2C9B40C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6</w:t>
      </w:r>
      <w:r>
        <w:rPr>
          <w:rFonts w:hint="eastAsia" w:ascii="仿宋" w:hAnsi="仿宋" w:eastAsia="仿宋" w:cs="仿宋"/>
          <w:i w:val="0"/>
          <w:iCs w:val="0"/>
          <w:color w:val="auto"/>
          <w:sz w:val="28"/>
          <w:szCs w:val="28"/>
          <w:highlight w:val="none"/>
          <w:u w:val="none"/>
        </w:rPr>
        <w:t>.供应商应独立履行本项目审计监督职责，不得参加任何可能影响其 依法独立履行审计监督职责的相关活动。</w:t>
      </w:r>
    </w:p>
    <w:p w14:paraId="52CB02F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rPr>
        <w:t>(请供应商谨慎梳理公司项目承接情况，并对此作出单独书面承诺。若采购人发现其承诺不实，将按提供虚假材料谋取中标情形向财政部门反 映并进行处罚)。</w:t>
      </w:r>
    </w:p>
    <w:p w14:paraId="0636AC4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7</w:t>
      </w:r>
      <w:r>
        <w:rPr>
          <w:rFonts w:hint="eastAsia" w:ascii="仿宋" w:hAnsi="仿宋" w:eastAsia="仿宋" w:cs="仿宋"/>
          <w:i w:val="0"/>
          <w:iCs w:val="0"/>
          <w:color w:val="auto"/>
          <w:sz w:val="28"/>
          <w:szCs w:val="28"/>
          <w:highlight w:val="none"/>
          <w:u w:val="none"/>
        </w:rPr>
        <w:t>.供应商提交的相关咨询文件未经采购人同意，先行单方透露给利益 相关方的，供应商应承担相关赔偿责任。每发生一次，采购人有权扣罚违约金10000元。</w:t>
      </w:r>
    </w:p>
    <w:p w14:paraId="211ACC2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8</w:t>
      </w:r>
      <w:r>
        <w:rPr>
          <w:rFonts w:hint="eastAsia" w:ascii="仿宋" w:hAnsi="仿宋" w:eastAsia="仿宋" w:cs="仿宋"/>
          <w:i w:val="0"/>
          <w:iCs w:val="0"/>
          <w:color w:val="auto"/>
          <w:sz w:val="28"/>
          <w:szCs w:val="28"/>
          <w:highlight w:val="none"/>
          <w:u w:val="none"/>
        </w:rPr>
        <w:t>.供应商应妥善保管采购人提供的审计资料，如有损毁或遗失，采购 人有权按资料重要性进行经济处罚，每丢失一项支付赔偿金10000元。</w:t>
      </w:r>
    </w:p>
    <w:p w14:paraId="4952E2A0">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9</w:t>
      </w:r>
      <w:r>
        <w:rPr>
          <w:rFonts w:hint="eastAsia" w:ascii="仿宋" w:hAnsi="仿宋" w:eastAsia="仿宋" w:cs="仿宋"/>
          <w:i w:val="0"/>
          <w:iCs w:val="0"/>
          <w:color w:val="auto"/>
          <w:sz w:val="28"/>
          <w:szCs w:val="28"/>
          <w:highlight w:val="none"/>
          <w:u w:val="none"/>
        </w:rPr>
        <w:t>.供应商不得将审计业务转让或委托其他审计服务机构。如供应商不能按期完成，或因其他原因无法按期完成审计任务，采购人有权终止服务协议，履约保证金不予退还。</w:t>
      </w:r>
    </w:p>
    <w:p w14:paraId="34B8BED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仿宋" w:hAnsi="仿宋" w:eastAsia="仿宋" w:cs="仿宋"/>
          <w:i w:val="0"/>
          <w:iCs w:val="0"/>
          <w:color w:val="auto"/>
          <w:sz w:val="28"/>
          <w:szCs w:val="28"/>
          <w:highlight w:val="none"/>
          <w:u w:val="none"/>
        </w:rPr>
      </w:pPr>
      <w:r>
        <w:rPr>
          <w:rFonts w:hint="eastAsia" w:ascii="仿宋" w:hAnsi="仿宋" w:eastAsia="仿宋" w:cs="仿宋"/>
          <w:i w:val="0"/>
          <w:iCs w:val="0"/>
          <w:color w:val="auto"/>
          <w:sz w:val="28"/>
          <w:szCs w:val="28"/>
          <w:highlight w:val="none"/>
          <w:u w:val="none"/>
          <w:lang w:val="en-US" w:eastAsia="zh-CN"/>
        </w:rPr>
        <w:t>10</w:t>
      </w:r>
      <w:r>
        <w:rPr>
          <w:rFonts w:hint="eastAsia" w:ascii="仿宋" w:hAnsi="仿宋" w:eastAsia="仿宋" w:cs="仿宋"/>
          <w:i w:val="0"/>
          <w:iCs w:val="0"/>
          <w:color w:val="auto"/>
          <w:sz w:val="28"/>
          <w:szCs w:val="28"/>
          <w:highlight w:val="none"/>
          <w:u w:val="none"/>
        </w:rPr>
        <w:t>.供应商应每月向采购人报告审计工作情况，并按采购人要求及时提交阶段性审计报告。</w:t>
      </w:r>
    </w:p>
    <w:p w14:paraId="19DC1FC0">
      <w:pPr>
        <w:pStyle w:val="2"/>
        <w:numPr>
          <w:ilvl w:val="0"/>
          <w:numId w:val="0"/>
        </w:numPr>
        <w:spacing w:line="240" w:lineRule="auto"/>
        <w:rPr>
          <w:rFonts w:ascii="宋体" w:hAnsi="宋体" w:cs="宋体"/>
          <w:color w:val="auto"/>
          <w:highlight w:val="none"/>
        </w:rPr>
      </w:pPr>
    </w:p>
    <w:p w14:paraId="1EB4200C">
      <w:pPr>
        <w:pStyle w:val="2"/>
        <w:numPr>
          <w:ilvl w:val="0"/>
          <w:numId w:val="0"/>
        </w:numPr>
        <w:spacing w:line="240" w:lineRule="auto"/>
        <w:rPr>
          <w:rFonts w:ascii="宋体" w:hAnsi="宋体" w:cs="宋体"/>
          <w:color w:val="auto"/>
          <w:highlight w:val="none"/>
        </w:rPr>
      </w:pPr>
    </w:p>
    <w:p w14:paraId="764BCCF0">
      <w:pPr>
        <w:pStyle w:val="2"/>
        <w:numPr>
          <w:ilvl w:val="0"/>
          <w:numId w:val="0"/>
        </w:numPr>
        <w:spacing w:line="240" w:lineRule="auto"/>
        <w:rPr>
          <w:rFonts w:ascii="宋体" w:hAnsi="宋体" w:cs="宋体"/>
          <w:color w:val="auto"/>
          <w:highlight w:val="none"/>
        </w:rPr>
      </w:pPr>
    </w:p>
    <w:p w14:paraId="0036F5F1">
      <w:pPr>
        <w:pStyle w:val="2"/>
        <w:numPr>
          <w:ilvl w:val="0"/>
          <w:numId w:val="0"/>
        </w:numPr>
        <w:spacing w:line="240" w:lineRule="auto"/>
        <w:rPr>
          <w:rFonts w:ascii="宋体" w:hAnsi="宋体" w:cs="宋体"/>
          <w:color w:val="auto"/>
          <w:highlight w:val="none"/>
        </w:rPr>
        <w:sectPr>
          <w:footerReference r:id="rId16" w:type="default"/>
          <w:pgSz w:w="11906" w:h="16838"/>
          <w:pgMar w:top="1418" w:right="1418" w:bottom="1418" w:left="1418" w:header="851" w:footer="992" w:gutter="0"/>
          <w:pgNumType w:fmt="decimal"/>
          <w:cols w:space="720" w:num="1"/>
          <w:docGrid w:linePitch="312" w:charSpace="0"/>
        </w:sectPr>
      </w:pPr>
    </w:p>
    <w:p w14:paraId="247BEC54">
      <w:pPr>
        <w:pStyle w:val="2"/>
        <w:numPr>
          <w:ilvl w:val="0"/>
          <w:numId w:val="0"/>
        </w:numPr>
        <w:spacing w:line="240" w:lineRule="auto"/>
        <w:rPr>
          <w:rFonts w:ascii="宋体" w:hAnsi="宋体" w:cs="宋体"/>
          <w:b w:val="0"/>
          <w:color w:val="auto"/>
          <w:sz w:val="48"/>
          <w:szCs w:val="48"/>
          <w:highlight w:val="none"/>
        </w:rPr>
      </w:pPr>
      <w:r>
        <w:rPr>
          <w:rFonts w:ascii="宋体" w:hAnsi="宋体" w:cs="宋体"/>
          <w:color w:val="auto"/>
          <w:highlight w:val="none"/>
        </w:rPr>
        <w:t xml:space="preserve">第六部分 </w:t>
      </w:r>
      <w:r>
        <w:rPr>
          <w:rFonts w:ascii="宋体" w:hAnsi="宋体" w:cs="宋体"/>
          <w:color w:val="auto"/>
          <w:szCs w:val="32"/>
          <w:highlight w:val="none"/>
        </w:rPr>
        <w:t>合同条款</w:t>
      </w:r>
      <w:bookmarkEnd w:id="38"/>
      <w:bookmarkEnd w:id="39"/>
      <w:bookmarkEnd w:id="40"/>
    </w:p>
    <w:p w14:paraId="7E91E9EC">
      <w:pPr>
        <w:kinsoku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（合同仅供参考，以实际签订为准）</w:t>
      </w:r>
    </w:p>
    <w:p w14:paraId="22A678B3">
      <w:pPr>
        <w:widowControl/>
        <w:tabs>
          <w:tab w:val="left" w:pos="0"/>
        </w:tabs>
        <w:topLinePunct/>
        <w:spacing w:line="480" w:lineRule="exact"/>
        <w:jc w:val="center"/>
        <w:rPr>
          <w:rFonts w:ascii="宋体" w:hAnsi="宋体" w:cs="宋体"/>
          <w:b/>
          <w:bCs/>
          <w:color w:val="auto"/>
          <w:sz w:val="28"/>
          <w:szCs w:val="28"/>
          <w:highlight w:val="none"/>
        </w:rPr>
      </w:pPr>
      <w:r>
        <w:rPr>
          <w:rFonts w:hint="eastAsia" w:ascii="宋体" w:hAnsi="宋体" w:cs="宋体"/>
          <w:color w:val="auto"/>
          <w:sz w:val="44"/>
          <w:szCs w:val="44"/>
          <w:highlight w:val="none"/>
        </w:rPr>
        <w:t>合同主要条款</w:t>
      </w:r>
    </w:p>
    <w:p w14:paraId="426848C5">
      <w:pPr>
        <w:widowControl/>
        <w:topLinePunct/>
        <w:spacing w:line="480" w:lineRule="exact"/>
        <w:ind w:firstLine="540" w:firstLineChars="200"/>
        <w:jc w:val="left"/>
        <w:rPr>
          <w:rFonts w:ascii="宋体" w:hAnsi="宋体" w:cs="宋体"/>
          <w:color w:val="auto"/>
          <w:spacing w:val="-5"/>
          <w:sz w:val="28"/>
          <w:szCs w:val="28"/>
          <w:highlight w:val="none"/>
        </w:rPr>
      </w:pPr>
    </w:p>
    <w:p w14:paraId="0C38E2A4">
      <w:pPr>
        <w:widowControl/>
        <w:topLinePunct/>
        <w:spacing w:line="360" w:lineRule="auto"/>
        <w:jc w:val="left"/>
        <w:rPr>
          <w:rFonts w:ascii="宋体" w:hAnsi="宋体" w:cs="宋体"/>
          <w:color w:val="auto"/>
          <w:spacing w:val="1"/>
          <w:sz w:val="24"/>
          <w:szCs w:val="24"/>
          <w:highlight w:val="none"/>
        </w:rPr>
      </w:pPr>
      <w:r>
        <w:rPr>
          <w:rFonts w:hint="eastAsia" w:ascii="宋体" w:hAnsi="宋体" w:cs="宋体"/>
          <w:b/>
          <w:bCs/>
          <w:color w:val="auto"/>
          <w:spacing w:val="-5"/>
          <w:sz w:val="24"/>
          <w:szCs w:val="24"/>
          <w:highlight w:val="none"/>
        </w:rPr>
        <w:t>甲方：</w:t>
      </w:r>
      <w:r>
        <w:rPr>
          <w:rFonts w:hint="eastAsia" w:ascii="宋体" w:hAnsi="宋体" w:cs="宋体"/>
          <w:color w:val="auto"/>
          <w:spacing w:val="-5"/>
          <w:sz w:val="24"/>
          <w:szCs w:val="24"/>
          <w:highlight w:val="none"/>
        </w:rPr>
        <w:t>安康市人民医院</w:t>
      </w:r>
    </w:p>
    <w:p w14:paraId="75BEE2C7">
      <w:pPr>
        <w:widowControl/>
        <w:topLinePunct/>
        <w:spacing w:line="360" w:lineRule="auto"/>
        <w:jc w:val="left"/>
        <w:rPr>
          <w:rFonts w:ascii="宋体" w:hAnsi="宋体" w:cs="宋体"/>
          <w:b/>
          <w:bCs/>
          <w:color w:val="auto"/>
          <w:sz w:val="24"/>
          <w:szCs w:val="24"/>
          <w:highlight w:val="none"/>
        </w:rPr>
      </w:pPr>
      <w:r>
        <w:rPr>
          <w:rFonts w:hint="eastAsia" w:ascii="宋体" w:hAnsi="宋体" w:cs="宋体"/>
          <w:b/>
          <w:bCs/>
          <w:color w:val="auto"/>
          <w:spacing w:val="-11"/>
          <w:sz w:val="24"/>
          <w:szCs w:val="24"/>
          <w:highlight w:val="none"/>
        </w:rPr>
        <w:t>乙方：</w:t>
      </w:r>
    </w:p>
    <w:p w14:paraId="1E36F7C2">
      <w:pPr>
        <w:spacing w:line="360" w:lineRule="auto"/>
        <w:rPr>
          <w:rFonts w:ascii="宋体" w:hAnsi="宋体" w:cs="宋体"/>
          <w:color w:val="auto"/>
          <w:sz w:val="24"/>
          <w:szCs w:val="24"/>
          <w:highlight w:val="none"/>
        </w:rPr>
      </w:pPr>
      <w:bookmarkStart w:id="41" w:name="_Toc20453"/>
      <w:r>
        <w:rPr>
          <w:rFonts w:hint="eastAsia" w:ascii="宋体" w:hAnsi="宋体" w:cs="宋体"/>
          <w:b/>
          <w:bCs/>
          <w:color w:val="auto"/>
          <w:sz w:val="24"/>
          <w:szCs w:val="24"/>
          <w:highlight w:val="none"/>
        </w:rPr>
        <w:t>一、合同内容</w:t>
      </w:r>
      <w:r>
        <w:rPr>
          <w:rFonts w:hint="eastAsia" w:ascii="宋体" w:hAnsi="宋体" w:cs="宋体"/>
          <w:color w:val="auto"/>
          <w:sz w:val="24"/>
          <w:szCs w:val="24"/>
          <w:highlight w:val="none"/>
        </w:rPr>
        <w:t>（标的、数量、质量等）:</w:t>
      </w:r>
    </w:p>
    <w:p w14:paraId="29A64FE0">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二、合同价款</w:t>
      </w:r>
    </w:p>
    <w:p w14:paraId="2AB3929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1、合同</w:t>
      </w:r>
      <w:r>
        <w:rPr>
          <w:rFonts w:hint="eastAsia" w:ascii="宋体" w:hAnsi="宋体" w:cs="宋体"/>
          <w:color w:val="auto"/>
          <w:sz w:val="24"/>
          <w:szCs w:val="24"/>
          <w:highlight w:val="none"/>
          <w:lang w:val="en-US" w:eastAsia="zh-CN"/>
        </w:rPr>
        <w:t>费率</w:t>
      </w:r>
      <w:r>
        <w:rPr>
          <w:rFonts w:hint="eastAsia" w:ascii="宋体" w:hAnsi="宋体" w:cs="宋体"/>
          <w:color w:val="auto"/>
          <w:sz w:val="24"/>
          <w:szCs w:val="24"/>
          <w:highlight w:val="none"/>
        </w:rPr>
        <w:t>：</w:t>
      </w:r>
    </w:p>
    <w:p w14:paraId="2147C7C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2、合同</w:t>
      </w:r>
      <w:r>
        <w:rPr>
          <w:rFonts w:hint="eastAsia" w:ascii="宋体" w:hAnsi="宋体" w:cs="宋体"/>
          <w:color w:val="auto"/>
          <w:sz w:val="24"/>
          <w:szCs w:val="24"/>
          <w:highlight w:val="none"/>
          <w:lang w:val="en-US" w:eastAsia="zh-CN"/>
        </w:rPr>
        <w:t>费率</w:t>
      </w:r>
      <w:r>
        <w:rPr>
          <w:rFonts w:hint="eastAsia" w:ascii="宋体" w:hAnsi="宋体" w:cs="宋体"/>
          <w:color w:val="auto"/>
          <w:sz w:val="24"/>
          <w:szCs w:val="24"/>
          <w:highlight w:val="none"/>
        </w:rPr>
        <w:t>包括：包括供应商完成本项目所需的直接费、间接费、利润、税金及其它相关的一切费用。包括但不限于：人工费、设备费、管理费、技术服务费、验收费、税金等全部费用。</w:t>
      </w:r>
    </w:p>
    <w:p w14:paraId="70CD8B9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3、合同</w:t>
      </w:r>
      <w:r>
        <w:rPr>
          <w:rFonts w:hint="eastAsia" w:ascii="宋体" w:hAnsi="宋体" w:cs="宋体"/>
          <w:color w:val="auto"/>
          <w:sz w:val="24"/>
          <w:szCs w:val="24"/>
          <w:highlight w:val="none"/>
          <w:lang w:val="en-US" w:eastAsia="zh-CN"/>
        </w:rPr>
        <w:t>费率</w:t>
      </w:r>
      <w:r>
        <w:rPr>
          <w:rFonts w:hint="eastAsia" w:ascii="宋体" w:hAnsi="宋体" w:cs="宋体"/>
          <w:color w:val="auto"/>
          <w:sz w:val="24"/>
          <w:szCs w:val="24"/>
          <w:highlight w:val="none"/>
        </w:rPr>
        <w:t>一次包死，不受市场价变化的影响。</w:t>
      </w:r>
    </w:p>
    <w:p w14:paraId="2F24EAFF">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三、合同结算</w:t>
      </w:r>
    </w:p>
    <w:p w14:paraId="625CF077">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完成</w:t>
      </w:r>
      <w:r>
        <w:rPr>
          <w:rFonts w:hint="eastAsia" w:ascii="宋体" w:hAnsi="宋体" w:cs="宋体"/>
          <w:color w:val="auto"/>
          <w:sz w:val="24"/>
          <w:szCs w:val="24"/>
          <w:highlight w:val="none"/>
          <w:lang w:eastAsia="zh-CN"/>
        </w:rPr>
        <w:t>项目前期工作审核</w:t>
      </w:r>
      <w:r>
        <w:rPr>
          <w:rFonts w:hint="eastAsia" w:ascii="宋体" w:hAnsi="宋体" w:cs="宋体"/>
          <w:color w:val="auto"/>
          <w:sz w:val="24"/>
          <w:szCs w:val="24"/>
          <w:highlight w:val="none"/>
        </w:rPr>
        <w:t>以后，支付合同价款(基本收费)的10%：施工过程中，</w:t>
      </w:r>
      <w:r>
        <w:rPr>
          <w:rFonts w:hint="eastAsia" w:ascii="宋体" w:hAnsi="宋体" w:cs="宋体"/>
          <w:color w:val="auto"/>
          <w:sz w:val="24"/>
          <w:szCs w:val="24"/>
          <w:highlight w:val="none"/>
          <w:lang w:eastAsia="zh-CN"/>
        </w:rPr>
        <w:t>合同签订后每满</w:t>
      </w:r>
      <w:r>
        <w:rPr>
          <w:rFonts w:hint="eastAsia" w:ascii="宋体" w:hAnsi="宋体" w:cs="宋体"/>
          <w:color w:val="auto"/>
          <w:sz w:val="24"/>
          <w:szCs w:val="24"/>
          <w:highlight w:val="none"/>
          <w:lang w:val="en-US" w:eastAsia="zh-CN"/>
        </w:rPr>
        <w:t>12个月</w:t>
      </w:r>
      <w:r>
        <w:rPr>
          <w:rFonts w:hint="eastAsia" w:ascii="宋体" w:hAnsi="宋体" w:cs="宋体"/>
          <w:color w:val="auto"/>
          <w:sz w:val="24"/>
          <w:szCs w:val="24"/>
          <w:highlight w:val="none"/>
        </w:rPr>
        <w:t>支付合同价款(基本收费)的</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0%,付款合计不超过合同价款(基本收费)的</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0%；项目竣工验收后，支付合同价款(基本收费)的20%,剩余的</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0%合同价款(基本收费)待采购人认定竣工结算审计报告和全过程审计报告后予以支付。</w:t>
      </w:r>
    </w:p>
    <w:p w14:paraId="0B3C86A0">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效益收费待采购人确认竣工结算审计报告和全过程审计总结报告后一次性据实计算并支付。</w:t>
      </w:r>
    </w:p>
    <w:p w14:paraId="4C817A77">
      <w:pPr>
        <w:spacing w:line="33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履约保证金：完成</w:t>
      </w:r>
      <w:r>
        <w:rPr>
          <w:rFonts w:hint="eastAsia" w:ascii="宋体" w:hAnsi="宋体" w:cs="宋体"/>
          <w:color w:val="auto"/>
          <w:sz w:val="24"/>
          <w:szCs w:val="24"/>
          <w:highlight w:val="none"/>
          <w:lang w:eastAsia="zh-CN"/>
        </w:rPr>
        <w:t>项目前期工作审核</w:t>
      </w:r>
      <w:r>
        <w:rPr>
          <w:rFonts w:hint="eastAsia" w:ascii="宋体" w:hAnsi="宋体" w:cs="宋体"/>
          <w:color w:val="auto"/>
          <w:sz w:val="24"/>
          <w:szCs w:val="24"/>
          <w:highlight w:val="none"/>
        </w:rPr>
        <w:t>以后，供应商须向采购人缴纳</w:t>
      </w:r>
      <w:r>
        <w:rPr>
          <w:rFonts w:hint="eastAsia" w:ascii="宋体" w:hAnsi="宋体" w:cs="宋体"/>
          <w:color w:val="auto"/>
          <w:sz w:val="24"/>
          <w:szCs w:val="24"/>
          <w:highlight w:val="none"/>
          <w:lang w:eastAsia="zh-CN"/>
        </w:rPr>
        <w:t>本项目</w:t>
      </w:r>
      <w:r>
        <w:rPr>
          <w:rFonts w:hint="eastAsia" w:ascii="宋体" w:hAnsi="宋体" w:cs="宋体"/>
          <w:color w:val="auto"/>
          <w:sz w:val="24"/>
          <w:szCs w:val="24"/>
          <w:highlight w:val="none"/>
          <w:lang w:val="en-US" w:eastAsia="zh-CN"/>
        </w:rPr>
        <w:t>预算</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（即</w:t>
      </w:r>
      <w:r>
        <w:rPr>
          <w:rFonts w:hint="eastAsia" w:ascii="宋体" w:hAnsi="宋体" w:cs="宋体"/>
          <w:color w:val="auto"/>
          <w:sz w:val="24"/>
          <w:szCs w:val="24"/>
          <w:highlight w:val="none"/>
          <w:lang w:val="en-US" w:eastAsia="zh-CN"/>
        </w:rPr>
        <w:t>3万元整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作为履约保证金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或以金融机构、担保公司出具保函形式递交履约保证金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；履约保证期自项目中标至项目竣工验收完成工程结算之日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履约保证金在工程结算完成之日后，且全过程审计资料交齐后无息退还。</w:t>
      </w:r>
    </w:p>
    <w:p w14:paraId="01E2F9C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4、结算时，全过程咨询服务费金额≥60万元按照60万结算，＜60万元据实结算。</w:t>
      </w:r>
    </w:p>
    <w:p w14:paraId="0964B699">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四、服务条件:</w:t>
      </w:r>
    </w:p>
    <w:p w14:paraId="1C5DB50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1、服务期：合同签订后至工程竣工验收并工程竣工财务决算审计结束</w:t>
      </w:r>
    </w:p>
    <w:p w14:paraId="4FE5C96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2、地点：采购人指定地点</w:t>
      </w:r>
    </w:p>
    <w:p w14:paraId="71FE63F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五、甲方的权利和义务</w:t>
      </w:r>
    </w:p>
    <w:p w14:paraId="7E5C94C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722D6DE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2、负责检查监督乙方管理工作的实施及制度的执行情况。</w:t>
      </w:r>
    </w:p>
    <w:p w14:paraId="1EB08B2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3、根据本合同规定，按时向乙方支付应付服务费用。</w:t>
      </w:r>
    </w:p>
    <w:p w14:paraId="0BFB278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4、国家法律、法规所规定由甲方承担的其它责任。</w:t>
      </w:r>
    </w:p>
    <w:p w14:paraId="4402D026">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六、乙方的权利和义务</w:t>
      </w:r>
    </w:p>
    <w:p w14:paraId="7DA7600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1、对本合同规定的委托服务范围内的项目享有管理权及服务义务。</w:t>
      </w:r>
    </w:p>
    <w:p w14:paraId="7F9D208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2、根据本合同的规定向甲方收取相关服务费用，并有权在本项目管理范围内管理及合理使用。</w:t>
      </w:r>
    </w:p>
    <w:p w14:paraId="016A8A9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3、及时向甲方通告本项目服务范围内有关服务的重大事项，及时配合处理投诉。</w:t>
      </w:r>
    </w:p>
    <w:p w14:paraId="57E4EC2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4、接受项目行业管理部门及政府有关部门的指导，接受甲方的监督。</w:t>
      </w:r>
    </w:p>
    <w:p w14:paraId="3C280FE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5、国家法律、法规所规定由乙方承担的其它责任。</w:t>
      </w:r>
    </w:p>
    <w:p w14:paraId="673E71E8">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七、验收：</w:t>
      </w:r>
    </w:p>
    <w:p w14:paraId="223FFDB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由采购人组织相关专家对整体工作进行验收。其内容包括成果质量是否达到现行国家有关验收规范“合格”标准、是否按照要求按时完成、是否得到相关部门的认可与批准。</w:t>
      </w:r>
    </w:p>
    <w:p w14:paraId="36AD1A1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1.所验各项内容最终验收达不到磋商文件要求和响应文件承诺的，或在后续使用中发现采购人不能容忍的缺陷等，将视为验收不合格，成交供应商应在采购人要求的时间内无条件整改至验收合格。</w:t>
      </w:r>
    </w:p>
    <w:p w14:paraId="652CFD6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2.若发现成交供应商有弄虚作假的，故意或随意夸大技术能力、服务质量的，采购人有权解除合同，并且要求成交供应商赔偿相关损失。</w:t>
      </w:r>
    </w:p>
    <w:p w14:paraId="7170C8B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3.验收标准：按磋商文件、响应文件及澄清函等技术指标进行验收。各项指标均应符合验收标准及要求。</w:t>
      </w:r>
    </w:p>
    <w:p w14:paraId="25EB514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4.验收合格后，填写验收单，双方签字生效。</w:t>
      </w:r>
    </w:p>
    <w:p w14:paraId="50843DE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5.验收依据：</w:t>
      </w:r>
    </w:p>
    <w:p w14:paraId="1A63293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合同文本；磋商文件及澄清函、响应文件；中省市和行业制定的相应的标准和规范。</w:t>
      </w:r>
    </w:p>
    <w:p w14:paraId="10E471FD">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八、履约保证</w:t>
      </w:r>
    </w:p>
    <w:p w14:paraId="4D9595E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1成交公告公示期结束后25日内，中标方主动与采购方联系并签订合同书，超过25日未签订合同书视为中标方主动放弃，由此引发的一切后果由中标方承担。</w:t>
      </w:r>
    </w:p>
    <w:p w14:paraId="1D4CA9B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提供的服务等，能满足采购人业务发展的需要，符合国家与行业相关规定与要求。若无法满足上述所有需求，在签订合同书7个工作日之内，供应商需采取可行的方法进行修正与补救，并不得要求采购方承担任何费用。若供应商在上述规定的时间之内没有执行修正与补救措施，或经过修正与补救后仍然无法满足采购方上述所有需求，采购方有权单方面解除采购合同，并且不承担任何责任与后果，同时追究供货方的违约责任，对采购方造成损失的可继续追偿。</w:t>
      </w:r>
    </w:p>
    <w:p w14:paraId="621393A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3供应商的投标文件为签订正式书面合同书不可分割的部分，供货方应履行相应的责任。</w:t>
      </w:r>
    </w:p>
    <w:p w14:paraId="5B59B411">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九、违约责任</w:t>
      </w:r>
    </w:p>
    <w:p w14:paraId="08EB4E4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1、按国家服务合同的相关法律法规执行。</w:t>
      </w:r>
    </w:p>
    <w:p w14:paraId="62A3B72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2、未按合同要求提供服务不能满足服务要求，采购人有权解除合同，并同时报请政府采购管理部门对其违约行为进行追究。</w:t>
      </w:r>
    </w:p>
    <w:p w14:paraId="04038A18">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十、解决争议的方法：</w:t>
      </w:r>
    </w:p>
    <w:p w14:paraId="6CBB220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如若发生争议，采购人、中标方双方应协商解决，协商达不成一致时，中标方可向采购人所在地人民法院提起诉讼。</w:t>
      </w:r>
    </w:p>
    <w:p w14:paraId="388BC04D">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十一、合同的变更和终止</w:t>
      </w:r>
    </w:p>
    <w:p w14:paraId="7B80B8F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除《中华人民共和国政府采购法》第49条、第50条第二款规定的情形外，本合同一经签订，甲乙双方不得擅自变更、中止或终止合同。</w:t>
      </w:r>
    </w:p>
    <w:p w14:paraId="158E3D80">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十二、解决合同纠纷的方式</w:t>
      </w:r>
    </w:p>
    <w:p w14:paraId="291EE85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1、在执行本合同中发生的或与本合同有关的争端，双方应通过友好协商解决，经协商在XX天内不能达成协议时，则采取以下第</w:t>
      </w:r>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种方式解决争议：</w:t>
      </w:r>
    </w:p>
    <w:p w14:paraId="5C62F95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(1)向甲方所在地有管辖权的人民法院提起诉讼；</w:t>
      </w:r>
    </w:p>
    <w:p w14:paraId="0B144D1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(2)向_安康_仲裁委员会按其仲裁规则申请仲裁。</w:t>
      </w:r>
    </w:p>
    <w:p w14:paraId="1488A2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2、在仲裁期间，本合同应继续履行。</w:t>
      </w:r>
    </w:p>
    <w:bookmarkEnd w:id="41"/>
    <w:p w14:paraId="213DEFC3">
      <w:pPr>
        <w:spacing w:line="360" w:lineRule="auto"/>
        <w:rPr>
          <w:rFonts w:ascii="宋体" w:hAnsi="宋体" w:cs="宋体"/>
          <w:b/>
          <w:bCs/>
          <w:color w:val="auto"/>
          <w:sz w:val="24"/>
          <w:szCs w:val="24"/>
          <w:highlight w:val="none"/>
        </w:rPr>
      </w:pPr>
      <w:bookmarkStart w:id="42" w:name="_Toc17939"/>
      <w:bookmarkStart w:id="43" w:name="_Toc10660"/>
      <w:r>
        <w:rPr>
          <w:rFonts w:hint="eastAsia" w:ascii="宋体" w:hAnsi="宋体" w:cs="宋体"/>
          <w:b/>
          <w:bCs/>
          <w:color w:val="auto"/>
          <w:sz w:val="24"/>
          <w:szCs w:val="24"/>
          <w:highlight w:val="none"/>
        </w:rPr>
        <w:t>十三、合同生效及其他</w:t>
      </w:r>
    </w:p>
    <w:p w14:paraId="48FB2D4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1、合同经双方法定代表人(单位负责人)或授权委托代理人签字并加盖单位公章。</w:t>
      </w:r>
    </w:p>
    <w:p w14:paraId="541C3F3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2、合同执行中涉及采购资金和采购内容修改或补充的，须经政府采购监管部门审批，并签书面补充协议报政府采购监督管理部门备案，方可作为主合同不可分割的一部分。</w:t>
      </w:r>
    </w:p>
    <w:p w14:paraId="1780297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3、本合同一式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份，自双方签章之日起起效。甲方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份，乙方</w:t>
      </w:r>
      <w:r>
        <w:rPr>
          <w:rFonts w:hint="eastAsia" w:ascii="宋体" w:hAnsi="宋体" w:cs="宋体"/>
          <w:color w:val="auto"/>
          <w:sz w:val="24"/>
          <w:szCs w:val="24"/>
          <w:highlight w:val="none"/>
          <w:lang w:val="en-US" w:eastAsia="zh-CN"/>
        </w:rPr>
        <w:t xml:space="preserve">  </w:t>
      </w:r>
      <w:bookmarkStart w:id="88" w:name="_GoBack"/>
      <w:bookmarkEnd w:id="88"/>
      <w:r>
        <w:rPr>
          <w:rFonts w:hint="eastAsia" w:ascii="宋体" w:hAnsi="宋体" w:cs="宋体"/>
          <w:color w:val="auto"/>
          <w:sz w:val="24"/>
          <w:szCs w:val="24"/>
          <w:highlight w:val="none"/>
        </w:rPr>
        <w:t>份，具有同等法律效力。</w:t>
      </w:r>
    </w:p>
    <w:p w14:paraId="2304B1DF">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十四、附件</w:t>
      </w:r>
    </w:p>
    <w:p w14:paraId="42AC2D2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1、项目采购文件</w:t>
      </w:r>
    </w:p>
    <w:p w14:paraId="57A9523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2、项目修改澄清文件</w:t>
      </w:r>
    </w:p>
    <w:p w14:paraId="4DA0858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3、项目响应文件</w:t>
      </w:r>
    </w:p>
    <w:p w14:paraId="571963B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4、成交通知书</w:t>
      </w:r>
    </w:p>
    <w:p w14:paraId="6A453ED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5、其他</w:t>
      </w:r>
    </w:p>
    <w:p w14:paraId="471B971B">
      <w:pPr>
        <w:spacing w:line="360" w:lineRule="auto"/>
        <w:rPr>
          <w:rFonts w:ascii="宋体" w:hAnsi="宋体" w:cs="宋体"/>
          <w:color w:val="auto"/>
          <w:sz w:val="24"/>
          <w:szCs w:val="24"/>
          <w:highlight w:val="none"/>
        </w:rPr>
      </w:pPr>
    </w:p>
    <w:p w14:paraId="1A7DB7DC">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乙方（章）：</w:t>
      </w:r>
    </w:p>
    <w:p w14:paraId="09D76B43">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法人：                                    法人代表：</w:t>
      </w:r>
    </w:p>
    <w:p w14:paraId="254498B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法人代表：                                联系电话：</w:t>
      </w:r>
    </w:p>
    <w:p w14:paraId="066ECD90">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开户行：       </w:t>
      </w:r>
    </w:p>
    <w:p w14:paraId="4E0E059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账号：</w:t>
      </w:r>
    </w:p>
    <w:p w14:paraId="6D9338F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地址：                                    地址：</w:t>
      </w:r>
    </w:p>
    <w:p w14:paraId="33CFE464">
      <w:pPr>
        <w:spacing w:line="360" w:lineRule="auto"/>
        <w:rPr>
          <w:rFonts w:ascii="仿宋" w:hAnsi="仿宋" w:eastAsia="仿宋" w:cs="仿宋"/>
          <w:color w:val="auto"/>
          <w:sz w:val="24"/>
          <w:highlight w:val="none"/>
        </w:rPr>
        <w:sectPr>
          <w:pgSz w:w="11906" w:h="16838"/>
          <w:pgMar w:top="1418" w:right="1418" w:bottom="1418" w:left="1418" w:header="851" w:footer="992" w:gutter="0"/>
          <w:pgNumType w:fmt="decimal"/>
          <w:cols w:space="720" w:num="1"/>
          <w:docGrid w:linePitch="312" w:charSpace="0"/>
        </w:sectPr>
      </w:pPr>
      <w:r>
        <w:rPr>
          <w:rFonts w:hint="eastAsia" w:ascii="宋体" w:hAnsi="宋体" w:cs="宋体"/>
          <w:color w:val="auto"/>
          <w:sz w:val="24"/>
          <w:szCs w:val="24"/>
          <w:highlight w:val="none"/>
        </w:rPr>
        <w:t>签订时间：    年   月   日                签订时间：    年   月   日</w:t>
      </w:r>
    </w:p>
    <w:p w14:paraId="32CE8117">
      <w:pPr>
        <w:rPr>
          <w:rFonts w:ascii="宋体" w:hAnsi="宋体" w:cs="宋体"/>
          <w:color w:val="auto"/>
          <w:kern w:val="0"/>
          <w:sz w:val="24"/>
          <w:szCs w:val="24"/>
          <w:highlight w:val="none"/>
          <w:shd w:val="clear" w:color="auto" w:fill="FFFFFF"/>
        </w:rPr>
      </w:pPr>
    </w:p>
    <w:p w14:paraId="6092308E">
      <w:pPr>
        <w:pStyle w:val="2"/>
        <w:keepNext w:val="0"/>
        <w:rPr>
          <w:rFonts w:ascii="宋体" w:hAnsi="宋体" w:cs="宋体"/>
          <w:color w:val="auto"/>
          <w:sz w:val="36"/>
          <w:szCs w:val="36"/>
          <w:highlight w:val="none"/>
        </w:rPr>
      </w:pPr>
      <w:bookmarkStart w:id="44" w:name="_Toc19460"/>
      <w:r>
        <w:rPr>
          <w:rFonts w:ascii="宋体" w:hAnsi="宋体" w:cs="宋体"/>
          <w:color w:val="auto"/>
          <w:sz w:val="36"/>
          <w:szCs w:val="36"/>
          <w:highlight w:val="none"/>
        </w:rPr>
        <w:t xml:space="preserve"> 响应文件格式</w:t>
      </w:r>
      <w:bookmarkEnd w:id="42"/>
      <w:bookmarkEnd w:id="43"/>
      <w:bookmarkEnd w:id="44"/>
    </w:p>
    <w:p w14:paraId="1136453A">
      <w:pPr>
        <w:snapToGrid w:val="0"/>
        <w:spacing w:line="400" w:lineRule="exact"/>
        <w:jc w:val="left"/>
        <w:rPr>
          <w:rFonts w:ascii="宋体" w:hAnsi="宋体" w:cs="宋体"/>
          <w:b/>
          <w:color w:val="auto"/>
          <w:w w:val="120"/>
          <w:sz w:val="28"/>
          <w:szCs w:val="28"/>
          <w:highlight w:val="none"/>
        </w:rPr>
      </w:pPr>
      <w:r>
        <w:rPr>
          <w:rFonts w:ascii="宋体" w:hAnsi="宋体" w:cs="宋体"/>
          <w:b/>
          <w:color w:val="auto"/>
          <w:w w:val="120"/>
          <w:sz w:val="28"/>
          <w:szCs w:val="28"/>
          <w:highlight w:val="none"/>
        </w:rPr>
        <w:t>项目编号：</w:t>
      </w:r>
      <w:r>
        <w:rPr>
          <w:rFonts w:hint="eastAsia" w:ascii="宋体" w:hAnsi="宋体" w:cs="宋体"/>
          <w:b/>
          <w:color w:val="auto"/>
          <w:w w:val="120"/>
          <w:sz w:val="28"/>
          <w:szCs w:val="28"/>
          <w:highlight w:val="none"/>
          <w:lang w:eastAsia="zh-CN"/>
        </w:rPr>
        <w:t>ZMZB2026AKYY-241.1B1</w:t>
      </w:r>
      <w:r>
        <w:rPr>
          <w:rFonts w:ascii="宋体" w:hAnsi="宋体" w:cs="宋体"/>
          <w:b/>
          <w:color w:val="auto"/>
          <w:w w:val="120"/>
          <w:sz w:val="28"/>
          <w:szCs w:val="28"/>
          <w:highlight w:val="none"/>
        </w:rPr>
        <w:t xml:space="preserve">       </w:t>
      </w:r>
    </w:p>
    <w:p w14:paraId="2D35BAB5">
      <w:pPr>
        <w:snapToGrid w:val="0"/>
        <w:spacing w:line="360" w:lineRule="auto"/>
        <w:jc w:val="center"/>
        <w:rPr>
          <w:rFonts w:ascii="宋体" w:hAnsi="宋体" w:cs="宋体"/>
          <w:b/>
          <w:color w:val="auto"/>
          <w:w w:val="120"/>
          <w:sz w:val="48"/>
          <w:szCs w:val="48"/>
          <w:highlight w:val="none"/>
        </w:rPr>
      </w:pPr>
    </w:p>
    <w:p w14:paraId="0D61C61D">
      <w:pPr>
        <w:snapToGrid w:val="0"/>
        <w:spacing w:line="360" w:lineRule="auto"/>
        <w:jc w:val="center"/>
        <w:rPr>
          <w:rFonts w:ascii="宋体" w:hAnsi="宋体" w:cs="宋体"/>
          <w:b/>
          <w:color w:val="auto"/>
          <w:sz w:val="52"/>
          <w:szCs w:val="52"/>
          <w:highlight w:val="none"/>
        </w:rPr>
      </w:pPr>
    </w:p>
    <w:p w14:paraId="774EC88A">
      <w:pPr>
        <w:snapToGrid w:val="0"/>
        <w:spacing w:line="360" w:lineRule="auto"/>
        <w:jc w:val="center"/>
        <w:rPr>
          <w:rFonts w:ascii="宋体" w:hAnsi="宋体" w:cs="宋体"/>
          <w:b/>
          <w:color w:val="auto"/>
          <w:sz w:val="52"/>
          <w:szCs w:val="52"/>
          <w:highlight w:val="none"/>
        </w:rPr>
      </w:pPr>
    </w:p>
    <w:p w14:paraId="37607827">
      <w:pPr>
        <w:snapToGrid w:val="0"/>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安康市人民医院</w:t>
      </w:r>
    </w:p>
    <w:p w14:paraId="39A53781">
      <w:pPr>
        <w:snapToGrid w:val="0"/>
        <w:spacing w:line="360" w:lineRule="auto"/>
        <w:jc w:val="center"/>
        <w:rPr>
          <w:rFonts w:hint="eastAsia" w:ascii="宋体" w:hAnsi="宋体" w:eastAsia="宋体" w:cs="宋体"/>
          <w:b/>
          <w:color w:val="auto"/>
          <w:sz w:val="48"/>
          <w:szCs w:val="48"/>
          <w:highlight w:val="none"/>
          <w:lang w:eastAsia="zh-CN"/>
        </w:rPr>
      </w:pPr>
      <w:r>
        <w:rPr>
          <w:rFonts w:hint="eastAsia" w:ascii="宋体" w:hAnsi="宋体" w:cs="宋体"/>
          <w:b/>
          <w:color w:val="auto"/>
          <w:sz w:val="48"/>
          <w:szCs w:val="48"/>
          <w:highlight w:val="none"/>
          <w:lang w:eastAsia="zh-CN"/>
        </w:rPr>
        <w:t>病房改造提升项目实施阶段全过程造价跟踪审核审计服务（二次）</w:t>
      </w:r>
    </w:p>
    <w:p w14:paraId="2F999488">
      <w:pPr>
        <w:snapToGrid w:val="0"/>
        <w:spacing w:line="360" w:lineRule="auto"/>
        <w:jc w:val="center"/>
        <w:rPr>
          <w:rFonts w:ascii="宋体" w:hAnsi="宋体" w:cs="宋体"/>
          <w:b/>
          <w:color w:val="auto"/>
          <w:sz w:val="72"/>
          <w:szCs w:val="72"/>
          <w:highlight w:val="none"/>
        </w:rPr>
      </w:pPr>
    </w:p>
    <w:p w14:paraId="33A424DB">
      <w:pPr>
        <w:snapToGrid w:val="0"/>
        <w:spacing w:line="360" w:lineRule="auto"/>
        <w:jc w:val="center"/>
        <w:rPr>
          <w:rFonts w:ascii="宋体" w:hAnsi="宋体" w:cs="宋体"/>
          <w:b/>
          <w:color w:val="auto"/>
          <w:sz w:val="72"/>
          <w:szCs w:val="72"/>
          <w:highlight w:val="none"/>
        </w:rPr>
      </w:pPr>
      <w:r>
        <w:rPr>
          <w:rFonts w:ascii="宋体" w:hAnsi="宋体" w:cs="宋体"/>
          <w:b/>
          <w:color w:val="auto"/>
          <w:sz w:val="72"/>
          <w:szCs w:val="72"/>
          <w:highlight w:val="none"/>
        </w:rPr>
        <w:t>响应文件</w:t>
      </w:r>
    </w:p>
    <w:p w14:paraId="111FF5FD">
      <w:pPr>
        <w:snapToGrid w:val="0"/>
        <w:spacing w:line="360" w:lineRule="auto"/>
        <w:jc w:val="left"/>
        <w:rPr>
          <w:rFonts w:ascii="宋体" w:hAnsi="宋体" w:cs="宋体"/>
          <w:b/>
          <w:color w:val="auto"/>
          <w:sz w:val="32"/>
          <w:szCs w:val="32"/>
          <w:highlight w:val="none"/>
          <w:lang w:val="zh-CN"/>
        </w:rPr>
      </w:pPr>
    </w:p>
    <w:p w14:paraId="00FF8F01">
      <w:pPr>
        <w:snapToGrid w:val="0"/>
        <w:spacing w:line="360" w:lineRule="auto"/>
        <w:jc w:val="left"/>
        <w:rPr>
          <w:rFonts w:ascii="宋体" w:hAnsi="宋体" w:cs="宋体"/>
          <w:color w:val="auto"/>
          <w:sz w:val="32"/>
          <w:szCs w:val="32"/>
          <w:highlight w:val="none"/>
          <w:lang w:val="zh-CN"/>
        </w:rPr>
      </w:pPr>
    </w:p>
    <w:p w14:paraId="2C0C0060">
      <w:pPr>
        <w:snapToGrid w:val="0"/>
        <w:spacing w:line="360" w:lineRule="auto"/>
        <w:jc w:val="left"/>
        <w:rPr>
          <w:rFonts w:ascii="宋体" w:hAnsi="宋体" w:cs="宋体"/>
          <w:color w:val="auto"/>
          <w:sz w:val="32"/>
          <w:szCs w:val="32"/>
          <w:highlight w:val="none"/>
          <w:lang w:val="zh-CN"/>
        </w:rPr>
      </w:pPr>
    </w:p>
    <w:p w14:paraId="7C6E12D4">
      <w:pPr>
        <w:snapToGrid w:val="0"/>
        <w:spacing w:line="360" w:lineRule="auto"/>
        <w:jc w:val="left"/>
        <w:rPr>
          <w:rFonts w:ascii="宋体" w:hAnsi="宋体" w:cs="宋体"/>
          <w:color w:val="auto"/>
          <w:sz w:val="32"/>
          <w:szCs w:val="32"/>
          <w:highlight w:val="none"/>
          <w:lang w:val="zh-CN"/>
        </w:rPr>
      </w:pPr>
    </w:p>
    <w:p w14:paraId="31C5E5E7">
      <w:pPr>
        <w:snapToGrid w:val="0"/>
        <w:spacing w:line="360" w:lineRule="auto"/>
        <w:jc w:val="left"/>
        <w:rPr>
          <w:rFonts w:ascii="宋体" w:hAnsi="宋体" w:cs="宋体"/>
          <w:color w:val="auto"/>
          <w:sz w:val="32"/>
          <w:szCs w:val="32"/>
          <w:highlight w:val="none"/>
          <w:u w:val="single"/>
        </w:rPr>
      </w:pPr>
      <w:r>
        <w:rPr>
          <w:rFonts w:ascii="宋体" w:hAnsi="宋体" w:cs="宋体"/>
          <w:color w:val="auto"/>
          <w:sz w:val="32"/>
          <w:szCs w:val="32"/>
          <w:highlight w:val="none"/>
          <w:lang w:val="zh-CN"/>
        </w:rPr>
        <w:t>供应商（单位名称）：</w:t>
      </w:r>
      <w:r>
        <w:rPr>
          <w:rFonts w:ascii="宋体" w:hAnsi="宋体" w:cs="宋体"/>
          <w:color w:val="auto"/>
          <w:sz w:val="32"/>
          <w:szCs w:val="32"/>
          <w:highlight w:val="none"/>
        </w:rPr>
        <w:t>______________</w:t>
      </w:r>
    </w:p>
    <w:p w14:paraId="69F76363">
      <w:pPr>
        <w:snapToGrid w:val="0"/>
        <w:spacing w:line="360" w:lineRule="auto"/>
        <w:jc w:val="left"/>
        <w:rPr>
          <w:rFonts w:ascii="宋体" w:hAnsi="宋体" w:cs="宋体"/>
          <w:color w:val="auto"/>
          <w:sz w:val="36"/>
          <w:szCs w:val="36"/>
          <w:highlight w:val="none"/>
          <w:u w:val="single"/>
        </w:rPr>
      </w:pPr>
      <w:r>
        <w:rPr>
          <w:rFonts w:ascii="宋体" w:hAnsi="宋体" w:cs="宋体"/>
          <w:color w:val="auto"/>
          <w:sz w:val="32"/>
          <w:szCs w:val="32"/>
          <w:highlight w:val="none"/>
        </w:rPr>
        <w:t>日期</w:t>
      </w:r>
      <w:r>
        <w:rPr>
          <w:rFonts w:ascii="宋体" w:hAnsi="宋体" w:cs="宋体"/>
          <w:color w:val="auto"/>
          <w:sz w:val="32"/>
          <w:szCs w:val="32"/>
          <w:highlight w:val="none"/>
          <w:lang w:val="zh-CN"/>
        </w:rPr>
        <w:t>：</w:t>
      </w:r>
      <w:r>
        <w:rPr>
          <w:rFonts w:ascii="宋体" w:hAnsi="宋体" w:cs="宋体"/>
          <w:color w:val="auto"/>
          <w:sz w:val="32"/>
          <w:szCs w:val="32"/>
          <w:highlight w:val="none"/>
        </w:rPr>
        <w:t>______</w:t>
      </w:r>
      <w:r>
        <w:rPr>
          <w:color w:val="auto"/>
          <w:highlight w:val="none"/>
        </w:rPr>
        <w:br w:type="page"/>
      </w:r>
    </w:p>
    <w:p w14:paraId="1F2B22B7">
      <w:pPr>
        <w:jc w:val="center"/>
        <w:rPr>
          <w:rFonts w:ascii="宋体" w:hAnsi="宋体"/>
          <w:b/>
          <w:bCs/>
          <w:color w:val="auto"/>
          <w:sz w:val="50"/>
          <w:szCs w:val="50"/>
          <w:highlight w:val="none"/>
        </w:rPr>
      </w:pPr>
      <w:r>
        <w:rPr>
          <w:rFonts w:ascii="宋体" w:hAnsi="宋体" w:cs="宋体"/>
          <w:b/>
          <w:bCs/>
          <w:color w:val="auto"/>
          <w:sz w:val="50"/>
          <w:szCs w:val="50"/>
          <w:highlight w:val="none"/>
        </w:rPr>
        <w:t>目录</w:t>
      </w:r>
    </w:p>
    <w:p w14:paraId="7F3964ED">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"_Toc21605" </w:instrText>
      </w:r>
      <w:r>
        <w:rPr>
          <w:color w:val="auto"/>
          <w:highlight w:val="none"/>
        </w:rPr>
        <w:fldChar w:fldCharType="separate"/>
      </w:r>
      <w:r>
        <w:rPr>
          <w:rFonts w:hint="eastAsia" w:ascii="宋体" w:hAnsi="宋体" w:cs="宋体"/>
          <w:b/>
          <w:bCs/>
          <w:color w:val="auto"/>
          <w:sz w:val="28"/>
          <w:szCs w:val="28"/>
          <w:highlight w:val="none"/>
        </w:rPr>
        <w:t>第一部分  响应函</w:t>
      </w:r>
      <w:r>
        <w:rPr>
          <w:rFonts w:hint="eastAsia" w:ascii="宋体" w:hAnsi="宋体" w:cs="宋体"/>
          <w:b/>
          <w:bCs/>
          <w:color w:val="auto"/>
          <w:sz w:val="28"/>
          <w:szCs w:val="28"/>
          <w:highlight w:val="none"/>
        </w:rPr>
        <w:fldChar w:fldCharType="end"/>
      </w:r>
    </w:p>
    <w:p w14:paraId="5360EC6D">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"_Toc28863" </w:instrText>
      </w:r>
      <w:r>
        <w:rPr>
          <w:color w:val="auto"/>
          <w:highlight w:val="none"/>
        </w:rPr>
        <w:fldChar w:fldCharType="separate"/>
      </w:r>
      <w:r>
        <w:rPr>
          <w:rFonts w:hint="eastAsia" w:ascii="宋体" w:hAnsi="宋体" w:cs="宋体"/>
          <w:b/>
          <w:bCs/>
          <w:color w:val="auto"/>
          <w:sz w:val="28"/>
          <w:szCs w:val="28"/>
          <w:highlight w:val="none"/>
        </w:rPr>
        <w:t>第二部分  响应一览表</w:t>
      </w:r>
      <w:r>
        <w:rPr>
          <w:rFonts w:hint="eastAsia" w:ascii="宋体" w:hAnsi="宋体" w:cs="宋体"/>
          <w:b/>
          <w:bCs/>
          <w:color w:val="auto"/>
          <w:sz w:val="28"/>
          <w:szCs w:val="28"/>
          <w:highlight w:val="none"/>
        </w:rPr>
        <w:fldChar w:fldCharType="end"/>
      </w:r>
    </w:p>
    <w:p w14:paraId="1E2407A1">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"_Toc11019" </w:instrText>
      </w:r>
      <w:r>
        <w:rPr>
          <w:color w:val="auto"/>
          <w:highlight w:val="none"/>
        </w:rPr>
        <w:fldChar w:fldCharType="separate"/>
      </w:r>
      <w:r>
        <w:rPr>
          <w:rFonts w:hint="eastAsia" w:ascii="宋体" w:hAnsi="宋体" w:cs="宋体"/>
          <w:b/>
          <w:bCs/>
          <w:color w:val="auto"/>
          <w:sz w:val="28"/>
          <w:szCs w:val="28"/>
          <w:highlight w:val="none"/>
        </w:rPr>
        <w:t>第三部分  商务及技术响应说明</w:t>
      </w:r>
      <w:r>
        <w:rPr>
          <w:rFonts w:hint="eastAsia" w:ascii="宋体" w:hAnsi="宋体" w:cs="宋体"/>
          <w:b/>
          <w:bCs/>
          <w:color w:val="auto"/>
          <w:sz w:val="28"/>
          <w:szCs w:val="28"/>
          <w:highlight w:val="none"/>
        </w:rPr>
        <w:fldChar w:fldCharType="end"/>
      </w:r>
    </w:p>
    <w:p w14:paraId="36076660">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"_Toc22540" </w:instrText>
      </w:r>
      <w:r>
        <w:rPr>
          <w:color w:val="auto"/>
          <w:highlight w:val="none"/>
        </w:rPr>
        <w:fldChar w:fldCharType="separate"/>
      </w:r>
      <w:r>
        <w:rPr>
          <w:rFonts w:hint="eastAsia" w:ascii="宋体" w:hAnsi="宋体" w:cs="宋体"/>
          <w:b/>
          <w:bCs/>
          <w:color w:val="auto"/>
          <w:sz w:val="28"/>
          <w:szCs w:val="28"/>
          <w:highlight w:val="none"/>
        </w:rPr>
        <w:t>第四部分  供应商资格要求</w:t>
      </w:r>
      <w:r>
        <w:rPr>
          <w:rFonts w:hint="eastAsia" w:ascii="宋体" w:hAnsi="宋体" w:cs="宋体"/>
          <w:b/>
          <w:bCs/>
          <w:color w:val="auto"/>
          <w:sz w:val="28"/>
          <w:szCs w:val="28"/>
          <w:highlight w:val="none"/>
        </w:rPr>
        <w:fldChar w:fldCharType="end"/>
      </w:r>
    </w:p>
    <w:p w14:paraId="3FD66F5E">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"_Toc24463" </w:instrText>
      </w:r>
      <w:r>
        <w:rPr>
          <w:color w:val="auto"/>
          <w:highlight w:val="none"/>
        </w:rPr>
        <w:fldChar w:fldCharType="separate"/>
      </w:r>
      <w:r>
        <w:rPr>
          <w:rFonts w:hint="eastAsia" w:ascii="宋体" w:hAnsi="宋体" w:cs="宋体"/>
          <w:b/>
          <w:bCs/>
          <w:color w:val="auto"/>
          <w:sz w:val="28"/>
          <w:szCs w:val="28"/>
          <w:highlight w:val="none"/>
        </w:rPr>
        <w:t xml:space="preserve">第五部分  </w:t>
      </w:r>
      <w:r>
        <w:rPr>
          <w:rFonts w:hint="eastAsia" w:ascii="宋体" w:hAnsi="宋体" w:cs="宋体"/>
          <w:b/>
          <w:bCs/>
          <w:color w:val="auto"/>
          <w:sz w:val="28"/>
          <w:szCs w:val="28"/>
          <w:highlight w:val="none"/>
          <w:lang w:val="en-US" w:eastAsia="zh-CN"/>
        </w:rPr>
        <w:t>服务</w:t>
      </w:r>
      <w:r>
        <w:rPr>
          <w:rFonts w:hint="eastAsia" w:ascii="宋体" w:hAnsi="宋体" w:cs="宋体"/>
          <w:b/>
          <w:bCs/>
          <w:color w:val="auto"/>
          <w:sz w:val="28"/>
          <w:szCs w:val="28"/>
          <w:highlight w:val="none"/>
        </w:rPr>
        <w:t>方案</w:t>
      </w:r>
      <w:r>
        <w:rPr>
          <w:rFonts w:hint="eastAsia" w:ascii="宋体" w:hAnsi="宋体" w:cs="宋体"/>
          <w:b/>
          <w:bCs/>
          <w:color w:val="auto"/>
          <w:sz w:val="28"/>
          <w:szCs w:val="28"/>
          <w:highlight w:val="none"/>
        </w:rPr>
        <w:fldChar w:fldCharType="end"/>
      </w:r>
    </w:p>
    <w:p w14:paraId="63751600">
      <w:pPr>
        <w:pStyle w:val="15"/>
        <w:tabs>
          <w:tab w:val="right" w:leader="dot" w:pos="8306"/>
        </w:tabs>
        <w:spacing w:line="480" w:lineRule="auto"/>
        <w:rPr>
          <w:rFonts w:hint="default" w:ascii="宋体" w:hAnsi="宋体" w:eastAsia="宋体" w:cs="宋体"/>
          <w:b/>
          <w:bCs/>
          <w:color w:val="auto"/>
          <w:sz w:val="28"/>
          <w:szCs w:val="28"/>
          <w:highlight w:val="none"/>
          <w:lang w:val="en-US" w:eastAsia="zh-CN"/>
        </w:rPr>
      </w:pPr>
      <w:r>
        <w:rPr>
          <w:color w:val="auto"/>
          <w:highlight w:val="none"/>
        </w:rPr>
        <w:fldChar w:fldCharType="begin"/>
      </w:r>
      <w:r>
        <w:rPr>
          <w:color w:val="auto"/>
          <w:highlight w:val="none"/>
        </w:rPr>
        <w:instrText xml:space="preserve"> HYPERLINK \l "_Toc30430" </w:instrText>
      </w:r>
      <w:r>
        <w:rPr>
          <w:color w:val="auto"/>
          <w:highlight w:val="none"/>
        </w:rPr>
        <w:fldChar w:fldCharType="separate"/>
      </w:r>
      <w:r>
        <w:rPr>
          <w:rFonts w:hint="eastAsia" w:ascii="宋体" w:hAnsi="宋体" w:cs="宋体"/>
          <w:b/>
          <w:bCs/>
          <w:color w:val="auto"/>
          <w:sz w:val="28"/>
          <w:szCs w:val="28"/>
          <w:highlight w:val="none"/>
        </w:rPr>
        <w:t xml:space="preserve">第六部分  </w:t>
      </w:r>
      <w:r>
        <w:rPr>
          <w:rFonts w:hint="eastAsia" w:ascii="宋体" w:hAnsi="宋体" w:cs="宋体"/>
          <w:b/>
          <w:bCs/>
          <w:color w:val="auto"/>
          <w:sz w:val="28"/>
          <w:szCs w:val="28"/>
          <w:highlight w:val="none"/>
          <w:lang w:val="en-US" w:eastAsia="zh-CN"/>
        </w:rPr>
        <w:t>项目</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lang w:val="en-US" w:eastAsia="zh-CN"/>
        </w:rPr>
        <w:t>服务团队</w:t>
      </w:r>
    </w:p>
    <w:p w14:paraId="7FBBAE7C">
      <w:pPr>
        <w:pStyle w:val="15"/>
        <w:tabs>
          <w:tab w:val="right" w:leader="dot" w:pos="8306"/>
        </w:tabs>
        <w:spacing w:line="480" w:lineRule="auto"/>
        <w:rPr>
          <w:rFonts w:hint="eastAsia" w:ascii="宋体" w:hAnsi="宋体" w:cs="宋体"/>
          <w:b/>
          <w:bCs/>
          <w:color w:val="auto"/>
          <w:sz w:val="28"/>
          <w:szCs w:val="28"/>
          <w:highlight w:val="none"/>
          <w:lang w:val="en-US" w:eastAsia="zh-CN"/>
        </w:rPr>
      </w:pPr>
      <w:r>
        <w:rPr>
          <w:color w:val="auto"/>
          <w:highlight w:val="none"/>
        </w:rPr>
        <w:fldChar w:fldCharType="begin"/>
      </w:r>
      <w:r>
        <w:rPr>
          <w:color w:val="auto"/>
          <w:highlight w:val="none"/>
        </w:rPr>
        <w:instrText xml:space="preserve"> HYPERLINK \l "_Toc27107" </w:instrText>
      </w:r>
      <w:r>
        <w:rPr>
          <w:color w:val="auto"/>
          <w:highlight w:val="none"/>
        </w:rPr>
        <w:fldChar w:fldCharType="separate"/>
      </w:r>
      <w:r>
        <w:rPr>
          <w:rFonts w:hint="eastAsia" w:ascii="宋体" w:hAnsi="宋体" w:cs="宋体"/>
          <w:b/>
          <w:bCs/>
          <w:color w:val="auto"/>
          <w:sz w:val="28"/>
          <w:szCs w:val="28"/>
          <w:highlight w:val="none"/>
        </w:rPr>
        <w:t>第</w:t>
      </w:r>
      <w:r>
        <w:rPr>
          <w:rFonts w:hint="eastAsia" w:ascii="宋体" w:hAnsi="宋体" w:cs="宋体"/>
          <w:b/>
          <w:bCs/>
          <w:color w:val="auto"/>
          <w:sz w:val="28"/>
          <w:szCs w:val="28"/>
          <w:highlight w:val="none"/>
          <w:lang w:val="en-US" w:eastAsia="zh-CN"/>
        </w:rPr>
        <w:t>七</w:t>
      </w:r>
      <w:r>
        <w:rPr>
          <w:rFonts w:hint="eastAsia" w:ascii="宋体" w:hAnsi="宋体" w:cs="宋体"/>
          <w:b/>
          <w:bCs/>
          <w:color w:val="auto"/>
          <w:sz w:val="28"/>
          <w:szCs w:val="28"/>
          <w:highlight w:val="none"/>
        </w:rPr>
        <w:t>部分</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 </w:t>
      </w:r>
      <w:r>
        <w:rPr>
          <w:rFonts w:hint="eastAsia" w:ascii="宋体" w:hAnsi="宋体" w:cs="宋体"/>
          <w:b/>
          <w:bCs/>
          <w:color w:val="auto"/>
          <w:sz w:val="28"/>
          <w:szCs w:val="28"/>
          <w:highlight w:val="none"/>
          <w:lang w:val="en-US" w:eastAsia="zh-CN"/>
        </w:rPr>
        <w:t>人员承诺</w:t>
      </w:r>
    </w:p>
    <w:p w14:paraId="40AA5BF3">
      <w:pPr>
        <w:pStyle w:val="15"/>
        <w:tabs>
          <w:tab w:val="right" w:leader="dot" w:pos="8306"/>
        </w:tabs>
        <w:spacing w:line="48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第</w:t>
      </w:r>
      <w:r>
        <w:rPr>
          <w:rFonts w:hint="eastAsia" w:ascii="宋体" w:hAnsi="宋体" w:cs="宋体"/>
          <w:b/>
          <w:bCs/>
          <w:color w:val="auto"/>
          <w:sz w:val="28"/>
          <w:szCs w:val="28"/>
          <w:highlight w:val="none"/>
          <w:lang w:val="en-US" w:eastAsia="zh-CN"/>
        </w:rPr>
        <w:t>八</w:t>
      </w:r>
      <w:r>
        <w:rPr>
          <w:rFonts w:hint="eastAsia" w:ascii="宋体" w:hAnsi="宋体" w:cs="宋体"/>
          <w:b/>
          <w:bCs/>
          <w:color w:val="auto"/>
          <w:sz w:val="28"/>
          <w:szCs w:val="28"/>
          <w:highlight w:val="none"/>
        </w:rPr>
        <w:t>部分</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 业绩一览表</w:t>
      </w:r>
      <w:r>
        <w:rPr>
          <w:rFonts w:hint="eastAsia" w:ascii="宋体" w:hAnsi="宋体" w:cs="宋体"/>
          <w:b/>
          <w:bCs/>
          <w:color w:val="auto"/>
          <w:sz w:val="28"/>
          <w:szCs w:val="28"/>
          <w:highlight w:val="none"/>
        </w:rPr>
        <w:fldChar w:fldCharType="end"/>
      </w:r>
    </w:p>
    <w:p w14:paraId="76DA54D4">
      <w:pPr>
        <w:pStyle w:val="15"/>
        <w:tabs>
          <w:tab w:val="right" w:leader="dot" w:pos="8306"/>
        </w:tabs>
        <w:spacing w:line="480" w:lineRule="auto"/>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"_Toc19464" </w:instrText>
      </w:r>
      <w:r>
        <w:rPr>
          <w:color w:val="auto"/>
          <w:highlight w:val="none"/>
        </w:rPr>
        <w:fldChar w:fldCharType="separate"/>
      </w:r>
      <w:r>
        <w:rPr>
          <w:rFonts w:hint="eastAsia" w:ascii="宋体" w:hAnsi="宋体" w:cs="宋体"/>
          <w:b/>
          <w:bCs/>
          <w:color w:val="auto"/>
          <w:sz w:val="28"/>
          <w:szCs w:val="28"/>
          <w:highlight w:val="none"/>
        </w:rPr>
        <w:t>第</w:t>
      </w:r>
      <w:r>
        <w:rPr>
          <w:rFonts w:hint="eastAsia" w:ascii="宋体" w:hAnsi="宋体" w:cs="宋体"/>
          <w:b/>
          <w:bCs/>
          <w:color w:val="auto"/>
          <w:sz w:val="28"/>
          <w:szCs w:val="28"/>
          <w:highlight w:val="none"/>
          <w:lang w:val="en-US" w:eastAsia="zh-CN"/>
        </w:rPr>
        <w:t>九</w:t>
      </w:r>
      <w:r>
        <w:rPr>
          <w:rFonts w:hint="eastAsia" w:ascii="宋体" w:hAnsi="宋体" w:cs="宋体"/>
          <w:b/>
          <w:bCs/>
          <w:color w:val="auto"/>
          <w:sz w:val="28"/>
          <w:szCs w:val="28"/>
          <w:highlight w:val="none"/>
        </w:rPr>
        <w:t>部分  供应商认为有必要说明的其他问题</w:t>
      </w:r>
      <w:r>
        <w:rPr>
          <w:rFonts w:hint="eastAsia" w:ascii="宋体" w:hAnsi="宋体" w:cs="宋体"/>
          <w:b/>
          <w:bCs/>
          <w:color w:val="auto"/>
          <w:sz w:val="28"/>
          <w:szCs w:val="28"/>
          <w:highlight w:val="none"/>
        </w:rPr>
        <w:fldChar w:fldCharType="end"/>
      </w:r>
      <w:r>
        <w:rPr>
          <w:color w:val="auto"/>
          <w:highlight w:val="none"/>
        </w:rPr>
        <w:br w:type="page"/>
      </w:r>
    </w:p>
    <w:p w14:paraId="74D39AD2">
      <w:pPr>
        <w:pStyle w:val="3"/>
        <w:spacing w:beforeLines="132" w:afterLines="199" w:line="500" w:lineRule="exact"/>
        <w:rPr>
          <w:rFonts w:ascii="宋体" w:hAnsi="宋体" w:cs="宋体"/>
          <w:color w:val="auto"/>
          <w:sz w:val="36"/>
          <w:szCs w:val="36"/>
          <w:highlight w:val="none"/>
        </w:rPr>
      </w:pPr>
      <w:bookmarkStart w:id="45" w:name="_Toc1446"/>
      <w:bookmarkStart w:id="46" w:name="_Toc14150"/>
      <w:bookmarkStart w:id="47" w:name="_Toc17043"/>
      <w:r>
        <w:rPr>
          <w:rFonts w:ascii="宋体" w:hAnsi="宋体" w:cs="宋体"/>
          <w:color w:val="auto"/>
          <w:sz w:val="36"/>
          <w:szCs w:val="36"/>
          <w:highlight w:val="none"/>
        </w:rPr>
        <w:t>第一部分  响应函</w:t>
      </w:r>
      <w:bookmarkEnd w:id="45"/>
      <w:bookmarkEnd w:id="46"/>
      <w:bookmarkEnd w:id="47"/>
    </w:p>
    <w:p w14:paraId="28E8C1BC">
      <w:pPr>
        <w:snapToGrid w:val="0"/>
        <w:spacing w:line="276" w:lineRule="auto"/>
        <w:jc w:val="left"/>
        <w:rPr>
          <w:rFonts w:ascii="宋体" w:hAnsi="宋体" w:cs="宋体"/>
          <w:bCs/>
          <w:color w:val="auto"/>
          <w:sz w:val="32"/>
          <w:szCs w:val="32"/>
          <w:highlight w:val="none"/>
        </w:rPr>
      </w:pPr>
      <w:r>
        <w:rPr>
          <w:rFonts w:ascii="宋体" w:hAnsi="宋体" w:cs="宋体"/>
          <w:b/>
          <w:bCs/>
          <w:color w:val="auto"/>
          <w:sz w:val="28"/>
          <w:szCs w:val="28"/>
          <w:highlight w:val="none"/>
        </w:rPr>
        <w:t>陕西卓佲项目管理有限公司</w:t>
      </w:r>
      <w:r>
        <w:rPr>
          <w:rFonts w:ascii="宋体" w:hAnsi="宋体" w:cs="宋体"/>
          <w:bCs/>
          <w:color w:val="auto"/>
          <w:sz w:val="32"/>
          <w:szCs w:val="32"/>
          <w:highlight w:val="none"/>
        </w:rPr>
        <w:t>：</w:t>
      </w:r>
    </w:p>
    <w:p w14:paraId="18CFD918">
      <w:pPr>
        <w:snapToGrid w:val="0"/>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我单位经详细研究，我公司决定参加本次磋商活动。为此，我方郑重承诺以下诸点，并负法律责任。</w:t>
      </w:r>
    </w:p>
    <w:p w14:paraId="057F252A">
      <w:pPr>
        <w:snapToGrid w:val="0"/>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1、愿意按照竞争性磋商文件中的全部要求，提供合格的产品及完善的技术服务，履行合同的责任和义务。</w:t>
      </w:r>
    </w:p>
    <w:p w14:paraId="08C9BC93">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、我们已详细阅读了竞争性磋商文件，完全理解并同意放弃提出含糊不清和误解问题的权力。</w:t>
      </w:r>
    </w:p>
    <w:p w14:paraId="11B39AAA">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、如果我方在磋商后到规定的磋商有效期内撤回响应文件及承诺，我们将承担一切不利后果。</w:t>
      </w:r>
    </w:p>
    <w:p w14:paraId="6A93D292">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、同意向贵方提供贵方可能要求的、与本次磋商有关的任何证据资料。</w:t>
      </w:r>
    </w:p>
    <w:p w14:paraId="2BA46DDF">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w:t>
      </w:r>
      <w:r>
        <w:rPr>
          <w:rFonts w:ascii="宋体" w:hAnsi="宋体" w:cs="宋体"/>
          <w:color w:val="auto"/>
          <w:sz w:val="24"/>
          <w:highlight w:val="none"/>
        </w:rPr>
        <w:t>、我方承诺响应有效期为开标之日起</w:t>
      </w:r>
      <w:r>
        <w:rPr>
          <w:rFonts w:hint="eastAsia" w:ascii="宋体" w:hAnsi="宋体" w:cs="宋体"/>
          <w:color w:val="auto"/>
          <w:sz w:val="24"/>
          <w:highlight w:val="none"/>
          <w:lang w:val="en-US" w:eastAsia="zh-CN"/>
        </w:rPr>
        <w:t>90</w:t>
      </w:r>
      <w:r>
        <w:rPr>
          <w:rFonts w:ascii="宋体" w:hAnsi="宋体" w:cs="宋体"/>
          <w:color w:val="auto"/>
          <w:sz w:val="24"/>
          <w:highlight w:val="none"/>
        </w:rPr>
        <w:t>日历日内有效。</w:t>
      </w:r>
    </w:p>
    <w:p w14:paraId="14B65A25">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w:t>
      </w:r>
      <w:r>
        <w:rPr>
          <w:rFonts w:ascii="宋体" w:hAnsi="宋体" w:cs="宋体"/>
          <w:color w:val="auto"/>
          <w:sz w:val="24"/>
          <w:highlight w:val="none"/>
        </w:rPr>
        <w:t>、所有关于本次磋商的函电，请按下列地址联系：</w:t>
      </w:r>
    </w:p>
    <w:p w14:paraId="693E2D08">
      <w:pPr>
        <w:pStyle w:val="7"/>
        <w:rPr>
          <w:color w:val="auto"/>
          <w:highlight w:val="none"/>
        </w:rPr>
      </w:pPr>
    </w:p>
    <w:p w14:paraId="65614ED1">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供应商（单位名称及公章）：___________________</w:t>
      </w:r>
    </w:p>
    <w:p w14:paraId="5D3F5CEE">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法定代表人或被授权人（签字或盖章）：___________</w:t>
      </w:r>
    </w:p>
    <w:p w14:paraId="09D909D9">
      <w:pPr>
        <w:snapToGrid w:val="0"/>
        <w:spacing w:line="360" w:lineRule="auto"/>
        <w:ind w:firstLine="480" w:firstLineChars="200"/>
        <w:jc w:val="left"/>
        <w:rPr>
          <w:rFonts w:ascii="宋体" w:hAnsi="宋体" w:cs="宋体"/>
          <w:color w:val="auto"/>
          <w:sz w:val="24"/>
          <w:highlight w:val="none"/>
        </w:rPr>
      </w:pPr>
      <w:r>
        <w:rPr>
          <w:rFonts w:ascii="宋体" w:hAnsi="宋体" w:cs="宋体"/>
          <w:color w:val="auto"/>
          <w:sz w:val="24"/>
          <w:highlight w:val="none"/>
        </w:rPr>
        <w:t>地址：________________________</w:t>
      </w:r>
    </w:p>
    <w:p w14:paraId="6B555374">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开户银行:_____________________</w:t>
      </w:r>
    </w:p>
    <w:p w14:paraId="25680F99">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帐号：________________________</w:t>
      </w:r>
    </w:p>
    <w:p w14:paraId="5F5F8A04">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电话：________________________</w:t>
      </w:r>
    </w:p>
    <w:p w14:paraId="30CAAABC">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传真：________________________</w:t>
      </w:r>
    </w:p>
    <w:p w14:paraId="45B14B96">
      <w:pPr>
        <w:snapToGrid w:val="0"/>
        <w:spacing w:line="360" w:lineRule="auto"/>
        <w:ind w:firstLine="480" w:firstLineChars="200"/>
        <w:jc w:val="left"/>
        <w:rPr>
          <w:rFonts w:ascii="宋体" w:hAnsi="宋体" w:cs="宋体"/>
          <w:color w:val="auto"/>
          <w:sz w:val="24"/>
          <w:highlight w:val="none"/>
          <w:u w:val="single"/>
        </w:rPr>
      </w:pPr>
      <w:r>
        <w:rPr>
          <w:rFonts w:ascii="宋体" w:hAnsi="宋体" w:cs="宋体"/>
          <w:color w:val="auto"/>
          <w:sz w:val="24"/>
          <w:highlight w:val="none"/>
        </w:rPr>
        <w:t>邮编：________________________</w:t>
      </w:r>
    </w:p>
    <w:p w14:paraId="3D82B550">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日期：_______年_____月_______日</w:t>
      </w:r>
    </w:p>
    <w:p w14:paraId="6CE273A5">
      <w:pPr>
        <w:widowControl/>
        <w:spacing w:line="360" w:lineRule="auto"/>
        <w:ind w:firstLine="720" w:firstLineChars="200"/>
        <w:jc w:val="left"/>
        <w:rPr>
          <w:rFonts w:ascii="宋体" w:hAnsi="宋体" w:cs="宋体"/>
          <w:color w:val="auto"/>
          <w:sz w:val="36"/>
          <w:szCs w:val="36"/>
          <w:highlight w:val="none"/>
          <w:u w:val="single"/>
        </w:rPr>
        <w:sectPr>
          <w:headerReference r:id="rId17" w:type="default"/>
          <w:footerReference r:id="rId18" w:type="default"/>
          <w:pgSz w:w="11906" w:h="16838"/>
          <w:pgMar w:top="1440" w:right="1803" w:bottom="1440" w:left="1803" w:header="851" w:footer="992" w:gutter="0"/>
          <w:pgNumType w:fmt="decimal"/>
          <w:cols w:space="720" w:num="1"/>
          <w:formProt w:val="0"/>
          <w:docGrid w:type="lines" w:linePitch="319" w:charSpace="0"/>
        </w:sectPr>
      </w:pPr>
    </w:p>
    <w:p w14:paraId="6AB10CEE">
      <w:pPr>
        <w:pStyle w:val="3"/>
        <w:spacing w:beforeLines="132" w:afterLines="199" w:line="500" w:lineRule="exact"/>
        <w:rPr>
          <w:rFonts w:ascii="宋体" w:hAnsi="宋体" w:cs="宋体"/>
          <w:color w:val="auto"/>
          <w:sz w:val="36"/>
          <w:szCs w:val="36"/>
          <w:highlight w:val="none"/>
        </w:rPr>
      </w:pPr>
      <w:bookmarkStart w:id="48" w:name="_Toc23296"/>
      <w:bookmarkStart w:id="49" w:name="_Toc7867"/>
      <w:bookmarkStart w:id="50" w:name="_Toc21722"/>
      <w:r>
        <w:rPr>
          <w:rFonts w:ascii="宋体" w:hAnsi="宋体" w:cs="宋体"/>
          <w:color w:val="auto"/>
          <w:sz w:val="36"/>
          <w:szCs w:val="36"/>
          <w:highlight w:val="none"/>
        </w:rPr>
        <w:t>第二部分  响应一览表</w:t>
      </w:r>
      <w:bookmarkEnd w:id="48"/>
      <w:bookmarkEnd w:id="49"/>
      <w:bookmarkEnd w:id="50"/>
    </w:p>
    <w:p w14:paraId="4CB8794F">
      <w:pPr>
        <w:widowControl/>
        <w:spacing w:line="360" w:lineRule="auto"/>
        <w:jc w:val="left"/>
        <w:rPr>
          <w:rFonts w:hint="eastAsia" w:ascii="宋体" w:hAnsi="宋体" w:eastAsia="宋体" w:cs="宋体"/>
          <w:color w:val="auto"/>
          <w:kern w:val="0"/>
          <w:sz w:val="24"/>
          <w:szCs w:val="24"/>
          <w:highlight w:val="none"/>
          <w:u w:val="single"/>
          <w:lang w:eastAsia="zh-CN"/>
        </w:rPr>
      </w:pPr>
      <w:r>
        <w:rPr>
          <w:rFonts w:ascii="宋体" w:hAnsi="宋体" w:cs="宋体"/>
          <w:color w:val="auto"/>
          <w:sz w:val="24"/>
          <w:highlight w:val="none"/>
        </w:rPr>
        <w:t>项目名称：</w:t>
      </w:r>
      <w:r>
        <w:rPr>
          <w:rFonts w:hint="eastAsia" w:ascii="宋体" w:hAnsi="宋体" w:cs="宋体"/>
          <w:color w:val="auto"/>
          <w:sz w:val="24"/>
          <w:highlight w:val="none"/>
        </w:rPr>
        <w:t>安康市人民医院</w:t>
      </w:r>
      <w:r>
        <w:rPr>
          <w:rFonts w:hint="eastAsia" w:ascii="宋体" w:hAnsi="宋体" w:cs="宋体"/>
          <w:color w:val="auto"/>
          <w:sz w:val="24"/>
          <w:highlight w:val="none"/>
          <w:lang w:eastAsia="zh-CN"/>
        </w:rPr>
        <w:t>病房改造提升项目实施阶段全过程造价跟踪审核审计服务（二次）</w:t>
      </w:r>
    </w:p>
    <w:p w14:paraId="0644C95C">
      <w:pPr>
        <w:kinsoku w:val="0"/>
        <w:spacing w:line="360" w:lineRule="auto"/>
        <w:jc w:val="left"/>
        <w:rPr>
          <w:rFonts w:cs="宋体"/>
          <w:color w:val="auto"/>
          <w:highlight w:val="none"/>
        </w:rPr>
      </w:pPr>
      <w:r>
        <w:rPr>
          <w:rFonts w:ascii="宋体" w:hAnsi="宋体" w:cs="宋体"/>
          <w:color w:val="auto"/>
          <w:sz w:val="24"/>
          <w:highlight w:val="none"/>
        </w:rPr>
        <w:t>单位：</w:t>
      </w:r>
      <w:r>
        <w:rPr>
          <w:rFonts w:hint="eastAsia" w:ascii="宋体" w:hAnsi="宋体" w:cs="宋体"/>
          <w:b/>
          <w:bCs/>
          <w:color w:val="auto"/>
          <w:sz w:val="24"/>
          <w:szCs w:val="24"/>
          <w:highlight w:val="none"/>
        </w:rPr>
        <w:t>‰</w:t>
      </w:r>
      <w:r>
        <w:rPr>
          <w:rFonts w:ascii="宋体" w:hAnsi="宋体" w:cs="宋体"/>
          <w:color w:val="auto"/>
          <w:sz w:val="24"/>
          <w:szCs w:val="24"/>
          <w:highlight w:val="none"/>
        </w:rPr>
        <w:t xml:space="preserve">                                       </w:t>
      </w:r>
    </w:p>
    <w:tbl>
      <w:tblPr>
        <w:tblStyle w:val="20"/>
        <w:tblW w:w="8058" w:type="dxa"/>
        <w:jc w:val="center"/>
        <w:tblLayout w:type="fixed"/>
        <w:tblCellMar>
          <w:top w:w="0" w:type="dxa"/>
          <w:left w:w="108" w:type="dxa"/>
          <w:bottom w:w="0" w:type="dxa"/>
          <w:right w:w="108" w:type="dxa"/>
        </w:tblCellMar>
      </w:tblPr>
      <w:tblGrid>
        <w:gridCol w:w="2288"/>
        <w:gridCol w:w="5770"/>
      </w:tblGrid>
      <w:tr w14:paraId="11AE3341">
        <w:tblPrEx>
          <w:tblCellMar>
            <w:top w:w="0" w:type="dxa"/>
            <w:left w:w="108" w:type="dxa"/>
            <w:bottom w:w="0" w:type="dxa"/>
            <w:right w:w="108" w:type="dxa"/>
          </w:tblCellMar>
        </w:tblPrEx>
        <w:trPr>
          <w:trHeight w:val="1030" w:hRule="atLeast"/>
          <w:jc w:val="center"/>
        </w:trPr>
        <w:tc>
          <w:tcPr>
            <w:tcW w:w="2288" w:type="dxa"/>
            <w:tcBorders>
              <w:top w:val="single" w:color="000000" w:sz="4" w:space="0"/>
              <w:left w:val="single" w:color="000000" w:sz="4" w:space="0"/>
              <w:bottom w:val="single" w:color="000000" w:sz="4" w:space="0"/>
              <w:right w:val="single" w:color="000000" w:sz="4" w:space="0"/>
            </w:tcBorders>
            <w:vAlign w:val="center"/>
          </w:tcPr>
          <w:p w14:paraId="58A28BD0">
            <w:pPr>
              <w:pStyle w:val="7"/>
              <w:jc w:val="center"/>
              <w:rPr>
                <w:rFonts w:ascii="宋体" w:hAnsi="宋体" w:cs="宋体"/>
                <w:color w:val="auto"/>
                <w:highlight w:val="none"/>
              </w:rPr>
            </w:pPr>
            <w:r>
              <w:rPr>
                <w:rFonts w:ascii="宋体" w:hAnsi="宋体" w:cs="宋体"/>
                <w:color w:val="auto"/>
                <w:kern w:val="2"/>
                <w:sz w:val="24"/>
                <w:szCs w:val="22"/>
                <w:highlight w:val="none"/>
              </w:rPr>
              <w:t>项目名称</w:t>
            </w:r>
          </w:p>
        </w:tc>
        <w:tc>
          <w:tcPr>
            <w:tcW w:w="5770" w:type="dxa"/>
            <w:tcBorders>
              <w:top w:val="single" w:color="000000" w:sz="4" w:space="0"/>
              <w:left w:val="single" w:color="000000" w:sz="4" w:space="0"/>
              <w:bottom w:val="single" w:color="000000" w:sz="4" w:space="0"/>
              <w:right w:val="single" w:color="000000" w:sz="4" w:space="0"/>
            </w:tcBorders>
            <w:vAlign w:val="center"/>
          </w:tcPr>
          <w:p w14:paraId="3809E2B4">
            <w:pPr>
              <w:kinsoku w:val="0"/>
              <w:jc w:val="center"/>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固定基本费率</w:t>
            </w:r>
          </w:p>
        </w:tc>
      </w:tr>
      <w:tr w14:paraId="7BE54874">
        <w:tblPrEx>
          <w:tblCellMar>
            <w:top w:w="0" w:type="dxa"/>
            <w:left w:w="108" w:type="dxa"/>
            <w:bottom w:w="0" w:type="dxa"/>
            <w:right w:w="108" w:type="dxa"/>
          </w:tblCellMar>
        </w:tblPrEx>
        <w:trPr>
          <w:trHeight w:val="1194" w:hRule="atLeast"/>
          <w:jc w:val="center"/>
        </w:trPr>
        <w:tc>
          <w:tcPr>
            <w:tcW w:w="2288" w:type="dxa"/>
            <w:tcBorders>
              <w:top w:val="single" w:color="000000" w:sz="4" w:space="0"/>
              <w:left w:val="single" w:color="000000" w:sz="4" w:space="0"/>
              <w:bottom w:val="single" w:color="000000" w:sz="4" w:space="0"/>
              <w:right w:val="single" w:color="000000" w:sz="4" w:space="0"/>
            </w:tcBorders>
            <w:vAlign w:val="center"/>
          </w:tcPr>
          <w:p w14:paraId="4136CB7B">
            <w:pPr>
              <w:kinsoku w:val="0"/>
              <w:ind w:right="59" w:rightChars="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安康市人民医院</w:t>
            </w:r>
            <w:r>
              <w:rPr>
                <w:rFonts w:hint="eastAsia" w:ascii="宋体" w:hAnsi="宋体" w:cs="宋体"/>
                <w:color w:val="auto"/>
                <w:sz w:val="24"/>
                <w:highlight w:val="none"/>
                <w:lang w:eastAsia="zh-CN"/>
              </w:rPr>
              <w:t>病房改造提升项目实施阶段全过程造价跟踪审核审计服务（二次）</w:t>
            </w:r>
          </w:p>
        </w:tc>
        <w:tc>
          <w:tcPr>
            <w:tcW w:w="5770" w:type="dxa"/>
            <w:tcBorders>
              <w:top w:val="single" w:color="000000" w:sz="4" w:space="0"/>
              <w:left w:val="single" w:color="000000" w:sz="4" w:space="0"/>
              <w:bottom w:val="single" w:color="000000" w:sz="4" w:space="0"/>
              <w:right w:val="single" w:color="000000" w:sz="4" w:space="0"/>
            </w:tcBorders>
            <w:vAlign w:val="center"/>
          </w:tcPr>
          <w:p w14:paraId="76C8689F">
            <w:pPr>
              <w:kinsoku w:val="0"/>
              <w:snapToGrid w:val="0"/>
              <w:spacing w:line="480" w:lineRule="auto"/>
              <w:ind w:left="10" w:right="-199" w:rightChars="-95"/>
              <w:jc w:val="center"/>
              <w:rPr>
                <w:rFonts w:ascii="宋体" w:hAnsi="宋体" w:cs="宋体"/>
                <w:color w:val="auto"/>
                <w:sz w:val="24"/>
                <w:highlight w:val="none"/>
              </w:rPr>
            </w:pPr>
          </w:p>
        </w:tc>
      </w:tr>
      <w:tr w14:paraId="7BADB6CC">
        <w:tblPrEx>
          <w:tblCellMar>
            <w:top w:w="0" w:type="dxa"/>
            <w:left w:w="108" w:type="dxa"/>
            <w:bottom w:w="0" w:type="dxa"/>
            <w:right w:w="108" w:type="dxa"/>
          </w:tblCellMar>
        </w:tblPrEx>
        <w:trPr>
          <w:trHeight w:val="1140" w:hRule="atLeast"/>
          <w:jc w:val="center"/>
        </w:trPr>
        <w:tc>
          <w:tcPr>
            <w:tcW w:w="8058" w:type="dxa"/>
            <w:gridSpan w:val="2"/>
            <w:tcBorders>
              <w:top w:val="single" w:color="000000" w:sz="4" w:space="0"/>
              <w:left w:val="single" w:color="000000" w:sz="4" w:space="0"/>
              <w:bottom w:val="single" w:color="000000" w:sz="4" w:space="0"/>
              <w:right w:val="single" w:color="000000" w:sz="4" w:space="0"/>
            </w:tcBorders>
            <w:vAlign w:val="center"/>
          </w:tcPr>
          <w:p w14:paraId="2ED52EE4">
            <w:pPr>
              <w:kinsoku w:val="0"/>
              <w:ind w:right="-199" w:rightChars="-95"/>
              <w:rPr>
                <w:rFonts w:ascii="宋体" w:hAnsi="宋体" w:cs="宋体"/>
                <w:b/>
                <w:bCs/>
                <w:color w:val="auto"/>
                <w:sz w:val="24"/>
                <w:szCs w:val="24"/>
                <w:highlight w:val="none"/>
              </w:rPr>
            </w:pPr>
            <w:r>
              <w:rPr>
                <w:rFonts w:hint="eastAsia" w:ascii="宋体" w:hAnsi="宋体" w:cs="宋体"/>
                <w:b/>
                <w:bCs/>
                <w:color w:val="auto"/>
                <w:sz w:val="24"/>
                <w:szCs w:val="24"/>
                <w:highlight w:val="none"/>
              </w:rPr>
              <w:t>1.全过程造价跟踪审核最高限价为60万元，按</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‰固定基本费限价 (以实际发生的工程造价计算)+</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%效益费限价(以核减额计算))</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报</w:t>
            </w:r>
            <w:r>
              <w:rPr>
                <w:rFonts w:hint="eastAsia" w:ascii="宋体" w:hAnsi="宋体" w:cs="宋体"/>
                <w:b/>
                <w:bCs/>
                <w:color w:val="auto"/>
                <w:sz w:val="24"/>
                <w:highlight w:val="none"/>
                <w:lang w:val="en-US" w:eastAsia="zh-CN"/>
              </w:rPr>
              <w:t>固定基本</w:t>
            </w:r>
            <w:r>
              <w:rPr>
                <w:rFonts w:hint="eastAsia" w:ascii="宋体" w:hAnsi="宋体" w:cs="宋体"/>
                <w:b/>
                <w:bCs/>
                <w:color w:val="auto"/>
                <w:sz w:val="24"/>
                <w:szCs w:val="24"/>
                <w:highlight w:val="none"/>
                <w:lang w:val="en-US" w:eastAsia="zh-CN"/>
              </w:rPr>
              <w:t>费率和效益费率</w:t>
            </w:r>
            <w:r>
              <w:rPr>
                <w:rFonts w:hint="eastAsia" w:ascii="宋体" w:hAnsi="宋体" w:cs="宋体"/>
                <w:b/>
                <w:bCs/>
                <w:color w:val="auto"/>
                <w:sz w:val="24"/>
                <w:szCs w:val="24"/>
                <w:highlight w:val="none"/>
              </w:rPr>
              <w:t>。</w:t>
            </w:r>
          </w:p>
          <w:p w14:paraId="2046FF1A">
            <w:pPr>
              <w:kinsoku w:val="0"/>
              <w:ind w:right="-199" w:rightChars="-95"/>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ascii="宋体" w:hAnsi="宋体" w:cs="宋体"/>
                <w:b/>
                <w:bCs/>
                <w:color w:val="auto"/>
                <w:sz w:val="24"/>
                <w:szCs w:val="24"/>
                <w:highlight w:val="none"/>
              </w:rPr>
              <w:t>报价金额以</w:t>
            </w:r>
            <w:r>
              <w:rPr>
                <w:rFonts w:hint="eastAsia" w:ascii="宋体" w:hAnsi="宋体" w:cs="宋体"/>
                <w:b/>
                <w:bCs/>
                <w:color w:val="auto"/>
                <w:sz w:val="24"/>
                <w:szCs w:val="24"/>
                <w:highlight w:val="none"/>
              </w:rPr>
              <w:t>‰</w:t>
            </w:r>
            <w:r>
              <w:rPr>
                <w:rFonts w:ascii="宋体" w:hAnsi="宋体" w:cs="宋体"/>
                <w:b/>
                <w:bCs/>
                <w:color w:val="auto"/>
                <w:sz w:val="24"/>
                <w:szCs w:val="24"/>
                <w:highlight w:val="none"/>
              </w:rPr>
              <w:t>为单位，精确到小数点后两位，不进行四舍五入。</w:t>
            </w:r>
          </w:p>
          <w:p w14:paraId="665CE278">
            <w:pPr>
              <w:kinsoku w:val="0"/>
              <w:ind w:right="-199" w:rightChars="-95"/>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highlight w:val="none"/>
                <w:lang w:val="en-US" w:eastAsia="zh-CN"/>
              </w:rPr>
              <w:t>固定基本费费率</w:t>
            </w:r>
            <w:r>
              <w:rPr>
                <w:rFonts w:hint="eastAsia" w:ascii="宋体" w:hAnsi="宋体" w:cs="宋体"/>
                <w:b/>
                <w:bCs/>
                <w:color w:val="auto"/>
                <w:sz w:val="24"/>
                <w:szCs w:val="24"/>
                <w:highlight w:val="none"/>
                <w:lang w:val="en-US" w:eastAsia="zh-CN"/>
              </w:rPr>
              <w:t>在磋商过程中需进行最终报价。</w:t>
            </w:r>
          </w:p>
        </w:tc>
      </w:tr>
    </w:tbl>
    <w:p w14:paraId="1FE9B924">
      <w:pPr>
        <w:widowControl/>
        <w:tabs>
          <w:tab w:val="left" w:pos="4000"/>
        </w:tabs>
        <w:snapToGrid w:val="0"/>
        <w:spacing w:line="300" w:lineRule="auto"/>
        <w:jc w:val="left"/>
        <w:rPr>
          <w:rFonts w:ascii="宋体" w:hAnsi="宋体" w:cs="宋体"/>
          <w:b/>
          <w:bCs/>
          <w:color w:val="auto"/>
          <w:spacing w:val="20"/>
          <w:kern w:val="0"/>
          <w:sz w:val="28"/>
          <w:szCs w:val="28"/>
          <w:highlight w:val="none"/>
        </w:rPr>
      </w:pPr>
    </w:p>
    <w:p w14:paraId="16E437D2">
      <w:pPr>
        <w:snapToGrid w:val="0"/>
        <w:spacing w:line="480" w:lineRule="auto"/>
        <w:rPr>
          <w:rFonts w:ascii="宋体" w:hAnsi="宋体" w:cs="宋体"/>
          <w:b/>
          <w:bCs/>
          <w:color w:val="auto"/>
          <w:spacing w:val="20"/>
          <w:kern w:val="0"/>
          <w:sz w:val="24"/>
          <w:szCs w:val="28"/>
          <w:highlight w:val="none"/>
        </w:rPr>
      </w:pPr>
    </w:p>
    <w:p w14:paraId="30976201">
      <w:pPr>
        <w:pStyle w:val="9"/>
        <w:ind w:left="1470" w:right="1470"/>
        <w:rPr>
          <w:color w:val="auto"/>
          <w:highlight w:val="none"/>
        </w:rPr>
      </w:pPr>
    </w:p>
    <w:p w14:paraId="17A0DDBE">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供应商（单位名称及公章）：___________________________</w:t>
      </w:r>
    </w:p>
    <w:p w14:paraId="3922C692">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法定代表人或被授权人（签字或盖章）：__________________</w:t>
      </w:r>
    </w:p>
    <w:p w14:paraId="09A963B1">
      <w:pPr>
        <w:snapToGrid w:val="0"/>
        <w:spacing w:line="480" w:lineRule="auto"/>
        <w:jc w:val="left"/>
        <w:rPr>
          <w:rFonts w:ascii="宋体" w:hAnsi="宋体" w:cs="宋体"/>
          <w:color w:val="auto"/>
          <w:sz w:val="24"/>
          <w:highlight w:val="none"/>
        </w:rPr>
        <w:sectPr>
          <w:headerReference r:id="rId19" w:type="default"/>
          <w:footerReference r:id="rId20"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highlight w:val="none"/>
        </w:rPr>
        <w:t>日期：_______年________月_______日</w:t>
      </w:r>
    </w:p>
    <w:p w14:paraId="7AE2288B">
      <w:pPr>
        <w:widowControl/>
        <w:spacing w:line="360" w:lineRule="auto"/>
        <w:jc w:val="left"/>
        <w:rPr>
          <w:rFonts w:hint="eastAsia" w:ascii="宋体" w:hAnsi="宋体" w:eastAsia="宋体" w:cs="宋体"/>
          <w:color w:val="auto"/>
          <w:kern w:val="0"/>
          <w:sz w:val="24"/>
          <w:szCs w:val="24"/>
          <w:highlight w:val="none"/>
          <w:u w:val="single"/>
          <w:lang w:eastAsia="zh-CN"/>
        </w:rPr>
      </w:pPr>
      <w:r>
        <w:rPr>
          <w:rFonts w:ascii="宋体" w:hAnsi="宋体" w:cs="宋体"/>
          <w:color w:val="auto"/>
          <w:sz w:val="24"/>
          <w:highlight w:val="none"/>
        </w:rPr>
        <w:t>项目名称：</w:t>
      </w:r>
      <w:r>
        <w:rPr>
          <w:rFonts w:hint="eastAsia" w:ascii="宋体" w:hAnsi="宋体" w:cs="宋体"/>
          <w:color w:val="auto"/>
          <w:sz w:val="24"/>
          <w:highlight w:val="none"/>
        </w:rPr>
        <w:t>安康市人民医院</w:t>
      </w:r>
      <w:r>
        <w:rPr>
          <w:rFonts w:hint="eastAsia" w:ascii="宋体" w:hAnsi="宋体" w:cs="宋体"/>
          <w:color w:val="auto"/>
          <w:sz w:val="24"/>
          <w:highlight w:val="none"/>
          <w:lang w:eastAsia="zh-CN"/>
        </w:rPr>
        <w:t>病房改造提升项目实施阶段全过程造价跟踪审核审计服务（二次）</w:t>
      </w:r>
    </w:p>
    <w:p w14:paraId="01425B36">
      <w:pPr>
        <w:kinsoku w:val="0"/>
        <w:spacing w:line="360" w:lineRule="auto"/>
        <w:jc w:val="left"/>
        <w:rPr>
          <w:rFonts w:cs="宋体"/>
          <w:color w:val="auto"/>
          <w:highlight w:val="none"/>
        </w:rPr>
      </w:pPr>
      <w:r>
        <w:rPr>
          <w:rFonts w:ascii="宋体" w:hAnsi="宋体" w:cs="宋体"/>
          <w:color w:val="auto"/>
          <w:sz w:val="24"/>
          <w:highlight w:val="none"/>
        </w:rPr>
        <w:t>单位：</w:t>
      </w:r>
      <w:r>
        <w:rPr>
          <w:rFonts w:hint="eastAsia" w:ascii="宋体" w:hAnsi="宋体" w:cs="宋体"/>
          <w:color w:val="auto"/>
          <w:sz w:val="24"/>
          <w:highlight w:val="none"/>
        </w:rPr>
        <w:t>%</w:t>
      </w:r>
      <w:r>
        <w:rPr>
          <w:rFonts w:ascii="宋体" w:hAnsi="宋体" w:cs="宋体"/>
          <w:color w:val="auto"/>
          <w:sz w:val="24"/>
          <w:szCs w:val="24"/>
          <w:highlight w:val="none"/>
        </w:rPr>
        <w:t xml:space="preserve">                                       </w:t>
      </w:r>
    </w:p>
    <w:tbl>
      <w:tblPr>
        <w:tblStyle w:val="20"/>
        <w:tblW w:w="8058" w:type="dxa"/>
        <w:jc w:val="center"/>
        <w:tblLayout w:type="fixed"/>
        <w:tblCellMar>
          <w:top w:w="0" w:type="dxa"/>
          <w:left w:w="108" w:type="dxa"/>
          <w:bottom w:w="0" w:type="dxa"/>
          <w:right w:w="108" w:type="dxa"/>
        </w:tblCellMar>
      </w:tblPr>
      <w:tblGrid>
        <w:gridCol w:w="2288"/>
        <w:gridCol w:w="5770"/>
      </w:tblGrid>
      <w:tr w14:paraId="51A415F3">
        <w:tblPrEx>
          <w:tblCellMar>
            <w:top w:w="0" w:type="dxa"/>
            <w:left w:w="108" w:type="dxa"/>
            <w:bottom w:w="0" w:type="dxa"/>
            <w:right w:w="108" w:type="dxa"/>
          </w:tblCellMar>
        </w:tblPrEx>
        <w:trPr>
          <w:trHeight w:val="1030" w:hRule="atLeast"/>
          <w:jc w:val="center"/>
        </w:trPr>
        <w:tc>
          <w:tcPr>
            <w:tcW w:w="2288" w:type="dxa"/>
            <w:tcBorders>
              <w:top w:val="single" w:color="000000" w:sz="4" w:space="0"/>
              <w:left w:val="single" w:color="000000" w:sz="4" w:space="0"/>
              <w:bottom w:val="single" w:color="000000" w:sz="4" w:space="0"/>
              <w:right w:val="single" w:color="000000" w:sz="4" w:space="0"/>
            </w:tcBorders>
            <w:vAlign w:val="center"/>
          </w:tcPr>
          <w:p w14:paraId="1785DE54">
            <w:pPr>
              <w:pStyle w:val="7"/>
              <w:jc w:val="center"/>
              <w:rPr>
                <w:rFonts w:ascii="宋体" w:hAnsi="宋体" w:cs="宋体"/>
                <w:color w:val="auto"/>
                <w:highlight w:val="none"/>
              </w:rPr>
            </w:pPr>
            <w:r>
              <w:rPr>
                <w:rFonts w:ascii="宋体" w:hAnsi="宋体" w:cs="宋体"/>
                <w:color w:val="auto"/>
                <w:kern w:val="2"/>
                <w:sz w:val="24"/>
                <w:szCs w:val="22"/>
                <w:highlight w:val="none"/>
              </w:rPr>
              <w:t>项目名称</w:t>
            </w:r>
          </w:p>
        </w:tc>
        <w:tc>
          <w:tcPr>
            <w:tcW w:w="5770" w:type="dxa"/>
            <w:tcBorders>
              <w:top w:val="single" w:color="000000" w:sz="4" w:space="0"/>
              <w:left w:val="single" w:color="000000" w:sz="4" w:space="0"/>
              <w:bottom w:val="single" w:color="000000" w:sz="4" w:space="0"/>
              <w:right w:val="single" w:color="000000" w:sz="4" w:space="0"/>
            </w:tcBorders>
            <w:vAlign w:val="center"/>
          </w:tcPr>
          <w:p w14:paraId="08899B0A">
            <w:pPr>
              <w:kinsoku w:val="0"/>
              <w:jc w:val="center"/>
              <w:rPr>
                <w:rFonts w:hint="eastAsia" w:ascii="宋体" w:hAnsi="宋体" w:cs="宋体"/>
                <w:color w:val="auto"/>
                <w:sz w:val="24"/>
                <w:highlight w:val="none"/>
                <w:lang w:val="en-US" w:eastAsia="zh-CN"/>
              </w:rPr>
            </w:pPr>
            <w:r>
              <w:rPr>
                <w:rFonts w:hint="eastAsia" w:ascii="宋体" w:hAnsi="宋体" w:cs="宋体"/>
                <w:b/>
                <w:bCs/>
                <w:color w:val="auto"/>
                <w:sz w:val="24"/>
                <w:szCs w:val="24"/>
                <w:highlight w:val="none"/>
              </w:rPr>
              <w:t>效益费</w:t>
            </w:r>
            <w:r>
              <w:rPr>
                <w:rFonts w:hint="eastAsia" w:ascii="宋体" w:hAnsi="宋体" w:cs="宋体"/>
                <w:b/>
                <w:bCs/>
                <w:color w:val="auto"/>
                <w:sz w:val="24"/>
                <w:highlight w:val="none"/>
                <w:lang w:val="en-US" w:eastAsia="zh-CN"/>
              </w:rPr>
              <w:t>率</w:t>
            </w:r>
          </w:p>
        </w:tc>
      </w:tr>
      <w:tr w14:paraId="2FBA1F93">
        <w:tblPrEx>
          <w:tblCellMar>
            <w:top w:w="0" w:type="dxa"/>
            <w:left w:w="108" w:type="dxa"/>
            <w:bottom w:w="0" w:type="dxa"/>
            <w:right w:w="108" w:type="dxa"/>
          </w:tblCellMar>
        </w:tblPrEx>
        <w:trPr>
          <w:trHeight w:val="1194" w:hRule="atLeast"/>
          <w:jc w:val="center"/>
        </w:trPr>
        <w:tc>
          <w:tcPr>
            <w:tcW w:w="2288" w:type="dxa"/>
            <w:tcBorders>
              <w:top w:val="single" w:color="000000" w:sz="4" w:space="0"/>
              <w:left w:val="single" w:color="000000" w:sz="4" w:space="0"/>
              <w:bottom w:val="single" w:color="000000" w:sz="4" w:space="0"/>
              <w:right w:val="single" w:color="000000" w:sz="4" w:space="0"/>
            </w:tcBorders>
            <w:vAlign w:val="center"/>
          </w:tcPr>
          <w:p w14:paraId="452E70BA">
            <w:pPr>
              <w:kinsoku w:val="0"/>
              <w:ind w:right="59" w:rightChars="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安康市人民医院</w:t>
            </w:r>
            <w:r>
              <w:rPr>
                <w:rFonts w:hint="eastAsia" w:ascii="宋体" w:hAnsi="宋体" w:cs="宋体"/>
                <w:color w:val="auto"/>
                <w:sz w:val="24"/>
                <w:highlight w:val="none"/>
                <w:lang w:eastAsia="zh-CN"/>
              </w:rPr>
              <w:t>病房改造提升项目实施阶段全过程造价跟踪审核审计服务（二次）</w:t>
            </w:r>
          </w:p>
        </w:tc>
        <w:tc>
          <w:tcPr>
            <w:tcW w:w="5770" w:type="dxa"/>
            <w:tcBorders>
              <w:top w:val="single" w:color="000000" w:sz="4" w:space="0"/>
              <w:left w:val="single" w:color="000000" w:sz="4" w:space="0"/>
              <w:bottom w:val="single" w:color="000000" w:sz="4" w:space="0"/>
              <w:right w:val="single" w:color="000000" w:sz="4" w:space="0"/>
            </w:tcBorders>
            <w:vAlign w:val="center"/>
          </w:tcPr>
          <w:p w14:paraId="2C3C1692">
            <w:pPr>
              <w:kinsoku w:val="0"/>
              <w:snapToGrid w:val="0"/>
              <w:spacing w:line="480" w:lineRule="auto"/>
              <w:ind w:left="10" w:right="-199" w:rightChars="-95"/>
              <w:jc w:val="center"/>
              <w:rPr>
                <w:rFonts w:ascii="宋体" w:hAnsi="宋体" w:cs="宋体"/>
                <w:color w:val="auto"/>
                <w:sz w:val="24"/>
                <w:highlight w:val="none"/>
              </w:rPr>
            </w:pPr>
          </w:p>
        </w:tc>
      </w:tr>
      <w:tr w14:paraId="21069D51">
        <w:tblPrEx>
          <w:tblCellMar>
            <w:top w:w="0" w:type="dxa"/>
            <w:left w:w="108" w:type="dxa"/>
            <w:bottom w:w="0" w:type="dxa"/>
            <w:right w:w="108" w:type="dxa"/>
          </w:tblCellMar>
        </w:tblPrEx>
        <w:trPr>
          <w:trHeight w:val="1140" w:hRule="atLeast"/>
          <w:jc w:val="center"/>
        </w:trPr>
        <w:tc>
          <w:tcPr>
            <w:tcW w:w="8058" w:type="dxa"/>
            <w:gridSpan w:val="2"/>
            <w:tcBorders>
              <w:top w:val="single" w:color="000000" w:sz="4" w:space="0"/>
              <w:left w:val="single" w:color="000000" w:sz="4" w:space="0"/>
              <w:bottom w:val="single" w:color="000000" w:sz="4" w:space="0"/>
              <w:right w:val="single" w:color="000000" w:sz="4" w:space="0"/>
            </w:tcBorders>
            <w:vAlign w:val="center"/>
          </w:tcPr>
          <w:p w14:paraId="57B0B47E">
            <w:pPr>
              <w:kinsoku w:val="0"/>
              <w:ind w:right="-199" w:rightChars="-95"/>
              <w:rPr>
                <w:rFonts w:ascii="宋体" w:hAnsi="宋体" w:cs="宋体"/>
                <w:b/>
                <w:bCs/>
                <w:color w:val="auto"/>
                <w:sz w:val="24"/>
                <w:szCs w:val="24"/>
                <w:highlight w:val="none"/>
              </w:rPr>
            </w:pPr>
            <w:r>
              <w:rPr>
                <w:rFonts w:hint="eastAsia" w:ascii="宋体" w:hAnsi="宋体" w:cs="宋体"/>
                <w:b/>
                <w:bCs/>
                <w:color w:val="auto"/>
                <w:sz w:val="24"/>
                <w:szCs w:val="24"/>
                <w:highlight w:val="none"/>
              </w:rPr>
              <w:t>1.全过程造价跟踪审核最高限价为60万元，按</w:t>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‰固定基本费限价 (以实际发生的工程造价计算)+</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%效益费限价(以核减额计算))</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报</w:t>
            </w:r>
            <w:r>
              <w:rPr>
                <w:rFonts w:hint="eastAsia" w:ascii="宋体" w:hAnsi="宋体" w:cs="宋体"/>
                <w:b/>
                <w:bCs/>
                <w:color w:val="auto"/>
                <w:sz w:val="24"/>
                <w:highlight w:val="none"/>
                <w:lang w:val="en-US" w:eastAsia="zh-CN"/>
              </w:rPr>
              <w:t>固定基本</w:t>
            </w:r>
            <w:r>
              <w:rPr>
                <w:rFonts w:hint="eastAsia" w:ascii="宋体" w:hAnsi="宋体" w:cs="宋体"/>
                <w:b/>
                <w:bCs/>
                <w:color w:val="auto"/>
                <w:sz w:val="24"/>
                <w:szCs w:val="24"/>
                <w:highlight w:val="none"/>
                <w:lang w:val="en-US" w:eastAsia="zh-CN"/>
              </w:rPr>
              <w:t>费率和效益费率</w:t>
            </w:r>
            <w:r>
              <w:rPr>
                <w:rFonts w:hint="eastAsia" w:ascii="宋体" w:hAnsi="宋体" w:cs="宋体"/>
                <w:b/>
                <w:bCs/>
                <w:color w:val="auto"/>
                <w:sz w:val="24"/>
                <w:szCs w:val="24"/>
                <w:highlight w:val="none"/>
              </w:rPr>
              <w:t>。</w:t>
            </w:r>
          </w:p>
          <w:p w14:paraId="51D85846">
            <w:pPr>
              <w:kinsoku w:val="0"/>
              <w:ind w:right="-199" w:rightChars="-95"/>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ascii="宋体" w:hAnsi="宋体" w:cs="宋体"/>
                <w:b/>
                <w:bCs/>
                <w:color w:val="auto"/>
                <w:sz w:val="24"/>
                <w:szCs w:val="24"/>
                <w:highlight w:val="none"/>
              </w:rPr>
              <w:t>报价金额以</w:t>
            </w:r>
            <w:r>
              <w:rPr>
                <w:rFonts w:hint="eastAsia" w:ascii="宋体" w:hAnsi="宋体" w:cs="宋体"/>
                <w:b/>
                <w:bCs/>
                <w:color w:val="auto"/>
                <w:sz w:val="24"/>
                <w:szCs w:val="24"/>
                <w:highlight w:val="none"/>
              </w:rPr>
              <w:t>%</w:t>
            </w:r>
            <w:r>
              <w:rPr>
                <w:rFonts w:ascii="宋体" w:hAnsi="宋体" w:cs="宋体"/>
                <w:b/>
                <w:bCs/>
                <w:color w:val="auto"/>
                <w:sz w:val="24"/>
                <w:szCs w:val="24"/>
                <w:highlight w:val="none"/>
              </w:rPr>
              <w:t>为单位，精确到小数点后两位，不进行四舍五入。</w:t>
            </w:r>
          </w:p>
          <w:p w14:paraId="1029CDF9">
            <w:pPr>
              <w:kinsoku w:val="0"/>
              <w:ind w:right="-199" w:rightChars="-95"/>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效益费</w:t>
            </w:r>
            <w:r>
              <w:rPr>
                <w:rFonts w:hint="eastAsia" w:ascii="宋体" w:hAnsi="宋体" w:cs="宋体"/>
                <w:b/>
                <w:bCs/>
                <w:color w:val="auto"/>
                <w:sz w:val="24"/>
                <w:highlight w:val="none"/>
                <w:lang w:val="en-US" w:eastAsia="zh-CN"/>
              </w:rPr>
              <w:t>费率以响应文件中报价为准，磋商后不另进行报价。</w:t>
            </w:r>
          </w:p>
        </w:tc>
      </w:tr>
    </w:tbl>
    <w:p w14:paraId="01291922">
      <w:pPr>
        <w:widowControl/>
        <w:tabs>
          <w:tab w:val="left" w:pos="4000"/>
        </w:tabs>
        <w:snapToGrid w:val="0"/>
        <w:spacing w:line="300" w:lineRule="auto"/>
        <w:jc w:val="left"/>
        <w:rPr>
          <w:rFonts w:ascii="宋体" w:hAnsi="宋体" w:cs="宋体"/>
          <w:b/>
          <w:bCs/>
          <w:color w:val="auto"/>
          <w:spacing w:val="20"/>
          <w:kern w:val="0"/>
          <w:sz w:val="28"/>
          <w:szCs w:val="28"/>
          <w:highlight w:val="none"/>
        </w:rPr>
      </w:pPr>
    </w:p>
    <w:p w14:paraId="1405ED06">
      <w:pPr>
        <w:snapToGrid w:val="0"/>
        <w:spacing w:line="480" w:lineRule="auto"/>
        <w:rPr>
          <w:rFonts w:ascii="宋体" w:hAnsi="宋体" w:cs="宋体"/>
          <w:b/>
          <w:bCs/>
          <w:color w:val="auto"/>
          <w:spacing w:val="20"/>
          <w:kern w:val="0"/>
          <w:sz w:val="24"/>
          <w:szCs w:val="28"/>
          <w:highlight w:val="none"/>
        </w:rPr>
      </w:pPr>
    </w:p>
    <w:p w14:paraId="057DF743">
      <w:pPr>
        <w:pStyle w:val="9"/>
        <w:ind w:left="1470" w:right="1470"/>
        <w:rPr>
          <w:color w:val="auto"/>
          <w:highlight w:val="none"/>
        </w:rPr>
      </w:pPr>
    </w:p>
    <w:p w14:paraId="49A939B8">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供应商（单位名称及公章）：___________________________</w:t>
      </w:r>
    </w:p>
    <w:p w14:paraId="6A83C16C">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法定代表人或被授权人（签字或盖章）：__________________</w:t>
      </w:r>
    </w:p>
    <w:p w14:paraId="4221122D">
      <w:pPr>
        <w:snapToGrid w:val="0"/>
        <w:spacing w:line="480" w:lineRule="auto"/>
        <w:jc w:val="left"/>
        <w:rPr>
          <w:rFonts w:ascii="宋体" w:hAnsi="宋体" w:cs="宋体"/>
          <w:color w:val="auto"/>
          <w:sz w:val="24"/>
          <w:highlight w:val="none"/>
        </w:rPr>
        <w:sectPr>
          <w:headerReference r:id="rId21" w:type="default"/>
          <w:footerReference r:id="rId22"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highlight w:val="none"/>
        </w:rPr>
        <w:t>日期：_______年________月_______日</w:t>
      </w:r>
    </w:p>
    <w:p w14:paraId="7A2FFC3B">
      <w:pPr>
        <w:pStyle w:val="3"/>
        <w:rPr>
          <w:rFonts w:ascii="宋体" w:hAnsi="宋体" w:cs="宋体"/>
          <w:color w:val="auto"/>
          <w:sz w:val="36"/>
          <w:szCs w:val="36"/>
          <w:highlight w:val="none"/>
        </w:rPr>
      </w:pPr>
      <w:bookmarkStart w:id="51" w:name="_Toc10299"/>
      <w:bookmarkStart w:id="52" w:name="_Toc13948"/>
      <w:bookmarkStart w:id="53" w:name="_Toc4547"/>
      <w:r>
        <w:rPr>
          <w:rFonts w:ascii="宋体" w:hAnsi="宋体" w:cs="宋体"/>
          <w:color w:val="auto"/>
          <w:sz w:val="36"/>
          <w:szCs w:val="36"/>
          <w:highlight w:val="none"/>
        </w:rPr>
        <w:t>第三部分  商务及技术响应说明</w:t>
      </w:r>
      <w:bookmarkEnd w:id="51"/>
      <w:bookmarkEnd w:id="52"/>
      <w:bookmarkEnd w:id="53"/>
    </w:p>
    <w:p w14:paraId="50D6D3A4">
      <w:pPr>
        <w:jc w:val="center"/>
        <w:rPr>
          <w:rFonts w:cs="宋体"/>
          <w:color w:val="auto"/>
          <w:highlight w:val="none"/>
        </w:rPr>
      </w:pPr>
      <w:r>
        <w:rPr>
          <w:rFonts w:ascii="宋体" w:hAnsi="宋体" w:cs="宋体"/>
          <w:b/>
          <w:bCs/>
          <w:color w:val="auto"/>
          <w:sz w:val="28"/>
          <w:szCs w:val="32"/>
          <w:highlight w:val="none"/>
        </w:rPr>
        <w:t>商务偏离表</w:t>
      </w:r>
    </w:p>
    <w:tbl>
      <w:tblPr>
        <w:tblStyle w:val="20"/>
        <w:tblW w:w="9025" w:type="dxa"/>
        <w:tblInd w:w="-261" w:type="dxa"/>
        <w:tblLayout w:type="fixed"/>
        <w:tblCellMar>
          <w:top w:w="0" w:type="dxa"/>
          <w:left w:w="108" w:type="dxa"/>
          <w:bottom w:w="0" w:type="dxa"/>
          <w:right w:w="108" w:type="dxa"/>
        </w:tblCellMar>
      </w:tblPr>
      <w:tblGrid>
        <w:gridCol w:w="840"/>
        <w:gridCol w:w="1425"/>
        <w:gridCol w:w="1710"/>
        <w:gridCol w:w="2670"/>
        <w:gridCol w:w="1365"/>
        <w:gridCol w:w="1015"/>
      </w:tblGrid>
      <w:tr w14:paraId="332A2482">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570FF31C">
            <w:pPr>
              <w:pStyle w:val="42"/>
              <w:spacing w:line="480" w:lineRule="auto"/>
              <w:jc w:val="center"/>
              <w:rPr>
                <w:rFonts w:cs="宋体"/>
                <w:color w:val="auto"/>
                <w:sz w:val="24"/>
                <w:szCs w:val="24"/>
                <w:highlight w:val="none"/>
              </w:rPr>
            </w:pPr>
            <w:r>
              <w:rPr>
                <w:rFonts w:cs="宋体"/>
                <w:color w:val="auto"/>
                <w:sz w:val="24"/>
                <w:szCs w:val="24"/>
                <w:highlight w:val="none"/>
              </w:rPr>
              <w:t>序号</w:t>
            </w:r>
          </w:p>
        </w:tc>
        <w:tc>
          <w:tcPr>
            <w:tcW w:w="1425" w:type="dxa"/>
            <w:tcBorders>
              <w:top w:val="single" w:color="000000" w:sz="4" w:space="0"/>
              <w:left w:val="single" w:color="000000" w:sz="4" w:space="0"/>
              <w:bottom w:val="single" w:color="000000" w:sz="4" w:space="0"/>
              <w:right w:val="single" w:color="000000" w:sz="4" w:space="0"/>
            </w:tcBorders>
            <w:vAlign w:val="center"/>
          </w:tcPr>
          <w:p w14:paraId="003BEDBA">
            <w:pPr>
              <w:pStyle w:val="42"/>
              <w:spacing w:line="480" w:lineRule="auto"/>
              <w:jc w:val="left"/>
              <w:rPr>
                <w:rFonts w:cs="宋体"/>
                <w:color w:val="auto"/>
                <w:sz w:val="24"/>
                <w:szCs w:val="24"/>
                <w:highlight w:val="none"/>
              </w:rPr>
            </w:pPr>
            <w:r>
              <w:rPr>
                <w:rFonts w:cs="宋体"/>
                <w:color w:val="auto"/>
                <w:sz w:val="24"/>
                <w:szCs w:val="24"/>
                <w:highlight w:val="none"/>
              </w:rPr>
              <w:t xml:space="preserve"> 商务条款</w:t>
            </w:r>
          </w:p>
        </w:tc>
        <w:tc>
          <w:tcPr>
            <w:tcW w:w="1710" w:type="dxa"/>
            <w:tcBorders>
              <w:top w:val="single" w:color="000000" w:sz="4" w:space="0"/>
              <w:left w:val="single" w:color="000000" w:sz="4" w:space="0"/>
              <w:bottom w:val="single" w:color="000000" w:sz="4" w:space="0"/>
              <w:right w:val="single" w:color="000000" w:sz="4" w:space="0"/>
            </w:tcBorders>
            <w:vAlign w:val="center"/>
          </w:tcPr>
          <w:p w14:paraId="30F3EF74">
            <w:pPr>
              <w:pStyle w:val="42"/>
              <w:spacing w:line="480" w:lineRule="auto"/>
              <w:jc w:val="left"/>
              <w:rPr>
                <w:rFonts w:cs="宋体"/>
                <w:color w:val="auto"/>
                <w:sz w:val="24"/>
                <w:szCs w:val="24"/>
                <w:highlight w:val="none"/>
              </w:rPr>
            </w:pPr>
            <w:r>
              <w:rPr>
                <w:rFonts w:cs="宋体"/>
                <w:color w:val="auto"/>
                <w:sz w:val="24"/>
                <w:szCs w:val="24"/>
                <w:highlight w:val="none"/>
              </w:rPr>
              <w:t>商务要求内容</w:t>
            </w:r>
          </w:p>
        </w:tc>
        <w:tc>
          <w:tcPr>
            <w:tcW w:w="2670" w:type="dxa"/>
            <w:tcBorders>
              <w:top w:val="single" w:color="000000" w:sz="4" w:space="0"/>
              <w:left w:val="single" w:color="000000" w:sz="4" w:space="0"/>
              <w:bottom w:val="single" w:color="000000" w:sz="4" w:space="0"/>
              <w:right w:val="single" w:color="000000" w:sz="4" w:space="0"/>
            </w:tcBorders>
            <w:vAlign w:val="center"/>
          </w:tcPr>
          <w:p w14:paraId="2A08DFB9">
            <w:pPr>
              <w:pStyle w:val="42"/>
              <w:spacing w:line="480" w:lineRule="auto"/>
              <w:rPr>
                <w:rFonts w:cs="宋体"/>
                <w:color w:val="auto"/>
                <w:sz w:val="24"/>
                <w:szCs w:val="24"/>
                <w:highlight w:val="none"/>
              </w:rPr>
            </w:pPr>
            <w:r>
              <w:rPr>
                <w:rFonts w:cs="宋体"/>
                <w:color w:val="auto"/>
                <w:sz w:val="24"/>
                <w:szCs w:val="24"/>
                <w:highlight w:val="none"/>
              </w:rPr>
              <w:t>响应文件响应商务内容</w:t>
            </w:r>
          </w:p>
        </w:tc>
        <w:tc>
          <w:tcPr>
            <w:tcW w:w="1365" w:type="dxa"/>
            <w:tcBorders>
              <w:top w:val="single" w:color="000000" w:sz="4" w:space="0"/>
              <w:left w:val="single" w:color="000000" w:sz="4" w:space="0"/>
              <w:bottom w:val="single" w:color="000000" w:sz="4" w:space="0"/>
              <w:right w:val="single" w:color="000000" w:sz="4" w:space="0"/>
            </w:tcBorders>
            <w:vAlign w:val="center"/>
          </w:tcPr>
          <w:p w14:paraId="0E9BA762">
            <w:pPr>
              <w:pStyle w:val="42"/>
              <w:spacing w:line="480" w:lineRule="auto"/>
              <w:jc w:val="center"/>
              <w:rPr>
                <w:rFonts w:cs="宋体"/>
                <w:color w:val="auto"/>
                <w:sz w:val="24"/>
                <w:szCs w:val="24"/>
                <w:highlight w:val="none"/>
              </w:rPr>
            </w:pPr>
            <w:r>
              <w:rPr>
                <w:rFonts w:cs="宋体"/>
                <w:color w:val="auto"/>
                <w:sz w:val="24"/>
                <w:szCs w:val="24"/>
                <w:highlight w:val="none"/>
              </w:rPr>
              <w:t>偏离情况</w:t>
            </w:r>
          </w:p>
        </w:tc>
        <w:tc>
          <w:tcPr>
            <w:tcW w:w="1015" w:type="dxa"/>
            <w:tcBorders>
              <w:top w:val="single" w:color="000000" w:sz="4" w:space="0"/>
              <w:left w:val="single" w:color="000000" w:sz="4" w:space="0"/>
              <w:bottom w:val="single" w:color="000000" w:sz="4" w:space="0"/>
              <w:right w:val="single" w:color="000000" w:sz="4" w:space="0"/>
            </w:tcBorders>
            <w:vAlign w:val="center"/>
          </w:tcPr>
          <w:p w14:paraId="23A4EFF2">
            <w:pPr>
              <w:pStyle w:val="42"/>
              <w:spacing w:line="480" w:lineRule="auto"/>
              <w:jc w:val="center"/>
              <w:rPr>
                <w:rFonts w:cs="宋体"/>
                <w:color w:val="auto"/>
                <w:sz w:val="24"/>
                <w:szCs w:val="24"/>
                <w:highlight w:val="none"/>
              </w:rPr>
            </w:pPr>
            <w:r>
              <w:rPr>
                <w:rFonts w:cs="宋体"/>
                <w:color w:val="auto"/>
                <w:sz w:val="24"/>
                <w:szCs w:val="24"/>
                <w:highlight w:val="none"/>
              </w:rPr>
              <w:t>说明</w:t>
            </w:r>
          </w:p>
        </w:tc>
      </w:tr>
      <w:tr w14:paraId="733F87E4">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65EF3422">
            <w:pPr>
              <w:pStyle w:val="42"/>
              <w:spacing w:line="480" w:lineRule="auto"/>
              <w:jc w:val="center"/>
              <w:rPr>
                <w:rFonts w:cs="宋体"/>
                <w:color w:val="auto"/>
                <w:sz w:val="24"/>
                <w:szCs w:val="24"/>
                <w:highlight w:val="none"/>
              </w:rPr>
            </w:pPr>
            <w:r>
              <w:rPr>
                <w:rFonts w:cs="宋体"/>
                <w:color w:val="auto"/>
                <w:sz w:val="24"/>
                <w:szCs w:val="24"/>
                <w:highlight w:val="none"/>
              </w:rPr>
              <w:t>1</w:t>
            </w:r>
          </w:p>
        </w:tc>
        <w:tc>
          <w:tcPr>
            <w:tcW w:w="1425" w:type="dxa"/>
            <w:tcBorders>
              <w:top w:val="single" w:color="000000" w:sz="4" w:space="0"/>
              <w:left w:val="single" w:color="000000" w:sz="4" w:space="0"/>
              <w:bottom w:val="single" w:color="000000" w:sz="4" w:space="0"/>
              <w:right w:val="single" w:color="000000" w:sz="4" w:space="0"/>
            </w:tcBorders>
          </w:tcPr>
          <w:p w14:paraId="1A5A1F36">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2C6D57FF">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vAlign w:val="center"/>
          </w:tcPr>
          <w:p w14:paraId="2B405752">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vAlign w:val="center"/>
          </w:tcPr>
          <w:p w14:paraId="64A41DF9">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vAlign w:val="center"/>
          </w:tcPr>
          <w:p w14:paraId="072CEE5F">
            <w:pPr>
              <w:pStyle w:val="42"/>
              <w:snapToGrid w:val="0"/>
              <w:spacing w:line="480" w:lineRule="auto"/>
              <w:jc w:val="left"/>
              <w:rPr>
                <w:rFonts w:cs="宋体"/>
                <w:color w:val="auto"/>
                <w:sz w:val="24"/>
                <w:szCs w:val="24"/>
                <w:highlight w:val="none"/>
              </w:rPr>
            </w:pPr>
          </w:p>
        </w:tc>
      </w:tr>
      <w:tr w14:paraId="7E64AF1F">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A356E88">
            <w:pPr>
              <w:pStyle w:val="42"/>
              <w:spacing w:line="480" w:lineRule="auto"/>
              <w:jc w:val="center"/>
              <w:rPr>
                <w:rFonts w:cs="宋体"/>
                <w:color w:val="auto"/>
                <w:sz w:val="24"/>
                <w:szCs w:val="24"/>
                <w:highlight w:val="none"/>
              </w:rPr>
            </w:pPr>
            <w:r>
              <w:rPr>
                <w:rFonts w:cs="宋体"/>
                <w:color w:val="auto"/>
                <w:sz w:val="24"/>
                <w:szCs w:val="24"/>
                <w:highlight w:val="none"/>
              </w:rPr>
              <w:t>2</w:t>
            </w:r>
          </w:p>
        </w:tc>
        <w:tc>
          <w:tcPr>
            <w:tcW w:w="1425" w:type="dxa"/>
            <w:tcBorders>
              <w:top w:val="single" w:color="000000" w:sz="4" w:space="0"/>
              <w:left w:val="single" w:color="000000" w:sz="4" w:space="0"/>
              <w:bottom w:val="single" w:color="000000" w:sz="4" w:space="0"/>
              <w:right w:val="single" w:color="000000" w:sz="4" w:space="0"/>
            </w:tcBorders>
          </w:tcPr>
          <w:p w14:paraId="37B0BE5D">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54177867">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015BC6FF">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61557635">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79B3A989">
            <w:pPr>
              <w:pStyle w:val="42"/>
              <w:snapToGrid w:val="0"/>
              <w:spacing w:line="480" w:lineRule="auto"/>
              <w:jc w:val="left"/>
              <w:rPr>
                <w:rFonts w:cs="宋体"/>
                <w:color w:val="auto"/>
                <w:sz w:val="24"/>
                <w:szCs w:val="24"/>
                <w:highlight w:val="none"/>
              </w:rPr>
            </w:pPr>
          </w:p>
        </w:tc>
      </w:tr>
      <w:tr w14:paraId="00F6D833">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183234E9">
            <w:pPr>
              <w:pStyle w:val="42"/>
              <w:spacing w:line="480" w:lineRule="auto"/>
              <w:jc w:val="center"/>
              <w:rPr>
                <w:rFonts w:cs="宋体"/>
                <w:color w:val="auto"/>
                <w:sz w:val="24"/>
                <w:szCs w:val="24"/>
                <w:highlight w:val="none"/>
              </w:rPr>
            </w:pPr>
            <w:r>
              <w:rPr>
                <w:rFonts w:cs="宋体"/>
                <w:color w:val="auto"/>
                <w:sz w:val="24"/>
                <w:szCs w:val="24"/>
                <w:highlight w:val="none"/>
              </w:rPr>
              <w:t>3</w:t>
            </w:r>
          </w:p>
        </w:tc>
        <w:tc>
          <w:tcPr>
            <w:tcW w:w="1425" w:type="dxa"/>
            <w:tcBorders>
              <w:top w:val="single" w:color="000000" w:sz="4" w:space="0"/>
              <w:left w:val="single" w:color="000000" w:sz="4" w:space="0"/>
              <w:bottom w:val="single" w:color="000000" w:sz="4" w:space="0"/>
              <w:right w:val="single" w:color="000000" w:sz="4" w:space="0"/>
            </w:tcBorders>
          </w:tcPr>
          <w:p w14:paraId="74C3E598">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FB8F1FA">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240210DF">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24A7151">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2185E6A0">
            <w:pPr>
              <w:pStyle w:val="42"/>
              <w:snapToGrid w:val="0"/>
              <w:spacing w:line="480" w:lineRule="auto"/>
              <w:jc w:val="left"/>
              <w:rPr>
                <w:rFonts w:cs="宋体"/>
                <w:color w:val="auto"/>
                <w:sz w:val="24"/>
                <w:szCs w:val="24"/>
                <w:highlight w:val="none"/>
              </w:rPr>
            </w:pPr>
          </w:p>
        </w:tc>
      </w:tr>
      <w:tr w14:paraId="3C6685C9">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3EE638C2">
            <w:pPr>
              <w:pStyle w:val="42"/>
              <w:spacing w:line="480" w:lineRule="auto"/>
              <w:jc w:val="center"/>
              <w:rPr>
                <w:rFonts w:cs="宋体"/>
                <w:color w:val="auto"/>
                <w:sz w:val="24"/>
                <w:szCs w:val="24"/>
                <w:highlight w:val="none"/>
              </w:rPr>
            </w:pPr>
            <w:r>
              <w:rPr>
                <w:rFonts w:cs="宋体"/>
                <w:color w:val="auto"/>
                <w:sz w:val="24"/>
                <w:szCs w:val="24"/>
                <w:highlight w:val="none"/>
              </w:rPr>
              <w:t>4</w:t>
            </w:r>
          </w:p>
        </w:tc>
        <w:tc>
          <w:tcPr>
            <w:tcW w:w="1425" w:type="dxa"/>
            <w:tcBorders>
              <w:top w:val="single" w:color="000000" w:sz="4" w:space="0"/>
              <w:left w:val="single" w:color="000000" w:sz="4" w:space="0"/>
              <w:bottom w:val="single" w:color="000000" w:sz="4" w:space="0"/>
              <w:right w:val="single" w:color="000000" w:sz="4" w:space="0"/>
            </w:tcBorders>
          </w:tcPr>
          <w:p w14:paraId="2DE27052">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6D86A638">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ED48829">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B9A8CB0">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13567AD">
            <w:pPr>
              <w:pStyle w:val="42"/>
              <w:snapToGrid w:val="0"/>
              <w:spacing w:line="480" w:lineRule="auto"/>
              <w:jc w:val="left"/>
              <w:rPr>
                <w:rFonts w:cs="宋体"/>
                <w:color w:val="auto"/>
                <w:sz w:val="24"/>
                <w:szCs w:val="24"/>
                <w:highlight w:val="none"/>
              </w:rPr>
            </w:pPr>
          </w:p>
        </w:tc>
      </w:tr>
      <w:tr w14:paraId="07525121">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B14E893">
            <w:pPr>
              <w:pStyle w:val="42"/>
              <w:spacing w:line="480" w:lineRule="auto"/>
              <w:jc w:val="center"/>
              <w:rPr>
                <w:rFonts w:cs="宋体"/>
                <w:color w:val="auto"/>
                <w:sz w:val="24"/>
                <w:szCs w:val="24"/>
                <w:highlight w:val="none"/>
              </w:rPr>
            </w:pPr>
            <w:r>
              <w:rPr>
                <w:rFonts w:cs="宋体"/>
                <w:color w:val="auto"/>
                <w:sz w:val="24"/>
                <w:szCs w:val="24"/>
                <w:highlight w:val="none"/>
              </w:rPr>
              <w:t>...</w:t>
            </w:r>
          </w:p>
        </w:tc>
        <w:tc>
          <w:tcPr>
            <w:tcW w:w="1425" w:type="dxa"/>
            <w:tcBorders>
              <w:top w:val="single" w:color="000000" w:sz="4" w:space="0"/>
              <w:left w:val="single" w:color="000000" w:sz="4" w:space="0"/>
              <w:bottom w:val="single" w:color="000000" w:sz="4" w:space="0"/>
              <w:right w:val="single" w:color="000000" w:sz="4" w:space="0"/>
            </w:tcBorders>
          </w:tcPr>
          <w:p w14:paraId="47474E71">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79002B">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4764683D">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F0DAE82">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6A2BFC5E">
            <w:pPr>
              <w:pStyle w:val="42"/>
              <w:snapToGrid w:val="0"/>
              <w:spacing w:line="480" w:lineRule="auto"/>
              <w:jc w:val="left"/>
              <w:rPr>
                <w:rFonts w:cs="宋体"/>
                <w:color w:val="auto"/>
                <w:sz w:val="24"/>
                <w:szCs w:val="24"/>
                <w:highlight w:val="none"/>
              </w:rPr>
            </w:pPr>
          </w:p>
        </w:tc>
      </w:tr>
      <w:tr w14:paraId="179FABB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28F5826E">
            <w:pPr>
              <w:pStyle w:val="42"/>
              <w:snapToGrid w:val="0"/>
              <w:spacing w:line="480" w:lineRule="auto"/>
              <w:jc w:val="center"/>
              <w:rPr>
                <w:rFonts w:cs="宋体"/>
                <w:color w:val="auto"/>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1C6A7D55">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D7CCA5A">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FEA6AE2">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401F192E">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3CABA90E">
            <w:pPr>
              <w:pStyle w:val="42"/>
              <w:snapToGrid w:val="0"/>
              <w:spacing w:line="480" w:lineRule="auto"/>
              <w:jc w:val="left"/>
              <w:rPr>
                <w:rFonts w:cs="宋体"/>
                <w:color w:val="auto"/>
                <w:sz w:val="24"/>
                <w:szCs w:val="24"/>
                <w:highlight w:val="none"/>
              </w:rPr>
            </w:pPr>
          </w:p>
        </w:tc>
      </w:tr>
      <w:tr w14:paraId="3C1BA40D">
        <w:tblPrEx>
          <w:tblCellMar>
            <w:top w:w="0" w:type="dxa"/>
            <w:left w:w="108" w:type="dxa"/>
            <w:bottom w:w="0" w:type="dxa"/>
            <w:right w:w="108" w:type="dxa"/>
          </w:tblCellMar>
        </w:tblPrEx>
        <w:trPr>
          <w:trHeight w:val="64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47D7EAC9">
            <w:pPr>
              <w:pStyle w:val="42"/>
              <w:snapToGrid w:val="0"/>
              <w:spacing w:line="480" w:lineRule="auto"/>
              <w:jc w:val="center"/>
              <w:rPr>
                <w:rFonts w:cs="宋体"/>
                <w:color w:val="auto"/>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97AC2F8">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79AFD72B">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38FB674C">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2D78121E">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43BD5792">
            <w:pPr>
              <w:pStyle w:val="42"/>
              <w:snapToGrid w:val="0"/>
              <w:spacing w:line="480" w:lineRule="auto"/>
              <w:jc w:val="left"/>
              <w:rPr>
                <w:rFonts w:cs="宋体"/>
                <w:color w:val="auto"/>
                <w:sz w:val="24"/>
                <w:szCs w:val="24"/>
                <w:highlight w:val="none"/>
              </w:rPr>
            </w:pPr>
          </w:p>
        </w:tc>
      </w:tr>
      <w:tr w14:paraId="7DEABC3B">
        <w:tblPrEx>
          <w:tblCellMar>
            <w:top w:w="0" w:type="dxa"/>
            <w:left w:w="108" w:type="dxa"/>
            <w:bottom w:w="0" w:type="dxa"/>
            <w:right w:w="108" w:type="dxa"/>
          </w:tblCellMar>
        </w:tblPrEx>
        <w:trPr>
          <w:trHeight w:val="655" w:hRule="atLeast"/>
        </w:trPr>
        <w:tc>
          <w:tcPr>
            <w:tcW w:w="840" w:type="dxa"/>
            <w:tcBorders>
              <w:top w:val="single" w:color="000000" w:sz="4" w:space="0"/>
              <w:left w:val="single" w:color="000000" w:sz="4" w:space="0"/>
              <w:bottom w:val="single" w:color="000000" w:sz="4" w:space="0"/>
              <w:right w:val="single" w:color="000000" w:sz="4" w:space="0"/>
            </w:tcBorders>
            <w:vAlign w:val="center"/>
          </w:tcPr>
          <w:p w14:paraId="792F5A6D">
            <w:pPr>
              <w:pStyle w:val="42"/>
              <w:snapToGrid w:val="0"/>
              <w:spacing w:line="480" w:lineRule="auto"/>
              <w:jc w:val="center"/>
              <w:rPr>
                <w:rFonts w:cs="宋体"/>
                <w:color w:val="auto"/>
                <w:sz w:val="24"/>
                <w:szCs w:val="24"/>
                <w:highlight w:val="none"/>
              </w:rPr>
            </w:pPr>
          </w:p>
        </w:tc>
        <w:tc>
          <w:tcPr>
            <w:tcW w:w="1425" w:type="dxa"/>
            <w:tcBorders>
              <w:top w:val="single" w:color="000000" w:sz="4" w:space="0"/>
              <w:left w:val="single" w:color="000000" w:sz="4" w:space="0"/>
              <w:bottom w:val="single" w:color="000000" w:sz="4" w:space="0"/>
              <w:right w:val="single" w:color="000000" w:sz="4" w:space="0"/>
            </w:tcBorders>
          </w:tcPr>
          <w:p w14:paraId="37BB6FBD">
            <w:pPr>
              <w:pStyle w:val="42"/>
              <w:snapToGrid w:val="0"/>
              <w:spacing w:line="480" w:lineRule="auto"/>
              <w:jc w:val="left"/>
              <w:rPr>
                <w:rFonts w:cs="宋体"/>
                <w:color w:val="auto"/>
                <w:sz w:val="24"/>
                <w:szCs w:val="24"/>
                <w:highlight w:val="none"/>
              </w:rPr>
            </w:pPr>
          </w:p>
        </w:tc>
        <w:tc>
          <w:tcPr>
            <w:tcW w:w="1710" w:type="dxa"/>
            <w:tcBorders>
              <w:top w:val="single" w:color="000000" w:sz="4" w:space="0"/>
              <w:left w:val="single" w:color="000000" w:sz="4" w:space="0"/>
              <w:bottom w:val="single" w:color="000000" w:sz="4" w:space="0"/>
              <w:right w:val="single" w:color="000000" w:sz="4" w:space="0"/>
            </w:tcBorders>
          </w:tcPr>
          <w:p w14:paraId="313E6434">
            <w:pPr>
              <w:pStyle w:val="42"/>
              <w:snapToGrid w:val="0"/>
              <w:spacing w:line="480" w:lineRule="auto"/>
              <w:jc w:val="left"/>
              <w:rPr>
                <w:rFonts w:cs="宋体"/>
                <w:color w:val="auto"/>
                <w:sz w:val="24"/>
                <w:szCs w:val="24"/>
                <w:highlight w:val="none"/>
              </w:rPr>
            </w:pPr>
          </w:p>
        </w:tc>
        <w:tc>
          <w:tcPr>
            <w:tcW w:w="2670" w:type="dxa"/>
            <w:tcBorders>
              <w:top w:val="single" w:color="000000" w:sz="4" w:space="0"/>
              <w:left w:val="single" w:color="000000" w:sz="4" w:space="0"/>
              <w:bottom w:val="single" w:color="000000" w:sz="4" w:space="0"/>
              <w:right w:val="single" w:color="000000" w:sz="4" w:space="0"/>
            </w:tcBorders>
          </w:tcPr>
          <w:p w14:paraId="1F1729B2">
            <w:pPr>
              <w:pStyle w:val="42"/>
              <w:snapToGrid w:val="0"/>
              <w:spacing w:line="480" w:lineRule="auto"/>
              <w:jc w:val="left"/>
              <w:rPr>
                <w:rFonts w:cs="宋体"/>
                <w:color w:val="auto"/>
                <w:sz w:val="24"/>
                <w:szCs w:val="24"/>
                <w:highlight w:val="none"/>
              </w:rPr>
            </w:pPr>
          </w:p>
        </w:tc>
        <w:tc>
          <w:tcPr>
            <w:tcW w:w="1365" w:type="dxa"/>
            <w:tcBorders>
              <w:top w:val="single" w:color="000000" w:sz="4" w:space="0"/>
              <w:left w:val="single" w:color="000000" w:sz="4" w:space="0"/>
              <w:bottom w:val="single" w:color="000000" w:sz="4" w:space="0"/>
              <w:right w:val="single" w:color="000000" w:sz="4" w:space="0"/>
            </w:tcBorders>
          </w:tcPr>
          <w:p w14:paraId="0E5FAD26">
            <w:pPr>
              <w:pStyle w:val="42"/>
              <w:snapToGrid w:val="0"/>
              <w:spacing w:line="480" w:lineRule="auto"/>
              <w:jc w:val="left"/>
              <w:rPr>
                <w:rFonts w:cs="宋体"/>
                <w:color w:val="auto"/>
                <w:sz w:val="24"/>
                <w:szCs w:val="24"/>
                <w:highlight w:val="none"/>
              </w:rPr>
            </w:pPr>
          </w:p>
        </w:tc>
        <w:tc>
          <w:tcPr>
            <w:tcW w:w="1015" w:type="dxa"/>
            <w:tcBorders>
              <w:top w:val="single" w:color="000000" w:sz="4" w:space="0"/>
              <w:left w:val="single" w:color="000000" w:sz="4" w:space="0"/>
              <w:bottom w:val="single" w:color="000000" w:sz="4" w:space="0"/>
              <w:right w:val="single" w:color="000000" w:sz="4" w:space="0"/>
            </w:tcBorders>
          </w:tcPr>
          <w:p w14:paraId="023656C9">
            <w:pPr>
              <w:pStyle w:val="42"/>
              <w:snapToGrid w:val="0"/>
              <w:spacing w:line="480" w:lineRule="auto"/>
              <w:jc w:val="left"/>
              <w:rPr>
                <w:rFonts w:cs="宋体"/>
                <w:color w:val="auto"/>
                <w:sz w:val="24"/>
                <w:szCs w:val="24"/>
                <w:highlight w:val="none"/>
              </w:rPr>
            </w:pPr>
          </w:p>
        </w:tc>
      </w:tr>
    </w:tbl>
    <w:p w14:paraId="4AEE7130">
      <w:pPr>
        <w:pStyle w:val="8"/>
        <w:numPr>
          <w:ilvl w:val="0"/>
          <w:numId w:val="20"/>
        </w:num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本表须按“供应商须知前附表”中所列商务条款进行比较和响应；</w:t>
      </w:r>
    </w:p>
    <w:p w14:paraId="28517F8A">
      <w:pPr>
        <w:pStyle w:val="8"/>
        <w:numPr>
          <w:ilvl w:val="0"/>
          <w:numId w:val="20"/>
        </w:num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该表必须按照磋商文件要求逐条如实填写，根据情况在“偏离情况”项填写正偏离或负偏离或无偏离，在“说明”项填写正偏离或负偏离原因。</w:t>
      </w:r>
    </w:p>
    <w:p w14:paraId="00DCC1F4">
      <w:pPr>
        <w:pStyle w:val="8"/>
        <w:numPr>
          <w:ilvl w:val="0"/>
          <w:numId w:val="20"/>
        </w:num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该表可扩展。</w:t>
      </w:r>
    </w:p>
    <w:p w14:paraId="26539B35">
      <w:pPr>
        <w:pStyle w:val="8"/>
        <w:spacing w:line="360" w:lineRule="auto"/>
        <w:ind w:left="140"/>
        <w:rPr>
          <w:rFonts w:ascii="宋体" w:hAnsi="宋体" w:cs="宋体"/>
          <w:b/>
          <w:bCs/>
          <w:color w:val="auto"/>
          <w:sz w:val="28"/>
          <w:szCs w:val="28"/>
          <w:highlight w:val="none"/>
        </w:rPr>
      </w:pPr>
      <w:r>
        <w:rPr>
          <w:rFonts w:ascii="宋体" w:hAnsi="宋体" w:cs="宋体"/>
          <w:b/>
          <w:bCs/>
          <w:color w:val="auto"/>
          <w:sz w:val="24"/>
          <w:szCs w:val="24"/>
          <w:highlight w:val="none"/>
        </w:rPr>
        <w:t>商务条款不允许负偏离；</w:t>
      </w:r>
    </w:p>
    <w:p w14:paraId="447CA0E6">
      <w:pPr>
        <w:pStyle w:val="8"/>
        <w:rPr>
          <w:rFonts w:ascii="宋体" w:hAnsi="宋体" w:cs="宋体"/>
          <w:b/>
          <w:bCs/>
          <w:color w:val="auto"/>
          <w:sz w:val="28"/>
          <w:szCs w:val="28"/>
          <w:highlight w:val="none"/>
        </w:rPr>
      </w:pPr>
    </w:p>
    <w:p w14:paraId="786B131E">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供应商（单位名称及公章）：___________________________</w:t>
      </w:r>
    </w:p>
    <w:p w14:paraId="1812EF36">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法定代表人或被授权人（签字或盖章）：__________________</w:t>
      </w:r>
    </w:p>
    <w:p w14:paraId="36C0BA8E">
      <w:pPr>
        <w:snapToGrid w:val="0"/>
        <w:spacing w:line="480" w:lineRule="auto"/>
        <w:jc w:val="left"/>
        <w:rPr>
          <w:rFonts w:ascii="宋体" w:hAnsi="宋体" w:cs="宋体"/>
          <w:color w:val="auto"/>
          <w:sz w:val="24"/>
          <w:highlight w:val="none"/>
        </w:rPr>
        <w:sectPr>
          <w:headerReference r:id="rId23" w:type="default"/>
          <w:footerReference r:id="rId24"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highlight w:val="none"/>
        </w:rPr>
        <w:t>日期：_______年________月_______日</w:t>
      </w:r>
    </w:p>
    <w:p w14:paraId="03932D09">
      <w:pPr>
        <w:jc w:val="center"/>
        <w:rPr>
          <w:rFonts w:cs="宋体"/>
          <w:color w:val="auto"/>
          <w:highlight w:val="none"/>
        </w:rPr>
      </w:pPr>
      <w:r>
        <w:rPr>
          <w:rFonts w:ascii="宋体" w:hAnsi="宋体" w:cs="宋体"/>
          <w:b/>
          <w:bCs/>
          <w:color w:val="auto"/>
          <w:sz w:val="24"/>
          <w:szCs w:val="24"/>
          <w:highlight w:val="none"/>
        </w:rPr>
        <w:t>技术偏离表</w:t>
      </w:r>
    </w:p>
    <w:tbl>
      <w:tblPr>
        <w:tblStyle w:val="20"/>
        <w:tblW w:w="8548" w:type="dxa"/>
        <w:jc w:val="center"/>
        <w:tblLayout w:type="fixed"/>
        <w:tblCellMar>
          <w:top w:w="0" w:type="dxa"/>
          <w:left w:w="108" w:type="dxa"/>
          <w:bottom w:w="0" w:type="dxa"/>
          <w:right w:w="108" w:type="dxa"/>
        </w:tblCellMar>
      </w:tblPr>
      <w:tblGrid>
        <w:gridCol w:w="1100"/>
        <w:gridCol w:w="1888"/>
        <w:gridCol w:w="2286"/>
        <w:gridCol w:w="1664"/>
        <w:gridCol w:w="1610"/>
      </w:tblGrid>
      <w:tr w14:paraId="26DE71D9">
        <w:tblPrEx>
          <w:tblCellMar>
            <w:top w:w="0" w:type="dxa"/>
            <w:left w:w="108" w:type="dxa"/>
            <w:bottom w:w="0" w:type="dxa"/>
            <w:right w:w="108" w:type="dxa"/>
          </w:tblCellMar>
        </w:tblPrEx>
        <w:trPr>
          <w:trHeight w:val="1148"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0D4834E">
            <w:pPr>
              <w:pStyle w:val="42"/>
              <w:spacing w:line="360" w:lineRule="auto"/>
              <w:jc w:val="center"/>
              <w:rPr>
                <w:rFonts w:cs="宋体"/>
                <w:color w:val="auto"/>
                <w:sz w:val="24"/>
                <w:szCs w:val="24"/>
                <w:highlight w:val="none"/>
              </w:rPr>
            </w:pPr>
            <w:r>
              <w:rPr>
                <w:rFonts w:cs="宋体"/>
                <w:color w:val="auto"/>
                <w:sz w:val="24"/>
                <w:szCs w:val="24"/>
                <w:highlight w:val="none"/>
              </w:rPr>
              <w:t>序号</w:t>
            </w:r>
          </w:p>
        </w:tc>
        <w:tc>
          <w:tcPr>
            <w:tcW w:w="1888" w:type="dxa"/>
            <w:tcBorders>
              <w:top w:val="single" w:color="000000" w:sz="4" w:space="0"/>
              <w:left w:val="single" w:color="000000" w:sz="4" w:space="0"/>
              <w:bottom w:val="single" w:color="000000" w:sz="4" w:space="0"/>
              <w:right w:val="single" w:color="000000" w:sz="4" w:space="0"/>
            </w:tcBorders>
            <w:vAlign w:val="center"/>
          </w:tcPr>
          <w:p w14:paraId="2ED856A6">
            <w:pPr>
              <w:spacing w:line="500" w:lineRule="exact"/>
              <w:jc w:val="center"/>
              <w:rPr>
                <w:color w:val="auto"/>
                <w:sz w:val="24"/>
                <w:highlight w:val="none"/>
              </w:rPr>
            </w:pPr>
            <w:r>
              <w:rPr>
                <w:color w:val="auto"/>
                <w:sz w:val="24"/>
                <w:highlight w:val="none"/>
              </w:rPr>
              <w:t>采购要求</w:t>
            </w:r>
          </w:p>
          <w:p w14:paraId="31590FE3">
            <w:pPr>
              <w:spacing w:line="500" w:lineRule="exact"/>
              <w:jc w:val="center"/>
              <w:rPr>
                <w:rFonts w:cs="宋体"/>
                <w:color w:val="auto"/>
                <w:sz w:val="24"/>
                <w:szCs w:val="24"/>
                <w:highlight w:val="none"/>
              </w:rPr>
            </w:pPr>
            <w:r>
              <w:rPr>
                <w:color w:val="auto"/>
                <w:sz w:val="24"/>
                <w:highlight w:val="none"/>
              </w:rPr>
              <w:t>技术指标</w:t>
            </w:r>
          </w:p>
        </w:tc>
        <w:tc>
          <w:tcPr>
            <w:tcW w:w="2286" w:type="dxa"/>
            <w:tcBorders>
              <w:top w:val="single" w:color="000000" w:sz="4" w:space="0"/>
              <w:left w:val="single" w:color="000000" w:sz="4" w:space="0"/>
              <w:bottom w:val="single" w:color="000000" w:sz="4" w:space="0"/>
              <w:right w:val="single" w:color="000000" w:sz="4" w:space="0"/>
            </w:tcBorders>
            <w:vAlign w:val="center"/>
          </w:tcPr>
          <w:p w14:paraId="730F1B48">
            <w:pPr>
              <w:spacing w:line="500" w:lineRule="exact"/>
              <w:jc w:val="center"/>
              <w:rPr>
                <w:color w:val="auto"/>
                <w:sz w:val="24"/>
                <w:highlight w:val="none"/>
              </w:rPr>
            </w:pPr>
            <w:r>
              <w:rPr>
                <w:color w:val="auto"/>
                <w:sz w:val="24"/>
                <w:highlight w:val="none"/>
              </w:rPr>
              <w:t>响应内容</w:t>
            </w:r>
          </w:p>
          <w:p w14:paraId="2101B63E">
            <w:pPr>
              <w:spacing w:line="500" w:lineRule="exact"/>
              <w:jc w:val="center"/>
              <w:rPr>
                <w:rFonts w:cs="宋体"/>
                <w:color w:val="auto"/>
                <w:sz w:val="24"/>
                <w:szCs w:val="24"/>
                <w:highlight w:val="none"/>
              </w:rPr>
            </w:pPr>
            <w:r>
              <w:rPr>
                <w:color w:val="auto"/>
                <w:sz w:val="24"/>
                <w:highlight w:val="none"/>
              </w:rPr>
              <w:t>技术指标</w:t>
            </w:r>
          </w:p>
        </w:tc>
        <w:tc>
          <w:tcPr>
            <w:tcW w:w="1664" w:type="dxa"/>
            <w:tcBorders>
              <w:top w:val="single" w:color="000000" w:sz="4" w:space="0"/>
              <w:left w:val="single" w:color="000000" w:sz="4" w:space="0"/>
              <w:bottom w:val="single" w:color="000000" w:sz="4" w:space="0"/>
              <w:right w:val="single" w:color="000000" w:sz="4" w:space="0"/>
            </w:tcBorders>
            <w:vAlign w:val="center"/>
          </w:tcPr>
          <w:p w14:paraId="6A9192BF">
            <w:pPr>
              <w:spacing w:line="500" w:lineRule="exact"/>
              <w:jc w:val="center"/>
              <w:rPr>
                <w:rFonts w:cs="宋体"/>
                <w:color w:val="auto"/>
                <w:sz w:val="24"/>
                <w:szCs w:val="24"/>
                <w:highlight w:val="none"/>
              </w:rPr>
            </w:pPr>
            <w:r>
              <w:rPr>
                <w:color w:val="auto"/>
                <w:sz w:val="24"/>
                <w:highlight w:val="none"/>
              </w:rPr>
              <w:t>偏离情况</w:t>
            </w:r>
          </w:p>
        </w:tc>
        <w:tc>
          <w:tcPr>
            <w:tcW w:w="1610" w:type="dxa"/>
            <w:tcBorders>
              <w:top w:val="single" w:color="000000" w:sz="4" w:space="0"/>
              <w:left w:val="single" w:color="000000" w:sz="4" w:space="0"/>
              <w:bottom w:val="single" w:color="000000" w:sz="4" w:space="0"/>
              <w:right w:val="single" w:color="000000" w:sz="4" w:space="0"/>
            </w:tcBorders>
            <w:vAlign w:val="center"/>
          </w:tcPr>
          <w:p w14:paraId="2BEAE986">
            <w:pPr>
              <w:pStyle w:val="42"/>
              <w:spacing w:line="360" w:lineRule="auto"/>
              <w:jc w:val="center"/>
              <w:rPr>
                <w:rFonts w:cs="宋体"/>
                <w:color w:val="auto"/>
                <w:sz w:val="24"/>
                <w:szCs w:val="24"/>
                <w:highlight w:val="none"/>
              </w:rPr>
            </w:pPr>
            <w:r>
              <w:rPr>
                <w:rFonts w:cs="宋体"/>
                <w:color w:val="auto"/>
                <w:sz w:val="24"/>
                <w:szCs w:val="24"/>
                <w:highlight w:val="none"/>
              </w:rPr>
              <w:t>说明</w:t>
            </w:r>
          </w:p>
        </w:tc>
      </w:tr>
      <w:tr w14:paraId="3600F5E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14694D6">
            <w:pPr>
              <w:pStyle w:val="42"/>
              <w:spacing w:line="480" w:lineRule="auto"/>
              <w:jc w:val="center"/>
              <w:rPr>
                <w:rFonts w:cs="宋体"/>
                <w:color w:val="auto"/>
                <w:sz w:val="24"/>
                <w:szCs w:val="24"/>
                <w:highlight w:val="none"/>
              </w:rPr>
            </w:pPr>
            <w:r>
              <w:rPr>
                <w:rFonts w:cs="宋体"/>
                <w:color w:val="auto"/>
                <w:sz w:val="24"/>
                <w:szCs w:val="24"/>
                <w:highlight w:val="none"/>
              </w:rPr>
              <w:t>1</w:t>
            </w:r>
          </w:p>
        </w:tc>
        <w:tc>
          <w:tcPr>
            <w:tcW w:w="1888" w:type="dxa"/>
            <w:tcBorders>
              <w:top w:val="single" w:color="000000" w:sz="4" w:space="0"/>
              <w:left w:val="single" w:color="000000" w:sz="4" w:space="0"/>
              <w:bottom w:val="single" w:color="000000" w:sz="4" w:space="0"/>
              <w:right w:val="single" w:color="000000" w:sz="4" w:space="0"/>
            </w:tcBorders>
            <w:vAlign w:val="center"/>
          </w:tcPr>
          <w:p w14:paraId="68B5A8BF">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vAlign w:val="center"/>
          </w:tcPr>
          <w:p w14:paraId="6543E5E3">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vAlign w:val="center"/>
          </w:tcPr>
          <w:p w14:paraId="78DA8C9C">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vAlign w:val="center"/>
          </w:tcPr>
          <w:p w14:paraId="7089A78D">
            <w:pPr>
              <w:pStyle w:val="42"/>
              <w:snapToGrid w:val="0"/>
              <w:spacing w:line="480" w:lineRule="auto"/>
              <w:jc w:val="left"/>
              <w:rPr>
                <w:rFonts w:cs="宋体"/>
                <w:color w:val="auto"/>
                <w:sz w:val="24"/>
                <w:szCs w:val="24"/>
                <w:highlight w:val="none"/>
              </w:rPr>
            </w:pPr>
          </w:p>
        </w:tc>
      </w:tr>
      <w:tr w14:paraId="54844B17">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47438048">
            <w:pPr>
              <w:pStyle w:val="42"/>
              <w:spacing w:line="480" w:lineRule="auto"/>
              <w:jc w:val="center"/>
              <w:rPr>
                <w:rFonts w:cs="宋体"/>
                <w:color w:val="auto"/>
                <w:sz w:val="24"/>
                <w:szCs w:val="24"/>
                <w:highlight w:val="none"/>
              </w:rPr>
            </w:pPr>
            <w:r>
              <w:rPr>
                <w:rFonts w:cs="宋体"/>
                <w:color w:val="auto"/>
                <w:sz w:val="24"/>
                <w:szCs w:val="24"/>
                <w:highlight w:val="none"/>
              </w:rPr>
              <w:t>2</w:t>
            </w:r>
          </w:p>
        </w:tc>
        <w:tc>
          <w:tcPr>
            <w:tcW w:w="1888" w:type="dxa"/>
            <w:tcBorders>
              <w:top w:val="single" w:color="000000" w:sz="4" w:space="0"/>
              <w:left w:val="single" w:color="000000" w:sz="4" w:space="0"/>
              <w:bottom w:val="single" w:color="000000" w:sz="4" w:space="0"/>
              <w:right w:val="single" w:color="000000" w:sz="4" w:space="0"/>
            </w:tcBorders>
          </w:tcPr>
          <w:p w14:paraId="5E5B74FF">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DF39C87">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55575387">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576688C2">
            <w:pPr>
              <w:pStyle w:val="42"/>
              <w:snapToGrid w:val="0"/>
              <w:spacing w:line="480" w:lineRule="auto"/>
              <w:jc w:val="left"/>
              <w:rPr>
                <w:rFonts w:cs="宋体"/>
                <w:color w:val="auto"/>
                <w:sz w:val="24"/>
                <w:szCs w:val="24"/>
                <w:highlight w:val="none"/>
              </w:rPr>
            </w:pPr>
          </w:p>
        </w:tc>
      </w:tr>
      <w:tr w14:paraId="445071FA">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6165A0C0">
            <w:pPr>
              <w:pStyle w:val="42"/>
              <w:spacing w:line="480" w:lineRule="auto"/>
              <w:jc w:val="center"/>
              <w:rPr>
                <w:rFonts w:cs="宋体"/>
                <w:color w:val="auto"/>
                <w:sz w:val="24"/>
                <w:szCs w:val="24"/>
                <w:highlight w:val="none"/>
              </w:rPr>
            </w:pPr>
            <w:r>
              <w:rPr>
                <w:rFonts w:cs="宋体"/>
                <w:color w:val="auto"/>
                <w:sz w:val="24"/>
                <w:szCs w:val="24"/>
                <w:highlight w:val="none"/>
              </w:rPr>
              <w:t>3</w:t>
            </w:r>
          </w:p>
        </w:tc>
        <w:tc>
          <w:tcPr>
            <w:tcW w:w="1888" w:type="dxa"/>
            <w:tcBorders>
              <w:top w:val="single" w:color="000000" w:sz="4" w:space="0"/>
              <w:left w:val="single" w:color="000000" w:sz="4" w:space="0"/>
              <w:bottom w:val="single" w:color="000000" w:sz="4" w:space="0"/>
              <w:right w:val="single" w:color="000000" w:sz="4" w:space="0"/>
            </w:tcBorders>
          </w:tcPr>
          <w:p w14:paraId="4F5F323A">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06F52389">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A987F15">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49785E69">
            <w:pPr>
              <w:pStyle w:val="42"/>
              <w:snapToGrid w:val="0"/>
              <w:spacing w:line="480" w:lineRule="auto"/>
              <w:jc w:val="left"/>
              <w:rPr>
                <w:rFonts w:cs="宋体"/>
                <w:color w:val="auto"/>
                <w:sz w:val="24"/>
                <w:szCs w:val="24"/>
                <w:highlight w:val="none"/>
              </w:rPr>
            </w:pPr>
          </w:p>
        </w:tc>
      </w:tr>
      <w:tr w14:paraId="34A04DB9">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54F48A31">
            <w:pPr>
              <w:pStyle w:val="42"/>
              <w:spacing w:line="480" w:lineRule="auto"/>
              <w:jc w:val="center"/>
              <w:rPr>
                <w:rFonts w:cs="宋体"/>
                <w:color w:val="auto"/>
                <w:sz w:val="24"/>
                <w:szCs w:val="24"/>
                <w:highlight w:val="none"/>
              </w:rPr>
            </w:pPr>
            <w:r>
              <w:rPr>
                <w:rFonts w:cs="宋体"/>
                <w:color w:val="auto"/>
                <w:sz w:val="24"/>
                <w:szCs w:val="24"/>
                <w:highlight w:val="none"/>
              </w:rPr>
              <w:t>4</w:t>
            </w:r>
          </w:p>
        </w:tc>
        <w:tc>
          <w:tcPr>
            <w:tcW w:w="1888" w:type="dxa"/>
            <w:tcBorders>
              <w:top w:val="single" w:color="000000" w:sz="4" w:space="0"/>
              <w:left w:val="single" w:color="000000" w:sz="4" w:space="0"/>
              <w:bottom w:val="single" w:color="000000" w:sz="4" w:space="0"/>
              <w:right w:val="single" w:color="000000" w:sz="4" w:space="0"/>
            </w:tcBorders>
          </w:tcPr>
          <w:p w14:paraId="7C2D07F6">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2B5C910">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2E36B6F5">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05950470">
            <w:pPr>
              <w:pStyle w:val="42"/>
              <w:snapToGrid w:val="0"/>
              <w:spacing w:line="480" w:lineRule="auto"/>
              <w:jc w:val="left"/>
              <w:rPr>
                <w:rFonts w:cs="宋体"/>
                <w:color w:val="auto"/>
                <w:sz w:val="24"/>
                <w:szCs w:val="24"/>
                <w:highlight w:val="none"/>
              </w:rPr>
            </w:pPr>
          </w:p>
        </w:tc>
      </w:tr>
      <w:tr w14:paraId="02C937BE">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vAlign w:val="center"/>
          </w:tcPr>
          <w:p w14:paraId="2956CF8C">
            <w:pPr>
              <w:pStyle w:val="42"/>
              <w:spacing w:line="480" w:lineRule="auto"/>
              <w:jc w:val="center"/>
              <w:rPr>
                <w:rFonts w:cs="宋体"/>
                <w:color w:val="auto"/>
                <w:sz w:val="24"/>
                <w:szCs w:val="24"/>
                <w:highlight w:val="none"/>
              </w:rPr>
            </w:pPr>
            <w:r>
              <w:rPr>
                <w:rFonts w:cs="宋体"/>
                <w:color w:val="auto"/>
                <w:sz w:val="24"/>
                <w:szCs w:val="24"/>
                <w:highlight w:val="none"/>
              </w:rPr>
              <w:t>...</w:t>
            </w:r>
          </w:p>
        </w:tc>
        <w:tc>
          <w:tcPr>
            <w:tcW w:w="1888" w:type="dxa"/>
            <w:tcBorders>
              <w:top w:val="single" w:color="000000" w:sz="4" w:space="0"/>
              <w:left w:val="single" w:color="000000" w:sz="4" w:space="0"/>
              <w:bottom w:val="single" w:color="000000" w:sz="4" w:space="0"/>
              <w:right w:val="single" w:color="000000" w:sz="4" w:space="0"/>
            </w:tcBorders>
          </w:tcPr>
          <w:p w14:paraId="4D0173D1">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1A737BF4">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66A40301">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5F9189A">
            <w:pPr>
              <w:pStyle w:val="42"/>
              <w:snapToGrid w:val="0"/>
              <w:spacing w:line="480" w:lineRule="auto"/>
              <w:jc w:val="left"/>
              <w:rPr>
                <w:rFonts w:cs="宋体"/>
                <w:color w:val="auto"/>
                <w:sz w:val="24"/>
                <w:szCs w:val="24"/>
                <w:highlight w:val="none"/>
              </w:rPr>
            </w:pPr>
          </w:p>
        </w:tc>
      </w:tr>
      <w:tr w14:paraId="00FFF954">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5DB9281E">
            <w:pPr>
              <w:pStyle w:val="42"/>
              <w:snapToGrid w:val="0"/>
              <w:spacing w:line="480" w:lineRule="auto"/>
              <w:jc w:val="left"/>
              <w:rPr>
                <w:rFonts w:cs="宋体"/>
                <w:color w:val="auto"/>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1D847B2E">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7F7B4085">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4F4132D">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A3F169B">
            <w:pPr>
              <w:pStyle w:val="42"/>
              <w:snapToGrid w:val="0"/>
              <w:spacing w:line="480" w:lineRule="auto"/>
              <w:jc w:val="left"/>
              <w:rPr>
                <w:rFonts w:cs="宋体"/>
                <w:color w:val="auto"/>
                <w:sz w:val="24"/>
                <w:szCs w:val="24"/>
                <w:highlight w:val="none"/>
              </w:rPr>
            </w:pPr>
          </w:p>
        </w:tc>
      </w:tr>
      <w:tr w14:paraId="2B590556">
        <w:tblPrEx>
          <w:tblCellMar>
            <w:top w:w="0" w:type="dxa"/>
            <w:left w:w="108" w:type="dxa"/>
            <w:bottom w:w="0" w:type="dxa"/>
            <w:right w:w="108" w:type="dxa"/>
          </w:tblCellMar>
        </w:tblPrEx>
        <w:trPr>
          <w:trHeight w:val="740"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6473F8BB">
            <w:pPr>
              <w:pStyle w:val="42"/>
              <w:snapToGrid w:val="0"/>
              <w:spacing w:line="480" w:lineRule="auto"/>
              <w:jc w:val="left"/>
              <w:rPr>
                <w:rFonts w:cs="宋体"/>
                <w:color w:val="auto"/>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29CC467E">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2A9983BB">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4FF6E68F">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792884F1">
            <w:pPr>
              <w:pStyle w:val="42"/>
              <w:snapToGrid w:val="0"/>
              <w:spacing w:line="480" w:lineRule="auto"/>
              <w:jc w:val="left"/>
              <w:rPr>
                <w:rFonts w:cs="宋体"/>
                <w:color w:val="auto"/>
                <w:sz w:val="24"/>
                <w:szCs w:val="24"/>
                <w:highlight w:val="none"/>
              </w:rPr>
            </w:pPr>
          </w:p>
        </w:tc>
      </w:tr>
      <w:tr w14:paraId="5765286D">
        <w:tblPrEx>
          <w:tblCellMar>
            <w:top w:w="0" w:type="dxa"/>
            <w:left w:w="108" w:type="dxa"/>
            <w:bottom w:w="0" w:type="dxa"/>
            <w:right w:w="108" w:type="dxa"/>
          </w:tblCellMar>
        </w:tblPrEx>
        <w:trPr>
          <w:trHeight w:val="762" w:hRule="atLeast"/>
          <w:jc w:val="center"/>
        </w:trPr>
        <w:tc>
          <w:tcPr>
            <w:tcW w:w="1100" w:type="dxa"/>
            <w:tcBorders>
              <w:top w:val="single" w:color="000000" w:sz="4" w:space="0"/>
              <w:left w:val="single" w:color="000000" w:sz="4" w:space="0"/>
              <w:bottom w:val="single" w:color="000000" w:sz="4" w:space="0"/>
              <w:right w:val="single" w:color="000000" w:sz="4" w:space="0"/>
            </w:tcBorders>
          </w:tcPr>
          <w:p w14:paraId="406DBA1C">
            <w:pPr>
              <w:pStyle w:val="42"/>
              <w:snapToGrid w:val="0"/>
              <w:spacing w:line="480" w:lineRule="auto"/>
              <w:jc w:val="left"/>
              <w:rPr>
                <w:rFonts w:cs="宋体"/>
                <w:color w:val="auto"/>
                <w:sz w:val="24"/>
                <w:szCs w:val="24"/>
                <w:highlight w:val="none"/>
              </w:rPr>
            </w:pPr>
          </w:p>
        </w:tc>
        <w:tc>
          <w:tcPr>
            <w:tcW w:w="1888" w:type="dxa"/>
            <w:tcBorders>
              <w:top w:val="single" w:color="000000" w:sz="4" w:space="0"/>
              <w:left w:val="single" w:color="000000" w:sz="4" w:space="0"/>
              <w:bottom w:val="single" w:color="000000" w:sz="4" w:space="0"/>
              <w:right w:val="single" w:color="000000" w:sz="4" w:space="0"/>
            </w:tcBorders>
          </w:tcPr>
          <w:p w14:paraId="01766419">
            <w:pPr>
              <w:pStyle w:val="42"/>
              <w:snapToGrid w:val="0"/>
              <w:spacing w:line="480" w:lineRule="auto"/>
              <w:jc w:val="left"/>
              <w:rPr>
                <w:rFonts w:cs="宋体"/>
                <w:color w:val="auto"/>
                <w:sz w:val="24"/>
                <w:szCs w:val="24"/>
                <w:highlight w:val="none"/>
              </w:rPr>
            </w:pPr>
          </w:p>
        </w:tc>
        <w:tc>
          <w:tcPr>
            <w:tcW w:w="2286" w:type="dxa"/>
            <w:tcBorders>
              <w:top w:val="single" w:color="000000" w:sz="4" w:space="0"/>
              <w:left w:val="single" w:color="000000" w:sz="4" w:space="0"/>
              <w:bottom w:val="single" w:color="000000" w:sz="4" w:space="0"/>
              <w:right w:val="single" w:color="000000" w:sz="4" w:space="0"/>
            </w:tcBorders>
          </w:tcPr>
          <w:p w14:paraId="5E1E3F73">
            <w:pPr>
              <w:pStyle w:val="42"/>
              <w:snapToGrid w:val="0"/>
              <w:spacing w:line="480" w:lineRule="auto"/>
              <w:jc w:val="left"/>
              <w:rPr>
                <w:rFonts w:cs="宋体"/>
                <w:color w:val="auto"/>
                <w:sz w:val="24"/>
                <w:szCs w:val="24"/>
                <w:highlight w:val="none"/>
              </w:rPr>
            </w:pPr>
          </w:p>
        </w:tc>
        <w:tc>
          <w:tcPr>
            <w:tcW w:w="1664" w:type="dxa"/>
            <w:tcBorders>
              <w:top w:val="single" w:color="000000" w:sz="4" w:space="0"/>
              <w:left w:val="single" w:color="000000" w:sz="4" w:space="0"/>
              <w:bottom w:val="single" w:color="000000" w:sz="4" w:space="0"/>
              <w:right w:val="single" w:color="000000" w:sz="4" w:space="0"/>
            </w:tcBorders>
          </w:tcPr>
          <w:p w14:paraId="7A4C2CB5">
            <w:pPr>
              <w:pStyle w:val="42"/>
              <w:snapToGrid w:val="0"/>
              <w:spacing w:line="480" w:lineRule="auto"/>
              <w:jc w:val="left"/>
              <w:rPr>
                <w:rFonts w:cs="宋体"/>
                <w:color w:val="auto"/>
                <w:sz w:val="24"/>
                <w:szCs w:val="24"/>
                <w:highlight w:val="none"/>
              </w:rPr>
            </w:pPr>
          </w:p>
        </w:tc>
        <w:tc>
          <w:tcPr>
            <w:tcW w:w="1610" w:type="dxa"/>
            <w:tcBorders>
              <w:top w:val="single" w:color="000000" w:sz="4" w:space="0"/>
              <w:left w:val="single" w:color="000000" w:sz="4" w:space="0"/>
              <w:bottom w:val="single" w:color="000000" w:sz="4" w:space="0"/>
              <w:right w:val="single" w:color="000000" w:sz="4" w:space="0"/>
            </w:tcBorders>
          </w:tcPr>
          <w:p w14:paraId="3718C735">
            <w:pPr>
              <w:pStyle w:val="42"/>
              <w:snapToGrid w:val="0"/>
              <w:spacing w:line="480" w:lineRule="auto"/>
              <w:jc w:val="left"/>
              <w:rPr>
                <w:rFonts w:cs="宋体"/>
                <w:color w:val="auto"/>
                <w:sz w:val="24"/>
                <w:szCs w:val="24"/>
                <w:highlight w:val="none"/>
              </w:rPr>
            </w:pPr>
          </w:p>
        </w:tc>
      </w:tr>
    </w:tbl>
    <w:p w14:paraId="57C3EE4D">
      <w:pPr>
        <w:pStyle w:val="8"/>
        <w:spacing w:line="360" w:lineRule="auto"/>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1、本表须按“第五部分采购要求”中所列要求进行比较和响应；</w:t>
      </w:r>
    </w:p>
    <w:p w14:paraId="49D6B1D7">
      <w:pPr>
        <w:pStyle w:val="8"/>
        <w:spacing w:line="360" w:lineRule="auto"/>
        <w:ind w:firstLine="482" w:firstLineChars="200"/>
        <w:rPr>
          <w:rFonts w:ascii="宋体" w:hAnsi="宋体" w:cs="宋体"/>
          <w:color w:val="auto"/>
          <w:sz w:val="24"/>
          <w:szCs w:val="24"/>
          <w:highlight w:val="none"/>
        </w:rPr>
      </w:pPr>
      <w:r>
        <w:rPr>
          <w:rFonts w:ascii="宋体" w:hAnsi="宋体" w:cs="宋体"/>
          <w:b/>
          <w:bCs/>
          <w:color w:val="auto"/>
          <w:sz w:val="24"/>
          <w:szCs w:val="24"/>
          <w:highlight w:val="none"/>
        </w:rPr>
        <w:t>2、该表必须按照磋商文件要求逐条如实填写，根据情况在“偏离情况”项填写正偏离或负偏离或无偏离，在“说明”项填写正偏离或负偏离原因。</w:t>
      </w:r>
    </w:p>
    <w:p w14:paraId="6F58B697">
      <w:pPr>
        <w:pStyle w:val="8"/>
        <w:spacing w:line="360" w:lineRule="auto"/>
        <w:ind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3、该表可扩展。</w:t>
      </w:r>
    </w:p>
    <w:p w14:paraId="575D3964">
      <w:pPr>
        <w:pStyle w:val="8"/>
        <w:rPr>
          <w:rFonts w:ascii="宋体" w:hAnsi="宋体" w:cs="宋体"/>
          <w:b/>
          <w:bCs/>
          <w:color w:val="auto"/>
          <w:sz w:val="28"/>
          <w:szCs w:val="28"/>
          <w:highlight w:val="none"/>
        </w:rPr>
      </w:pPr>
    </w:p>
    <w:p w14:paraId="05A20039">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供应商（单位名称及公章）：___________________________</w:t>
      </w:r>
    </w:p>
    <w:p w14:paraId="750D710D">
      <w:pPr>
        <w:snapToGrid w:val="0"/>
        <w:spacing w:line="480" w:lineRule="auto"/>
        <w:jc w:val="left"/>
        <w:rPr>
          <w:rFonts w:ascii="宋体" w:hAnsi="宋体" w:cs="宋体"/>
          <w:color w:val="auto"/>
          <w:sz w:val="24"/>
          <w:highlight w:val="none"/>
        </w:rPr>
      </w:pPr>
      <w:r>
        <w:rPr>
          <w:rFonts w:ascii="宋体" w:hAnsi="宋体" w:cs="宋体"/>
          <w:color w:val="auto"/>
          <w:sz w:val="24"/>
          <w:highlight w:val="none"/>
        </w:rPr>
        <w:t>法定代表人或被授权人（签字或盖章）：__________________</w:t>
      </w:r>
    </w:p>
    <w:p w14:paraId="383F23A6">
      <w:pPr>
        <w:snapToGrid w:val="0"/>
        <w:spacing w:line="480" w:lineRule="auto"/>
        <w:jc w:val="left"/>
        <w:rPr>
          <w:rFonts w:ascii="宋体" w:hAnsi="宋体" w:cs="宋体"/>
          <w:color w:val="auto"/>
          <w:sz w:val="24"/>
          <w:highlight w:val="none"/>
        </w:rPr>
        <w:sectPr>
          <w:headerReference r:id="rId25" w:type="default"/>
          <w:footerReference r:id="rId26"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highlight w:val="none"/>
        </w:rPr>
        <w:t>日期：_______年________月_______日</w:t>
      </w:r>
    </w:p>
    <w:p w14:paraId="5E160EC8">
      <w:pPr>
        <w:pStyle w:val="3"/>
        <w:rPr>
          <w:rFonts w:ascii="宋体" w:hAnsi="宋体" w:cs="宋体"/>
          <w:color w:val="auto"/>
          <w:highlight w:val="none"/>
        </w:rPr>
      </w:pPr>
      <w:bookmarkStart w:id="54" w:name="_Toc2653"/>
      <w:bookmarkStart w:id="55" w:name="_Toc14596"/>
      <w:bookmarkStart w:id="56" w:name="_Toc16138"/>
      <w:r>
        <w:rPr>
          <w:rFonts w:ascii="宋体" w:hAnsi="宋体" w:cs="宋体"/>
          <w:color w:val="auto"/>
          <w:highlight w:val="none"/>
        </w:rPr>
        <w:t>第四部分  供应商资格要求</w:t>
      </w:r>
      <w:bookmarkEnd w:id="54"/>
      <w:bookmarkEnd w:id="55"/>
      <w:bookmarkEnd w:id="56"/>
    </w:p>
    <w:p w14:paraId="1F1CEA76">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1.满足《中华人民共和国政府采购法》第二十二条规定;</w:t>
      </w:r>
    </w:p>
    <w:p w14:paraId="7061A88D">
      <w:pPr>
        <w:pStyle w:val="7"/>
        <w:jc w:val="center"/>
        <w:rPr>
          <w:rFonts w:ascii="宋体" w:hAnsi="宋体" w:cs="宋体"/>
          <w:color w:val="auto"/>
          <w:sz w:val="28"/>
          <w:szCs w:val="28"/>
          <w:highlight w:val="none"/>
        </w:rPr>
      </w:pPr>
      <w:r>
        <w:rPr>
          <w:rFonts w:hint="eastAsia" w:ascii="宋体" w:hAnsi="宋体" w:cs="宋体"/>
          <w:color w:val="auto"/>
          <w:sz w:val="28"/>
          <w:szCs w:val="28"/>
          <w:highlight w:val="none"/>
        </w:rPr>
        <w:t>满足《中华人民共和国政府采购法》第二十二条规定的</w:t>
      </w:r>
    </w:p>
    <w:p w14:paraId="1AA6C9B1">
      <w:pPr>
        <w:pStyle w:val="7"/>
        <w:jc w:val="center"/>
        <w:rPr>
          <w:color w:val="auto"/>
          <w:sz w:val="18"/>
          <w:szCs w:val="18"/>
          <w:highlight w:val="none"/>
        </w:rPr>
      </w:pPr>
      <w:r>
        <w:rPr>
          <w:rFonts w:hint="eastAsia" w:ascii="宋体" w:hAnsi="宋体" w:cs="宋体"/>
          <w:color w:val="auto"/>
          <w:sz w:val="28"/>
          <w:szCs w:val="28"/>
          <w:highlight w:val="none"/>
        </w:rPr>
        <w:t>资格承诺</w:t>
      </w:r>
    </w:p>
    <w:p w14:paraId="0CA1C236">
      <w:pPr>
        <w:widowControl/>
        <w:snapToGrid w:val="0"/>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(采购人名称）_______________________：</w:t>
      </w:r>
    </w:p>
    <w:p w14:paraId="463C437E">
      <w:pPr>
        <w:widowControl/>
        <w:snapToGrid w:val="0"/>
        <w:spacing w:line="48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我单位参与陕西卓佲项目管理有限公司组织________________________(项目名称)竞争性磋商，我公司符合《中华人民共和国政府采购法》规定的供应商资格条件：</w:t>
      </w:r>
    </w:p>
    <w:p w14:paraId="2FDCB66B">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cs="宋体"/>
          <w:color w:val="auto"/>
          <w:sz w:val="24"/>
          <w:szCs w:val="24"/>
          <w:highlight w:val="none"/>
        </w:rPr>
        <w:t>具有独立承担民事责任的能力；</w:t>
      </w:r>
    </w:p>
    <w:p w14:paraId="7F6A6DF0">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（2）</w:t>
      </w:r>
      <w:r>
        <w:rPr>
          <w:rFonts w:hint="eastAsia" w:ascii="宋体" w:hAnsi="宋体" w:cs="宋体"/>
          <w:color w:val="auto"/>
          <w:sz w:val="24"/>
          <w:szCs w:val="24"/>
          <w:highlight w:val="none"/>
        </w:rPr>
        <w:t>具有良好的商业信誉和健全的财务会计制度；</w:t>
      </w:r>
    </w:p>
    <w:p w14:paraId="32C43454">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（3）</w:t>
      </w:r>
      <w:r>
        <w:rPr>
          <w:rFonts w:hint="eastAsia" w:ascii="宋体" w:hAnsi="宋体" w:cs="宋体"/>
          <w:color w:val="auto"/>
          <w:sz w:val="24"/>
          <w:szCs w:val="24"/>
          <w:highlight w:val="none"/>
        </w:rPr>
        <w:t>具有履行合同所必需的设备和专业技术能力；</w:t>
      </w:r>
    </w:p>
    <w:p w14:paraId="1F1B976B">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（4）</w:t>
      </w:r>
      <w:r>
        <w:rPr>
          <w:rFonts w:hint="eastAsia" w:ascii="宋体" w:hAnsi="宋体" w:cs="宋体"/>
          <w:color w:val="auto"/>
          <w:sz w:val="24"/>
          <w:szCs w:val="24"/>
          <w:highlight w:val="none"/>
        </w:rPr>
        <w:t>具有依法缴纳税收和社会保障资金的良好记录；</w:t>
      </w:r>
    </w:p>
    <w:p w14:paraId="285DE650">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（5）</w:t>
      </w:r>
      <w:r>
        <w:rPr>
          <w:rFonts w:hint="eastAsia" w:ascii="宋体" w:hAnsi="宋体" w:cs="宋体"/>
          <w:color w:val="auto"/>
          <w:sz w:val="24"/>
          <w:szCs w:val="24"/>
          <w:highlight w:val="none"/>
        </w:rPr>
        <w:t>参加此项采购活动前三年内，在经营活动中没有重大违法记录；</w:t>
      </w:r>
    </w:p>
    <w:p w14:paraId="3751091D">
      <w:pPr>
        <w:numPr>
          <w:ilvl w:val="0"/>
          <w:numId w:val="0"/>
        </w:numPr>
        <w:spacing w:line="500" w:lineRule="exact"/>
        <w:ind w:left="0" w:leftChars="0" w:firstLine="420" w:firstLineChars="0"/>
        <w:jc w:val="left"/>
        <w:rPr>
          <w:rFonts w:ascii="宋体" w:hAnsi="宋体" w:cs="宋体"/>
          <w:color w:val="auto"/>
          <w:sz w:val="24"/>
          <w:szCs w:val="24"/>
          <w:highlight w:val="none"/>
        </w:rPr>
      </w:pPr>
      <w:r>
        <w:rPr>
          <w:rFonts w:hint="default" w:ascii="宋体" w:hAnsi="宋体" w:eastAsia="宋体" w:cs="宋体"/>
          <w:color w:val="auto"/>
          <w:kern w:val="2"/>
          <w:sz w:val="24"/>
          <w:szCs w:val="24"/>
          <w:highlight w:val="none"/>
          <w:lang w:val="en-US" w:eastAsia="zh-CN" w:bidi="ar-SA"/>
        </w:rPr>
        <w:t>（6）</w:t>
      </w:r>
      <w:r>
        <w:rPr>
          <w:rFonts w:hint="eastAsia" w:ascii="宋体" w:hAnsi="宋体" w:cs="宋体"/>
          <w:color w:val="auto"/>
          <w:sz w:val="24"/>
          <w:szCs w:val="24"/>
          <w:highlight w:val="none"/>
        </w:rPr>
        <w:t>法律、行政法规规定的其他条件。</w:t>
      </w:r>
    </w:p>
    <w:p w14:paraId="08089117">
      <w:pPr>
        <w:pStyle w:val="7"/>
        <w:rPr>
          <w:rFonts w:ascii="宋体" w:hAnsi="宋体" w:cs="宋体"/>
          <w:color w:val="auto"/>
          <w:highlight w:val="none"/>
        </w:rPr>
      </w:pPr>
    </w:p>
    <w:p w14:paraId="16FE2B28">
      <w:pPr>
        <w:widowControl/>
        <w:snapToGrid w:val="0"/>
        <w:spacing w:line="48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我方对此声明负全部法律责任。</w:t>
      </w:r>
    </w:p>
    <w:p w14:paraId="65ADEDDE">
      <w:pPr>
        <w:pStyle w:val="10"/>
        <w:spacing w:line="500" w:lineRule="exact"/>
        <w:jc w:val="left"/>
        <w:rPr>
          <w:rFonts w:hAnsi="宋体" w:cs="宋体"/>
          <w:color w:val="auto"/>
          <w:sz w:val="24"/>
          <w:szCs w:val="24"/>
          <w:highlight w:val="none"/>
        </w:rPr>
      </w:pPr>
    </w:p>
    <w:p w14:paraId="174270C0">
      <w:pPr>
        <w:pStyle w:val="10"/>
        <w:spacing w:line="480" w:lineRule="auto"/>
        <w:jc w:val="left"/>
        <w:rPr>
          <w:rFonts w:hAnsi="宋体" w:cs="宋体"/>
          <w:color w:val="auto"/>
          <w:sz w:val="24"/>
          <w:highlight w:val="none"/>
        </w:rPr>
      </w:pPr>
    </w:p>
    <w:p w14:paraId="2EC06F04">
      <w:pPr>
        <w:pStyle w:val="10"/>
        <w:spacing w:line="480" w:lineRule="auto"/>
        <w:jc w:val="left"/>
        <w:rPr>
          <w:rFonts w:hAnsi="宋体" w:cs="宋体"/>
          <w:color w:val="auto"/>
          <w:sz w:val="24"/>
          <w:highlight w:val="none"/>
        </w:rPr>
      </w:pPr>
      <w:r>
        <w:rPr>
          <w:rFonts w:hint="eastAsia" w:hAnsi="宋体" w:cs="宋体"/>
          <w:color w:val="auto"/>
          <w:sz w:val="24"/>
          <w:highlight w:val="none"/>
        </w:rPr>
        <w:t>供应商（单位名称及公章）：</w:t>
      </w:r>
      <w:r>
        <w:rPr>
          <w:rFonts w:hint="eastAsia" w:hAnsi="宋体" w:cs="宋体"/>
          <w:color w:val="auto"/>
          <w:sz w:val="28"/>
          <w:szCs w:val="28"/>
          <w:highlight w:val="none"/>
        </w:rPr>
        <w:t>______________________</w:t>
      </w:r>
    </w:p>
    <w:p w14:paraId="4659E1DD">
      <w:pPr>
        <w:pStyle w:val="10"/>
        <w:spacing w:line="480" w:lineRule="auto"/>
        <w:jc w:val="left"/>
        <w:rPr>
          <w:rFonts w:hAnsi="宋体" w:cs="宋体"/>
          <w:color w:val="auto"/>
          <w:sz w:val="24"/>
          <w:highlight w:val="none"/>
        </w:rPr>
      </w:pPr>
      <w:r>
        <w:rPr>
          <w:rFonts w:hint="eastAsia" w:hAnsi="宋体" w:cs="宋体"/>
          <w:color w:val="auto"/>
          <w:sz w:val="24"/>
          <w:highlight w:val="none"/>
        </w:rPr>
        <w:t>法定代表人或被授权人（签字或盖章）：</w:t>
      </w:r>
      <w:r>
        <w:rPr>
          <w:rFonts w:hint="eastAsia" w:hAnsi="宋体" w:cs="宋体"/>
          <w:color w:val="auto"/>
          <w:sz w:val="28"/>
          <w:szCs w:val="28"/>
          <w:highlight w:val="none"/>
        </w:rPr>
        <w:t>______________________</w:t>
      </w:r>
    </w:p>
    <w:p w14:paraId="22E798DD">
      <w:pPr>
        <w:adjustRightInd w:val="0"/>
        <w:snapToGrid w:val="0"/>
        <w:spacing w:line="480" w:lineRule="auto"/>
        <w:rPr>
          <w:rFonts w:ascii="宋体" w:hAnsi="宋体" w:cs="宋体"/>
          <w:color w:val="auto"/>
          <w:sz w:val="24"/>
          <w:szCs w:val="24"/>
          <w:highlight w:val="none"/>
        </w:rPr>
      </w:pPr>
      <w:r>
        <w:rPr>
          <w:rFonts w:hint="eastAsia" w:ascii="宋体" w:hAnsi="宋体" w:cs="宋体"/>
          <w:color w:val="auto"/>
          <w:kern w:val="0"/>
          <w:sz w:val="24"/>
          <w:highlight w:val="none"/>
        </w:rPr>
        <w:t>日    期：</w:t>
      </w:r>
      <w:r>
        <w:rPr>
          <w:rFonts w:hint="eastAsia" w:ascii="宋体" w:hAnsi="宋体" w:cs="宋体"/>
          <w:color w:val="auto"/>
          <w:sz w:val="28"/>
          <w:szCs w:val="28"/>
          <w:highlight w:val="none"/>
        </w:rPr>
        <w:t>______________________</w:t>
      </w:r>
    </w:p>
    <w:p w14:paraId="79538DBF">
      <w:pPr>
        <w:rPr>
          <w:rFonts w:ascii="宋体" w:hAnsi="宋体" w:cs="宋体"/>
          <w:color w:val="auto"/>
          <w:sz w:val="24"/>
          <w:szCs w:val="24"/>
          <w:highlight w:val="none"/>
        </w:rPr>
      </w:pPr>
    </w:p>
    <w:p w14:paraId="57222D89">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5B09B9A0">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2.本项目为专门面向</w:t>
      </w:r>
      <w:r>
        <w:rPr>
          <w:rFonts w:hint="eastAsia" w:ascii="宋体" w:hAnsi="宋体" w:eastAsia="宋体" w:cs="宋体"/>
          <w:color w:val="auto"/>
          <w:sz w:val="24"/>
          <w:szCs w:val="24"/>
          <w:highlight w:val="none"/>
          <w:lang w:val="en-US" w:eastAsia="zh-CN"/>
        </w:rPr>
        <w:t>中小</w:t>
      </w:r>
      <w:r>
        <w:rPr>
          <w:rFonts w:ascii="宋体" w:hAnsi="宋体" w:eastAsia="宋体" w:cs="宋体"/>
          <w:color w:val="auto"/>
          <w:sz w:val="24"/>
          <w:szCs w:val="24"/>
          <w:highlight w:val="none"/>
          <w:lang w:eastAsia="zh-CN"/>
        </w:rPr>
        <w:t>企业</w:t>
      </w:r>
      <w:r>
        <w:rPr>
          <w:rFonts w:ascii="宋体" w:hAnsi="宋体" w:eastAsia="宋体" w:cs="宋体"/>
          <w:color w:val="auto"/>
          <w:sz w:val="24"/>
          <w:szCs w:val="24"/>
          <w:highlight w:val="none"/>
        </w:rPr>
        <w:t>采购的项目。</w:t>
      </w:r>
    </w:p>
    <w:p w14:paraId="0ECA7038">
      <w:pPr>
        <w:tabs>
          <w:tab w:val="left" w:pos="0"/>
        </w:tabs>
        <w:spacing w:line="416" w:lineRule="atLeast"/>
        <w:jc w:val="center"/>
        <w:textAlignment w:val="baseline"/>
        <w:rPr>
          <w:rFonts w:ascii="宋体" w:hAnsi="宋体" w:cs="宋体"/>
          <w:b/>
          <w:bCs/>
          <w:color w:val="auto"/>
          <w:highlight w:val="none"/>
        </w:rPr>
      </w:pPr>
      <w:r>
        <w:rPr>
          <w:rFonts w:hint="eastAsia" w:ascii="宋体" w:hAnsi="宋体" w:cs="宋体"/>
          <w:b/>
          <w:bCs/>
          <w:color w:val="auto"/>
          <w:highlight w:val="none"/>
        </w:rPr>
        <w:t>中小企业声明函（服务）</w:t>
      </w:r>
    </w:p>
    <w:p w14:paraId="411AF3B3">
      <w:pPr>
        <w:rPr>
          <w:color w:val="auto"/>
          <w:highlight w:val="none"/>
        </w:rPr>
      </w:pPr>
    </w:p>
    <w:p w14:paraId="23C6E046">
      <w:pPr>
        <w:spacing w:line="360" w:lineRule="auto"/>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根据《政府采购促进中小企业发展管理办法》（财库﹝2020﹞46 号）的规定，由供应商自行声明并对真实性负责。如有虚假，将依法承担相应责任。</w:t>
      </w:r>
    </w:p>
    <w:p w14:paraId="053106C8">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本公司（联合体）郑重声明，根据《政府采购促进中小企业发展管理办法》（财库﹝2020﹞46 号）的规定，本公司（联合体）参加</w:t>
      </w:r>
      <w:r>
        <w:rPr>
          <w:rFonts w:hint="eastAsia" w:ascii="宋体" w:hAnsi="宋体" w:cs="宋体"/>
          <w:color w:val="auto"/>
          <w:sz w:val="24"/>
          <w:szCs w:val="16"/>
          <w:highlight w:val="none"/>
          <w:u w:val="single"/>
        </w:rPr>
        <w:t>（单位名称）</w:t>
      </w:r>
      <w:r>
        <w:rPr>
          <w:rFonts w:hint="eastAsia" w:ascii="宋体" w:hAnsi="宋体" w:cs="宋体"/>
          <w:color w:val="auto"/>
          <w:sz w:val="24"/>
          <w:szCs w:val="16"/>
          <w:highlight w:val="none"/>
        </w:rPr>
        <w:t>的</w:t>
      </w:r>
      <w:r>
        <w:rPr>
          <w:rFonts w:hint="eastAsia" w:ascii="宋体" w:hAnsi="宋体" w:cs="宋体"/>
          <w:color w:val="auto"/>
          <w:sz w:val="24"/>
          <w:szCs w:val="16"/>
          <w:highlight w:val="none"/>
          <w:u w:val="single"/>
        </w:rPr>
        <w:t>（项目名称</w:t>
      </w:r>
      <w:r>
        <w:rPr>
          <w:rFonts w:hint="eastAsia" w:ascii="宋体" w:hAnsi="宋体" w:cs="宋体"/>
          <w:color w:val="auto"/>
          <w:sz w:val="24"/>
          <w:szCs w:val="16"/>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18AD31E">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1.</w:t>
      </w:r>
      <w:r>
        <w:rPr>
          <w:rFonts w:hint="eastAsia" w:ascii="宋体" w:hAnsi="宋体" w:cs="宋体"/>
          <w:color w:val="auto"/>
          <w:sz w:val="24"/>
          <w:szCs w:val="16"/>
          <w:highlight w:val="none"/>
          <w:u w:val="single"/>
        </w:rPr>
        <w:t>（标的名称）</w:t>
      </w:r>
      <w:r>
        <w:rPr>
          <w:rFonts w:hint="eastAsia" w:ascii="宋体" w:hAnsi="宋体" w:cs="宋体"/>
          <w:color w:val="auto"/>
          <w:sz w:val="24"/>
          <w:szCs w:val="16"/>
          <w:highlight w:val="none"/>
        </w:rPr>
        <w:t xml:space="preserve"> ，属于</w:t>
      </w:r>
      <w:r>
        <w:rPr>
          <w:rFonts w:hint="eastAsia" w:ascii="宋体" w:hAnsi="宋体" w:cs="宋体"/>
          <w:color w:val="auto"/>
          <w:sz w:val="24"/>
          <w:szCs w:val="16"/>
          <w:highlight w:val="none"/>
          <w:u w:val="single"/>
        </w:rPr>
        <w:t>（采购文件中明确的所属行业）</w:t>
      </w:r>
      <w:r>
        <w:rPr>
          <w:rFonts w:hint="eastAsia" w:ascii="宋体" w:hAnsi="宋体" w:cs="宋体"/>
          <w:color w:val="auto"/>
          <w:sz w:val="24"/>
          <w:szCs w:val="16"/>
          <w:highlight w:val="none"/>
        </w:rPr>
        <w:t>；承建（承接）企业为</w:t>
      </w:r>
      <w:r>
        <w:rPr>
          <w:rFonts w:hint="eastAsia" w:ascii="宋体" w:hAnsi="宋体" w:cs="宋体"/>
          <w:color w:val="auto"/>
          <w:sz w:val="24"/>
          <w:szCs w:val="16"/>
          <w:highlight w:val="none"/>
          <w:u w:val="single"/>
        </w:rPr>
        <w:t>（企业名称）</w:t>
      </w:r>
      <w:r>
        <w:rPr>
          <w:rFonts w:hint="eastAsia" w:ascii="宋体" w:hAnsi="宋体" w:cs="宋体"/>
          <w:color w:val="auto"/>
          <w:sz w:val="24"/>
          <w:szCs w:val="16"/>
          <w:highlight w:val="none"/>
        </w:rPr>
        <w:t>，从业人员人，营业收入为万元，资产总额为万元，属于</w:t>
      </w:r>
      <w:r>
        <w:rPr>
          <w:rFonts w:hint="eastAsia" w:ascii="宋体" w:hAnsi="宋体" w:cs="宋体"/>
          <w:color w:val="auto"/>
          <w:sz w:val="24"/>
          <w:szCs w:val="16"/>
          <w:highlight w:val="none"/>
          <w:u w:val="single"/>
        </w:rPr>
        <w:t>（中型企业、小型企业、微型企业）</w:t>
      </w:r>
      <w:r>
        <w:rPr>
          <w:rFonts w:hint="eastAsia" w:ascii="宋体" w:hAnsi="宋体" w:cs="宋体"/>
          <w:color w:val="auto"/>
          <w:sz w:val="24"/>
          <w:szCs w:val="16"/>
          <w:highlight w:val="none"/>
        </w:rPr>
        <w:t>；</w:t>
      </w:r>
    </w:p>
    <w:p w14:paraId="2E76F7DF">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2.</w:t>
      </w:r>
      <w:r>
        <w:rPr>
          <w:rFonts w:hint="eastAsia" w:ascii="宋体" w:hAnsi="宋体" w:cs="宋体"/>
          <w:color w:val="auto"/>
          <w:sz w:val="24"/>
          <w:szCs w:val="16"/>
          <w:highlight w:val="none"/>
          <w:u w:val="single"/>
        </w:rPr>
        <w:t>（标的名称）</w:t>
      </w:r>
      <w:r>
        <w:rPr>
          <w:rFonts w:hint="eastAsia" w:ascii="宋体" w:hAnsi="宋体" w:cs="宋体"/>
          <w:color w:val="auto"/>
          <w:sz w:val="24"/>
          <w:szCs w:val="16"/>
          <w:highlight w:val="none"/>
        </w:rPr>
        <w:t xml:space="preserve"> ，属于</w:t>
      </w:r>
      <w:r>
        <w:rPr>
          <w:rFonts w:hint="eastAsia" w:ascii="宋体" w:hAnsi="宋体" w:cs="宋体"/>
          <w:color w:val="auto"/>
          <w:sz w:val="24"/>
          <w:szCs w:val="16"/>
          <w:highlight w:val="none"/>
          <w:u w:val="single"/>
        </w:rPr>
        <w:t>（采购文件中明确的所属行业）</w:t>
      </w:r>
      <w:r>
        <w:rPr>
          <w:rFonts w:hint="eastAsia" w:ascii="宋体" w:hAnsi="宋体" w:cs="宋体"/>
          <w:color w:val="auto"/>
          <w:sz w:val="24"/>
          <w:szCs w:val="16"/>
          <w:highlight w:val="none"/>
        </w:rPr>
        <w:t>；承建（承接）企业为</w:t>
      </w:r>
      <w:r>
        <w:rPr>
          <w:rFonts w:hint="eastAsia" w:ascii="宋体" w:hAnsi="宋体" w:cs="宋体"/>
          <w:color w:val="auto"/>
          <w:sz w:val="24"/>
          <w:szCs w:val="16"/>
          <w:highlight w:val="none"/>
          <w:u w:val="single"/>
        </w:rPr>
        <w:t>（企业名称）</w:t>
      </w:r>
      <w:r>
        <w:rPr>
          <w:rFonts w:hint="eastAsia" w:ascii="宋体" w:hAnsi="宋体" w:cs="宋体"/>
          <w:color w:val="auto"/>
          <w:sz w:val="24"/>
          <w:szCs w:val="16"/>
          <w:highlight w:val="none"/>
        </w:rPr>
        <w:t>，从业人员人，营业收入为万元，资产总额为万元，属于</w:t>
      </w:r>
      <w:r>
        <w:rPr>
          <w:rFonts w:hint="eastAsia" w:ascii="宋体" w:hAnsi="宋体" w:cs="宋体"/>
          <w:color w:val="auto"/>
          <w:sz w:val="24"/>
          <w:szCs w:val="16"/>
          <w:highlight w:val="none"/>
          <w:u w:val="single"/>
        </w:rPr>
        <w:t>（中型企业、小型企业、微型企业）</w:t>
      </w:r>
      <w:r>
        <w:rPr>
          <w:rFonts w:hint="eastAsia" w:ascii="宋体" w:hAnsi="宋体" w:cs="宋体"/>
          <w:color w:val="auto"/>
          <w:sz w:val="24"/>
          <w:szCs w:val="16"/>
          <w:highlight w:val="none"/>
        </w:rPr>
        <w:t>；</w:t>
      </w:r>
    </w:p>
    <w:p w14:paraId="2A95583C">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w:t>
      </w:r>
    </w:p>
    <w:p w14:paraId="2A12C07A">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以上企业，不属于大企业的分支机构，不存在控股股东为大企业的情形，也不存在与大企业的负责人为同一人的情形。</w:t>
      </w:r>
    </w:p>
    <w:p w14:paraId="7E13063D">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本企业对上述声明内容的真实性负责。如有虚假，将依法承担相应责任。</w:t>
      </w:r>
    </w:p>
    <w:p w14:paraId="096B86EF">
      <w:pPr>
        <w:widowControl/>
        <w:spacing w:line="360" w:lineRule="auto"/>
        <w:ind w:firstLine="480" w:firstLineChars="200"/>
        <w:jc w:val="center"/>
        <w:rPr>
          <w:rFonts w:ascii="宋体" w:hAnsi="宋体" w:cs="宋体"/>
          <w:color w:val="auto"/>
          <w:sz w:val="24"/>
          <w:szCs w:val="16"/>
          <w:highlight w:val="none"/>
        </w:rPr>
      </w:pPr>
      <w:r>
        <w:rPr>
          <w:rFonts w:hint="eastAsia" w:ascii="宋体" w:hAnsi="宋体" w:cs="宋体"/>
          <w:color w:val="auto"/>
          <w:sz w:val="24"/>
          <w:szCs w:val="16"/>
          <w:highlight w:val="none"/>
        </w:rPr>
        <w:t xml:space="preserve">                         企业名称（盖章）：</w:t>
      </w:r>
    </w:p>
    <w:p w14:paraId="1EF4D669">
      <w:pPr>
        <w:adjustRightInd w:val="0"/>
        <w:spacing w:line="360" w:lineRule="auto"/>
        <w:jc w:val="center"/>
        <w:textAlignment w:val="baseline"/>
        <w:rPr>
          <w:color w:val="auto"/>
          <w:sz w:val="20"/>
          <w:szCs w:val="21"/>
          <w:highlight w:val="none"/>
        </w:rPr>
      </w:pPr>
      <w:r>
        <w:rPr>
          <w:rFonts w:hint="eastAsia" w:ascii="宋体" w:hAnsi="宋体" w:cs="宋体"/>
          <w:color w:val="auto"/>
          <w:sz w:val="24"/>
          <w:szCs w:val="16"/>
          <w:highlight w:val="none"/>
        </w:rPr>
        <w:t xml:space="preserve">                                         日期：</w:t>
      </w:r>
    </w:p>
    <w:p w14:paraId="4DD4FAF1">
      <w:pPr>
        <w:pStyle w:val="10"/>
        <w:spacing w:line="360" w:lineRule="auto"/>
        <w:ind w:firstLine="400" w:firstLineChars="200"/>
        <w:rPr>
          <w:rFonts w:hAnsi="宋体" w:cs="宋体"/>
          <w:color w:val="auto"/>
          <w:sz w:val="20"/>
          <w:szCs w:val="20"/>
          <w:highlight w:val="none"/>
        </w:rPr>
      </w:pPr>
      <w:r>
        <w:rPr>
          <w:rFonts w:hint="eastAsia" w:hAnsi="宋体" w:cs="宋体"/>
          <w:color w:val="auto"/>
          <w:sz w:val="20"/>
          <w:szCs w:val="20"/>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507CEEDF">
      <w:pPr>
        <w:rPr>
          <w:rFonts w:ascii="宋体" w:hAnsi="宋体"/>
          <w:color w:val="auto"/>
          <w:sz w:val="18"/>
          <w:highlight w:val="none"/>
        </w:rPr>
      </w:pPr>
      <w:r>
        <w:rPr>
          <w:rFonts w:hint="eastAsia" w:hAnsi="宋体" w:cs="宋体"/>
          <w:color w:val="auto"/>
          <w:sz w:val="20"/>
          <w:szCs w:val="20"/>
          <w:highlight w:val="none"/>
        </w:rPr>
        <w:t xml:space="preserve">    2.从业人员、营业收入、资产总额填报上一年度数据，无上一年度数据的新成立企业可不填报。</w:t>
      </w:r>
    </w:p>
    <w:p w14:paraId="4631B521">
      <w:pPr>
        <w:rPr>
          <w:rFonts w:ascii="宋体" w:hAnsi="宋体" w:cs="宋体"/>
          <w:color w:val="auto"/>
          <w:sz w:val="24"/>
          <w:szCs w:val="24"/>
          <w:highlight w:val="none"/>
        </w:rPr>
      </w:pPr>
      <w:r>
        <w:rPr>
          <w:rFonts w:hint="eastAsia" w:ascii="宋体" w:hAnsi="宋体" w:cs="宋体"/>
          <w:color w:val="auto"/>
          <w:sz w:val="32"/>
          <w:szCs w:val="32"/>
          <w:highlight w:val="none"/>
        </w:rPr>
        <w:br w:type="page"/>
      </w:r>
      <w:r>
        <w:rPr>
          <w:rFonts w:hint="eastAsia" w:ascii="宋体" w:hAnsi="宋体" w:cs="宋体"/>
          <w:color w:val="auto"/>
          <w:sz w:val="24"/>
          <w:szCs w:val="24"/>
          <w:highlight w:val="none"/>
        </w:rPr>
        <w:t>3.本项目的特定资格要求：</w:t>
      </w:r>
    </w:p>
    <w:p w14:paraId="06AD1819">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（1）具有独立承担民事责任能力的法人、其他组织或自然人，提供合法有效的统一社会信用代码营业执照（事业单位提供事业单位法人证书，自然人应提供身份证）；</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（2）财务状况证明：供应商提供2024年度</w:t>
      </w:r>
      <w:r>
        <w:rPr>
          <w:rFonts w:ascii="宋体" w:hAnsi="宋体" w:eastAsia="宋体" w:cs="宋体"/>
          <w:color w:val="auto"/>
          <w:sz w:val="24"/>
          <w:szCs w:val="24"/>
          <w:highlight w:val="none"/>
          <w:lang w:eastAsia="zh-CN"/>
        </w:rPr>
        <w:t>或2025年度</w:t>
      </w:r>
      <w:r>
        <w:rPr>
          <w:rFonts w:ascii="宋体" w:hAnsi="宋体" w:eastAsia="宋体" w:cs="宋体"/>
          <w:color w:val="auto"/>
          <w:sz w:val="24"/>
          <w:szCs w:val="24"/>
          <w:highlight w:val="none"/>
        </w:rPr>
        <w:t>经审计完整的财务审计报告（成立时间至提交</w:t>
      </w:r>
      <w:r>
        <w:rPr>
          <w:rFonts w:ascii="宋体" w:hAnsi="宋体" w:eastAsia="宋体" w:cs="宋体"/>
          <w:color w:val="auto"/>
          <w:sz w:val="24"/>
          <w:szCs w:val="24"/>
          <w:highlight w:val="none"/>
          <w:lang w:eastAsia="zh-CN"/>
        </w:rPr>
        <w:t>响应文件</w:t>
      </w:r>
      <w:r>
        <w:rPr>
          <w:rFonts w:ascii="宋体" w:hAnsi="宋体" w:eastAsia="宋体" w:cs="宋体"/>
          <w:color w:val="auto"/>
          <w:sz w:val="24"/>
          <w:szCs w:val="24"/>
          <w:highlight w:val="none"/>
        </w:rPr>
        <w:t>截止时间不足一年的可提供成立后任意时段的资产负债表），或其</w:t>
      </w:r>
      <w:r>
        <w:rPr>
          <w:rFonts w:ascii="宋体" w:hAnsi="宋体" w:eastAsia="宋体" w:cs="宋体"/>
          <w:color w:val="auto"/>
          <w:sz w:val="24"/>
          <w:szCs w:val="24"/>
          <w:highlight w:val="none"/>
          <w:lang w:eastAsia="zh-CN"/>
        </w:rPr>
        <w:t>磋商前三个月内银行出具的资信证明</w:t>
      </w:r>
      <w:r>
        <w:rPr>
          <w:rFonts w:ascii="宋体" w:hAnsi="宋体" w:eastAsia="宋体" w:cs="宋体"/>
          <w:color w:val="auto"/>
          <w:sz w:val="24"/>
          <w:szCs w:val="24"/>
          <w:highlight w:val="none"/>
        </w:rPr>
        <w:t>，或财政部门认可的政府采购专业担保机构出具的投标担保函；</w:t>
      </w:r>
    </w:p>
    <w:p w14:paraId="6CF60C8B">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3E9A76D8">
      <w:pPr>
        <w:keepNext/>
        <w:keepLines/>
        <w:spacing w:line="413" w:lineRule="auto"/>
        <w:jc w:val="center"/>
        <w:rPr>
          <w:rFonts w:ascii="宋体" w:hAnsi="宋体" w:cs="宋体"/>
          <w:color w:val="auto"/>
          <w:sz w:val="32"/>
          <w:szCs w:val="24"/>
          <w:highlight w:val="none"/>
        </w:rPr>
      </w:pPr>
      <w:r>
        <w:rPr>
          <w:rFonts w:hint="eastAsia" w:ascii="宋体" w:hAnsi="宋体" w:cs="宋体"/>
          <w:color w:val="auto"/>
          <w:sz w:val="24"/>
          <w:szCs w:val="24"/>
          <w:highlight w:val="none"/>
        </w:rPr>
        <w:t>（3）</w:t>
      </w:r>
      <w:r>
        <w:rPr>
          <w:rFonts w:hint="eastAsia" w:ascii="宋体" w:hAnsi="宋体" w:cs="宋体"/>
          <w:color w:val="auto"/>
          <w:sz w:val="32"/>
          <w:szCs w:val="24"/>
          <w:highlight w:val="none"/>
        </w:rPr>
        <w:t>履行合同所必需的设备和专业技术能力声明</w:t>
      </w:r>
    </w:p>
    <w:p w14:paraId="22E5C833">
      <w:pPr>
        <w:rPr>
          <w:rFonts w:ascii="宋体" w:hAnsi="宋体" w:cs="宋体"/>
          <w:color w:val="auto"/>
          <w:highlight w:val="none"/>
        </w:rPr>
      </w:pPr>
    </w:p>
    <w:p w14:paraId="6CA9615B">
      <w:pPr>
        <w:widowControl/>
        <w:snapToGrid w:val="0"/>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(采购人名称）_______________________：</w:t>
      </w:r>
    </w:p>
    <w:p w14:paraId="1C66D01E">
      <w:pPr>
        <w:widowControl/>
        <w:snapToGrid w:val="0"/>
        <w:spacing w:line="480" w:lineRule="auto"/>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我单位参与陕西卓佲项目管理有限公司组织的____________________(项目名称)，我单位郑重声明：我方</w:t>
      </w:r>
      <w:r>
        <w:rPr>
          <w:rFonts w:hint="eastAsia" w:ascii="宋体" w:hAnsi="宋体" w:cs="宋体"/>
          <w:b/>
          <w:bCs/>
          <w:color w:val="auto"/>
          <w:sz w:val="24"/>
          <w:szCs w:val="24"/>
          <w:highlight w:val="none"/>
        </w:rPr>
        <w:t>具有履行合同所必需的设备和专业技术能力</w:t>
      </w:r>
      <w:r>
        <w:rPr>
          <w:rFonts w:hint="eastAsia" w:ascii="宋体" w:hAnsi="宋体" w:cs="宋体"/>
          <w:color w:val="auto"/>
          <w:kern w:val="0"/>
          <w:sz w:val="24"/>
          <w:szCs w:val="24"/>
          <w:highlight w:val="none"/>
        </w:rPr>
        <w:t>，符合《中华人民共和国政府采购法》规定的供应商资格条件，我方对此声明负全部法律责任。</w:t>
      </w:r>
    </w:p>
    <w:p w14:paraId="4B78AE82">
      <w:pPr>
        <w:widowControl/>
        <w:snapToGrid w:val="0"/>
        <w:spacing w:line="48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特此声明。</w:t>
      </w:r>
    </w:p>
    <w:p w14:paraId="254AECBF">
      <w:pPr>
        <w:pStyle w:val="10"/>
        <w:spacing w:line="500" w:lineRule="exact"/>
        <w:jc w:val="left"/>
        <w:rPr>
          <w:rFonts w:hAnsi="宋体" w:cs="宋体"/>
          <w:color w:val="auto"/>
          <w:sz w:val="24"/>
          <w:szCs w:val="24"/>
          <w:highlight w:val="none"/>
        </w:rPr>
      </w:pPr>
    </w:p>
    <w:p w14:paraId="7EB42FA0">
      <w:pPr>
        <w:pStyle w:val="10"/>
        <w:spacing w:line="480" w:lineRule="auto"/>
        <w:jc w:val="left"/>
        <w:rPr>
          <w:rFonts w:hAnsi="宋体" w:cs="宋体"/>
          <w:color w:val="auto"/>
          <w:sz w:val="24"/>
          <w:highlight w:val="none"/>
        </w:rPr>
      </w:pPr>
    </w:p>
    <w:p w14:paraId="60A57EDC">
      <w:pPr>
        <w:pStyle w:val="10"/>
        <w:spacing w:line="480" w:lineRule="auto"/>
        <w:jc w:val="left"/>
        <w:rPr>
          <w:rFonts w:hAnsi="宋体" w:cs="宋体"/>
          <w:color w:val="auto"/>
          <w:sz w:val="24"/>
          <w:highlight w:val="none"/>
        </w:rPr>
      </w:pPr>
      <w:r>
        <w:rPr>
          <w:rFonts w:hint="eastAsia" w:hAnsi="宋体" w:cs="宋体"/>
          <w:color w:val="auto"/>
          <w:sz w:val="24"/>
          <w:highlight w:val="none"/>
        </w:rPr>
        <w:t>供应商（单位名称及公章）：</w:t>
      </w:r>
      <w:r>
        <w:rPr>
          <w:rFonts w:hint="eastAsia" w:hAnsi="宋体" w:cs="宋体"/>
          <w:color w:val="auto"/>
          <w:sz w:val="28"/>
          <w:szCs w:val="28"/>
          <w:highlight w:val="none"/>
        </w:rPr>
        <w:t>______________________</w:t>
      </w:r>
    </w:p>
    <w:p w14:paraId="62A69C15">
      <w:pPr>
        <w:pStyle w:val="10"/>
        <w:spacing w:line="480" w:lineRule="auto"/>
        <w:jc w:val="left"/>
        <w:rPr>
          <w:rFonts w:hAnsi="宋体" w:cs="宋体"/>
          <w:color w:val="auto"/>
          <w:sz w:val="24"/>
          <w:highlight w:val="none"/>
        </w:rPr>
      </w:pPr>
      <w:r>
        <w:rPr>
          <w:rFonts w:hint="eastAsia" w:hAnsi="宋体" w:cs="宋体"/>
          <w:color w:val="auto"/>
          <w:sz w:val="24"/>
          <w:highlight w:val="none"/>
        </w:rPr>
        <w:t>法定代表人或被授权人（签字或盖章）：</w:t>
      </w:r>
      <w:r>
        <w:rPr>
          <w:rFonts w:hint="eastAsia" w:hAnsi="宋体" w:cs="宋体"/>
          <w:color w:val="auto"/>
          <w:sz w:val="28"/>
          <w:szCs w:val="28"/>
          <w:highlight w:val="none"/>
        </w:rPr>
        <w:t>______________________</w:t>
      </w:r>
    </w:p>
    <w:p w14:paraId="5628CAED">
      <w:pPr>
        <w:adjustRightInd w:val="0"/>
        <w:snapToGrid w:val="0"/>
        <w:spacing w:line="480" w:lineRule="auto"/>
        <w:rPr>
          <w:rFonts w:ascii="宋体" w:hAnsi="宋体" w:cs="宋体"/>
          <w:color w:val="auto"/>
          <w:sz w:val="24"/>
          <w:szCs w:val="24"/>
          <w:highlight w:val="none"/>
        </w:rPr>
      </w:pPr>
      <w:r>
        <w:rPr>
          <w:rFonts w:hint="eastAsia" w:ascii="宋体" w:hAnsi="宋体" w:cs="宋体"/>
          <w:color w:val="auto"/>
          <w:kern w:val="0"/>
          <w:sz w:val="24"/>
          <w:highlight w:val="none"/>
        </w:rPr>
        <w:t>日    期：</w:t>
      </w:r>
      <w:r>
        <w:rPr>
          <w:rFonts w:hint="eastAsia" w:ascii="宋体" w:hAnsi="宋体" w:cs="宋体"/>
          <w:color w:val="auto"/>
          <w:sz w:val="28"/>
          <w:szCs w:val="28"/>
          <w:highlight w:val="none"/>
        </w:rPr>
        <w:t>______________________</w:t>
      </w:r>
    </w:p>
    <w:p w14:paraId="38E5B596">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67C2AB71">
      <w:pPr>
        <w:pStyle w:val="56"/>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（4）税收缴纳证明：提供</w:t>
      </w:r>
      <w:r>
        <w:rPr>
          <w:rFonts w:hint="eastAsia" w:ascii="宋体" w:hAnsi="宋体" w:eastAsia="宋体" w:cs="宋体"/>
          <w:color w:val="auto"/>
          <w:sz w:val="24"/>
          <w:szCs w:val="24"/>
          <w:highlight w:val="none"/>
          <w:lang w:eastAsia="zh-CN"/>
        </w:rPr>
        <w:t>2025年6月（含6月）以来任意一个月</w:t>
      </w:r>
      <w:r>
        <w:rPr>
          <w:rFonts w:ascii="宋体" w:hAnsi="宋体" w:eastAsia="宋体" w:cs="宋体"/>
          <w:color w:val="auto"/>
          <w:sz w:val="24"/>
          <w:szCs w:val="24"/>
          <w:highlight w:val="none"/>
        </w:rPr>
        <w:t>的依法缴纳税收的相关凭据（时间以税款所属日期为准），凭据应有税务机关或代收机关的公章或业务专用章。依法免税或无须缴纳税收的供应商，应提供相应证明文件；</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（5）社会保障资金缴纳证明：提供</w:t>
      </w:r>
      <w:r>
        <w:rPr>
          <w:rFonts w:hint="eastAsia" w:ascii="宋体" w:hAnsi="宋体" w:eastAsia="宋体" w:cs="宋体"/>
          <w:color w:val="auto"/>
          <w:sz w:val="24"/>
          <w:szCs w:val="24"/>
          <w:highlight w:val="none"/>
          <w:lang w:eastAsia="zh-CN"/>
        </w:rPr>
        <w:t>2025年6月（含6月）以来任意一个月</w:t>
      </w:r>
      <w:r>
        <w:rPr>
          <w:rFonts w:ascii="宋体" w:hAnsi="宋体" w:eastAsia="宋体" w:cs="宋体"/>
          <w:color w:val="auto"/>
          <w:sz w:val="24"/>
          <w:szCs w:val="24"/>
          <w:highlight w:val="none"/>
        </w:rPr>
        <w:t>的社会保障资金缴存单据或社保机构开具的社会保险参保缴费情况证明。依法不需要缴纳社会保障资金的供应商应提供相关文件证明；</w:t>
      </w:r>
      <w:r>
        <w:rPr>
          <w:rFonts w:ascii="宋体" w:hAnsi="宋体" w:eastAsia="宋体" w:cs="宋体"/>
          <w:color w:val="auto"/>
          <w:sz w:val="24"/>
          <w:szCs w:val="24"/>
          <w:highlight w:val="none"/>
        </w:rPr>
        <w:br w:type="textWrapping"/>
      </w:r>
    </w:p>
    <w:p w14:paraId="209B31C0">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04609C44">
      <w:pPr>
        <w:widowControl/>
        <w:snapToGrid w:val="0"/>
        <w:spacing w:line="480" w:lineRule="auto"/>
        <w:jc w:val="center"/>
        <w:rPr>
          <w:rFonts w:ascii="宋体" w:hAnsi="宋体" w:cs="宋体"/>
          <w:color w:val="auto"/>
          <w:kern w:val="0"/>
          <w:sz w:val="24"/>
          <w:szCs w:val="24"/>
          <w:highlight w:val="none"/>
        </w:rPr>
      </w:pPr>
      <w:r>
        <w:rPr>
          <w:rFonts w:hint="eastAsia" w:ascii="宋体" w:hAnsi="宋体" w:cs="宋体"/>
          <w:color w:val="auto"/>
          <w:sz w:val="28"/>
          <w:szCs w:val="28"/>
          <w:highlight w:val="none"/>
        </w:rPr>
        <w:t>（6）</w:t>
      </w:r>
      <w:r>
        <w:rPr>
          <w:rFonts w:hint="eastAsia" w:ascii="宋体" w:hAnsi="宋体" w:cs="宋体"/>
          <w:color w:val="auto"/>
          <w:sz w:val="28"/>
          <w:szCs w:val="22"/>
          <w:highlight w:val="none"/>
        </w:rPr>
        <w:t>无重大违法记录声明</w:t>
      </w:r>
    </w:p>
    <w:p w14:paraId="107BDD4B">
      <w:pPr>
        <w:widowControl/>
        <w:snapToGrid w:val="0"/>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(采购人名称）_______________________：</w:t>
      </w:r>
    </w:p>
    <w:p w14:paraId="24C2F146">
      <w:pPr>
        <w:widowControl/>
        <w:snapToGrid w:val="0"/>
        <w:spacing w:line="48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单位参与陕西卓佲项目管理有限公司组织的______________________(项目名称)竞争性磋商，我单位郑重声明：我方参加本项目磋商工作前三年内无重大违法活动记录，符合《中华人民共和国政府采购法》规定的供应商资格条件，我方对此声明负全部法律责任。</w:t>
      </w:r>
    </w:p>
    <w:p w14:paraId="4E745303">
      <w:pPr>
        <w:widowControl/>
        <w:snapToGrid w:val="0"/>
        <w:spacing w:line="48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特此声明。</w:t>
      </w:r>
    </w:p>
    <w:p w14:paraId="00634B7C">
      <w:pPr>
        <w:pStyle w:val="10"/>
        <w:spacing w:line="500" w:lineRule="exact"/>
        <w:jc w:val="left"/>
        <w:rPr>
          <w:rFonts w:hAnsi="宋体" w:cs="宋体"/>
          <w:color w:val="auto"/>
          <w:sz w:val="24"/>
          <w:szCs w:val="24"/>
          <w:highlight w:val="none"/>
        </w:rPr>
      </w:pPr>
    </w:p>
    <w:p w14:paraId="6D0053BA">
      <w:pPr>
        <w:pStyle w:val="10"/>
        <w:spacing w:line="480" w:lineRule="auto"/>
        <w:jc w:val="left"/>
        <w:rPr>
          <w:rFonts w:hAnsi="宋体" w:cs="宋体"/>
          <w:color w:val="auto"/>
          <w:sz w:val="24"/>
          <w:highlight w:val="none"/>
        </w:rPr>
      </w:pPr>
    </w:p>
    <w:p w14:paraId="07657048">
      <w:pPr>
        <w:pStyle w:val="10"/>
        <w:spacing w:line="480" w:lineRule="auto"/>
        <w:jc w:val="left"/>
        <w:rPr>
          <w:rFonts w:hAnsi="宋体" w:cs="宋体"/>
          <w:color w:val="auto"/>
          <w:sz w:val="24"/>
          <w:highlight w:val="none"/>
        </w:rPr>
      </w:pPr>
      <w:r>
        <w:rPr>
          <w:rFonts w:hint="eastAsia" w:hAnsi="宋体" w:cs="宋体"/>
          <w:color w:val="auto"/>
          <w:sz w:val="24"/>
          <w:highlight w:val="none"/>
        </w:rPr>
        <w:t>供应商（单位名称及公章）：</w:t>
      </w:r>
      <w:r>
        <w:rPr>
          <w:rFonts w:hint="eastAsia" w:hAnsi="宋体" w:cs="宋体"/>
          <w:color w:val="auto"/>
          <w:sz w:val="28"/>
          <w:szCs w:val="28"/>
          <w:highlight w:val="none"/>
        </w:rPr>
        <w:t>______________________</w:t>
      </w:r>
    </w:p>
    <w:p w14:paraId="7F4F336C">
      <w:pPr>
        <w:pStyle w:val="10"/>
        <w:spacing w:line="480" w:lineRule="auto"/>
        <w:jc w:val="left"/>
        <w:rPr>
          <w:rFonts w:hAnsi="宋体" w:cs="宋体"/>
          <w:color w:val="auto"/>
          <w:sz w:val="24"/>
          <w:highlight w:val="none"/>
        </w:rPr>
      </w:pPr>
      <w:r>
        <w:rPr>
          <w:rFonts w:hint="eastAsia" w:hAnsi="宋体" w:cs="宋体"/>
          <w:color w:val="auto"/>
          <w:sz w:val="24"/>
          <w:highlight w:val="none"/>
        </w:rPr>
        <w:t>法定代表人或被授权人（签字或盖章）：</w:t>
      </w:r>
      <w:r>
        <w:rPr>
          <w:rFonts w:hint="eastAsia" w:hAnsi="宋体" w:cs="宋体"/>
          <w:color w:val="auto"/>
          <w:sz w:val="28"/>
          <w:szCs w:val="28"/>
          <w:highlight w:val="none"/>
        </w:rPr>
        <w:t>______________________</w:t>
      </w:r>
    </w:p>
    <w:p w14:paraId="420DB242">
      <w:pPr>
        <w:adjustRightInd w:val="0"/>
        <w:snapToGrid w:val="0"/>
        <w:spacing w:line="480" w:lineRule="auto"/>
        <w:rPr>
          <w:rFonts w:ascii="宋体" w:hAnsi="宋体" w:cs="宋体"/>
          <w:color w:val="auto"/>
          <w:sz w:val="24"/>
          <w:szCs w:val="24"/>
          <w:highlight w:val="none"/>
        </w:rPr>
        <w:sectPr>
          <w:headerReference r:id="rId27" w:type="default"/>
          <w:pgSz w:w="11906" w:h="16838"/>
          <w:pgMar w:top="1440" w:right="1803" w:bottom="1440" w:left="1803" w:header="851" w:footer="992" w:gutter="0"/>
          <w:pgNumType w:fmt="decimal"/>
          <w:cols w:space="720" w:num="1"/>
          <w:docGrid w:type="lines" w:linePitch="319" w:charSpace="0"/>
        </w:sectPr>
      </w:pPr>
      <w:r>
        <w:rPr>
          <w:rFonts w:hint="eastAsia" w:ascii="宋体" w:hAnsi="宋体" w:cs="宋体"/>
          <w:color w:val="auto"/>
          <w:kern w:val="0"/>
          <w:sz w:val="24"/>
          <w:highlight w:val="none"/>
        </w:rPr>
        <w:t>日    期：</w:t>
      </w:r>
      <w:r>
        <w:rPr>
          <w:rFonts w:hint="eastAsia" w:ascii="宋体" w:hAnsi="宋体" w:cs="宋体"/>
          <w:color w:val="auto"/>
          <w:sz w:val="28"/>
          <w:szCs w:val="28"/>
          <w:highlight w:val="none"/>
        </w:rPr>
        <w:t>______________________</w:t>
      </w:r>
    </w:p>
    <w:p w14:paraId="7BF4D925">
      <w:pPr>
        <w:jc w:val="center"/>
        <w:rPr>
          <w:color w:val="auto"/>
          <w:sz w:val="28"/>
          <w:szCs w:val="32"/>
          <w:highlight w:val="none"/>
        </w:rPr>
      </w:pPr>
      <w:r>
        <w:rPr>
          <w:rFonts w:hint="eastAsia" w:ascii="宋体" w:hAnsi="宋体" w:cs="宋体"/>
          <w:color w:val="auto"/>
          <w:sz w:val="28"/>
          <w:szCs w:val="28"/>
          <w:highlight w:val="none"/>
        </w:rPr>
        <w:t>（7）</w:t>
      </w:r>
      <w:r>
        <w:rPr>
          <w:rFonts w:hint="eastAsia"/>
          <w:color w:val="auto"/>
          <w:sz w:val="28"/>
          <w:szCs w:val="32"/>
          <w:highlight w:val="none"/>
        </w:rPr>
        <w:t>7</w:t>
      </w:r>
      <w:r>
        <w:rPr>
          <w:color w:val="auto"/>
          <w:sz w:val="28"/>
          <w:szCs w:val="32"/>
          <w:highlight w:val="none"/>
        </w:rPr>
        <w:t>-1法定代表人证明书（法定代表人参加</w:t>
      </w:r>
      <w:r>
        <w:rPr>
          <w:rFonts w:hint="eastAsia"/>
          <w:color w:val="auto"/>
          <w:sz w:val="28"/>
          <w:szCs w:val="32"/>
          <w:highlight w:val="none"/>
        </w:rPr>
        <w:t>磋商</w:t>
      </w:r>
      <w:r>
        <w:rPr>
          <w:color w:val="auto"/>
          <w:sz w:val="28"/>
          <w:szCs w:val="32"/>
          <w:highlight w:val="none"/>
        </w:rPr>
        <w:t>时提供）</w:t>
      </w:r>
    </w:p>
    <w:tbl>
      <w:tblPr>
        <w:tblStyle w:val="20"/>
        <w:tblW w:w="8991" w:type="dxa"/>
        <w:jc w:val="center"/>
        <w:tblLayout w:type="fixed"/>
        <w:tblCellMar>
          <w:top w:w="0" w:type="dxa"/>
          <w:left w:w="108" w:type="dxa"/>
          <w:bottom w:w="0" w:type="dxa"/>
          <w:right w:w="108" w:type="dxa"/>
        </w:tblCellMar>
      </w:tblPr>
      <w:tblGrid>
        <w:gridCol w:w="594"/>
        <w:gridCol w:w="2160"/>
        <w:gridCol w:w="2340"/>
        <w:gridCol w:w="2156"/>
        <w:gridCol w:w="1741"/>
      </w:tblGrid>
      <w:tr w14:paraId="004780DE">
        <w:tblPrEx>
          <w:tblCellMar>
            <w:top w:w="0" w:type="dxa"/>
            <w:left w:w="108" w:type="dxa"/>
            <w:bottom w:w="0" w:type="dxa"/>
            <w:right w:w="108" w:type="dxa"/>
          </w:tblCellMar>
        </w:tblPrEx>
        <w:trPr>
          <w:trHeight w:val="586" w:hRule="atLeast"/>
          <w:jc w:val="center"/>
        </w:trPr>
        <w:tc>
          <w:tcPr>
            <w:tcW w:w="8991" w:type="dxa"/>
            <w:gridSpan w:val="5"/>
            <w:tcBorders>
              <w:top w:val="single" w:color="000000" w:sz="4" w:space="0"/>
              <w:left w:val="single" w:color="000000" w:sz="4" w:space="0"/>
              <w:bottom w:val="single" w:color="000000" w:sz="4" w:space="0"/>
              <w:right w:val="single" w:color="000000" w:sz="4" w:space="0"/>
            </w:tcBorders>
            <w:vAlign w:val="center"/>
          </w:tcPr>
          <w:p w14:paraId="116554F9">
            <w:pPr>
              <w:tabs>
                <w:tab w:val="left" w:pos="210"/>
              </w:tabs>
              <w:spacing w:line="360" w:lineRule="auto"/>
              <w:jc w:val="left"/>
              <w:rPr>
                <w:rFonts w:ascii="宋体" w:hAnsi="宋体" w:cs="宋体"/>
                <w:color w:val="auto"/>
                <w:kern w:val="0"/>
                <w:szCs w:val="21"/>
                <w:highlight w:val="none"/>
              </w:rPr>
            </w:pPr>
            <w:r>
              <w:rPr>
                <w:rFonts w:ascii="宋体" w:hAnsi="宋体" w:cs="宋体"/>
                <w:color w:val="auto"/>
                <w:kern w:val="0"/>
                <w:szCs w:val="21"/>
                <w:highlight w:val="none"/>
              </w:rPr>
              <w:t>致：陕西卓佲项目管理有限公司</w:t>
            </w:r>
          </w:p>
        </w:tc>
      </w:tr>
      <w:tr w14:paraId="49716BAD">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4FA03CCD">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企</w:t>
            </w:r>
          </w:p>
          <w:p w14:paraId="2C162F64">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业</w:t>
            </w:r>
          </w:p>
          <w:p w14:paraId="3593FD40">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法</w:t>
            </w:r>
          </w:p>
          <w:p w14:paraId="13CAE707">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FAA7106">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企业名称</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1D597A7">
            <w:pPr>
              <w:tabs>
                <w:tab w:val="left" w:pos="210"/>
              </w:tabs>
              <w:snapToGrid w:val="0"/>
              <w:spacing w:line="360" w:lineRule="auto"/>
              <w:jc w:val="left"/>
              <w:rPr>
                <w:rFonts w:ascii="宋体" w:hAnsi="宋体" w:cs="宋体"/>
                <w:color w:val="auto"/>
                <w:kern w:val="0"/>
                <w:szCs w:val="21"/>
                <w:highlight w:val="none"/>
              </w:rPr>
            </w:pPr>
          </w:p>
        </w:tc>
      </w:tr>
      <w:tr w14:paraId="1C312329">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3DFAEA9D">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702D677E">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法定地址</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6772B50D">
            <w:pPr>
              <w:tabs>
                <w:tab w:val="left" w:pos="210"/>
              </w:tabs>
              <w:snapToGrid w:val="0"/>
              <w:spacing w:line="360" w:lineRule="auto"/>
              <w:jc w:val="left"/>
              <w:rPr>
                <w:rFonts w:ascii="宋体" w:hAnsi="宋体" w:cs="宋体"/>
                <w:color w:val="auto"/>
                <w:kern w:val="0"/>
                <w:szCs w:val="21"/>
                <w:highlight w:val="none"/>
              </w:rPr>
            </w:pPr>
          </w:p>
        </w:tc>
      </w:tr>
      <w:tr w14:paraId="3CD27920">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1411DC7">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62295015">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邮政编码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0952CF14">
            <w:pPr>
              <w:tabs>
                <w:tab w:val="left" w:pos="210"/>
              </w:tabs>
              <w:snapToGrid w:val="0"/>
              <w:spacing w:line="360" w:lineRule="auto"/>
              <w:jc w:val="left"/>
              <w:rPr>
                <w:rFonts w:ascii="宋体" w:hAnsi="宋体" w:cs="宋体"/>
                <w:color w:val="auto"/>
                <w:kern w:val="0"/>
                <w:szCs w:val="21"/>
                <w:highlight w:val="none"/>
              </w:rPr>
            </w:pPr>
          </w:p>
        </w:tc>
      </w:tr>
      <w:tr w14:paraId="2C55B204">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631D5995">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37CBAA5">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工商登记机关</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6E87FDD">
            <w:pPr>
              <w:tabs>
                <w:tab w:val="left" w:pos="210"/>
              </w:tabs>
              <w:snapToGrid w:val="0"/>
              <w:spacing w:line="360" w:lineRule="auto"/>
              <w:jc w:val="left"/>
              <w:rPr>
                <w:rFonts w:ascii="宋体" w:hAnsi="宋体" w:cs="宋体"/>
                <w:color w:val="auto"/>
                <w:kern w:val="0"/>
                <w:szCs w:val="21"/>
                <w:highlight w:val="none"/>
              </w:rPr>
            </w:pPr>
          </w:p>
        </w:tc>
      </w:tr>
      <w:tr w14:paraId="3F8A04E6">
        <w:tblPrEx>
          <w:tblCellMar>
            <w:top w:w="0" w:type="dxa"/>
            <w:left w:w="108" w:type="dxa"/>
            <w:bottom w:w="0" w:type="dxa"/>
            <w:right w:w="108" w:type="dxa"/>
          </w:tblCellMar>
        </w:tblPrEx>
        <w:trPr>
          <w:trHeight w:val="570"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011262A8">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BA18932">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统一社会信用代码</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4DC2109A">
            <w:pPr>
              <w:tabs>
                <w:tab w:val="left" w:pos="210"/>
              </w:tabs>
              <w:snapToGrid w:val="0"/>
              <w:spacing w:line="360" w:lineRule="auto"/>
              <w:jc w:val="left"/>
              <w:rPr>
                <w:rFonts w:ascii="宋体" w:hAnsi="宋体" w:cs="宋体"/>
                <w:color w:val="auto"/>
                <w:kern w:val="0"/>
                <w:szCs w:val="21"/>
                <w:highlight w:val="none"/>
              </w:rPr>
            </w:pPr>
          </w:p>
        </w:tc>
      </w:tr>
      <w:tr w14:paraId="316CE5DF">
        <w:tblPrEx>
          <w:tblCellMar>
            <w:top w:w="0" w:type="dxa"/>
            <w:left w:w="108" w:type="dxa"/>
            <w:bottom w:w="0" w:type="dxa"/>
            <w:right w:w="108" w:type="dxa"/>
          </w:tblCellMar>
        </w:tblPrEx>
        <w:trPr>
          <w:trHeight w:val="569" w:hRule="atLeast"/>
          <w:jc w:val="center"/>
        </w:trPr>
        <w:tc>
          <w:tcPr>
            <w:tcW w:w="594" w:type="dxa"/>
            <w:vMerge w:val="restart"/>
            <w:tcBorders>
              <w:top w:val="single" w:color="000000" w:sz="4" w:space="0"/>
              <w:left w:val="single" w:color="000000" w:sz="4" w:space="0"/>
              <w:bottom w:val="single" w:color="000000" w:sz="4" w:space="0"/>
              <w:right w:val="single" w:color="000000" w:sz="4" w:space="0"/>
            </w:tcBorders>
            <w:vAlign w:val="center"/>
          </w:tcPr>
          <w:p w14:paraId="614489C0">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法</w:t>
            </w:r>
          </w:p>
          <w:p w14:paraId="2DAF2637">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定</w:t>
            </w:r>
          </w:p>
          <w:p w14:paraId="32FBC580">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代</w:t>
            </w:r>
          </w:p>
          <w:p w14:paraId="5F2AD4A5">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表</w:t>
            </w:r>
          </w:p>
          <w:p w14:paraId="7C2F2BFF">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人</w:t>
            </w:r>
          </w:p>
        </w:tc>
        <w:tc>
          <w:tcPr>
            <w:tcW w:w="2160" w:type="dxa"/>
            <w:tcBorders>
              <w:top w:val="single" w:color="000000" w:sz="4" w:space="0"/>
              <w:left w:val="single" w:color="000000" w:sz="4" w:space="0"/>
              <w:bottom w:val="single" w:color="000000" w:sz="4" w:space="0"/>
              <w:right w:val="single" w:color="000000" w:sz="4" w:space="0"/>
            </w:tcBorders>
            <w:vAlign w:val="center"/>
          </w:tcPr>
          <w:p w14:paraId="6C9C6467">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姓名</w:t>
            </w:r>
          </w:p>
        </w:tc>
        <w:tc>
          <w:tcPr>
            <w:tcW w:w="2340" w:type="dxa"/>
            <w:tcBorders>
              <w:top w:val="single" w:color="000000" w:sz="4" w:space="0"/>
              <w:left w:val="single" w:color="000000" w:sz="4" w:space="0"/>
              <w:bottom w:val="single" w:color="000000" w:sz="4" w:space="0"/>
              <w:right w:val="single" w:color="000000" w:sz="4" w:space="0"/>
            </w:tcBorders>
            <w:vAlign w:val="center"/>
          </w:tcPr>
          <w:p w14:paraId="2245F0E7">
            <w:pPr>
              <w:tabs>
                <w:tab w:val="left" w:pos="210"/>
              </w:tabs>
              <w:snapToGrid w:val="0"/>
              <w:spacing w:line="360" w:lineRule="auto"/>
              <w:jc w:val="left"/>
              <w:rPr>
                <w:rFonts w:ascii="宋体" w:hAnsi="宋体" w:cs="宋体"/>
                <w:color w:val="auto"/>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54F56D2C">
            <w:pPr>
              <w:tabs>
                <w:tab w:val="left" w:pos="210"/>
              </w:tabs>
              <w:spacing w:line="360" w:lineRule="auto"/>
              <w:jc w:val="left"/>
              <w:rPr>
                <w:rFonts w:ascii="宋体" w:hAnsi="宋体" w:cs="宋体"/>
                <w:color w:val="auto"/>
                <w:kern w:val="0"/>
                <w:szCs w:val="21"/>
                <w:highlight w:val="none"/>
              </w:rPr>
            </w:pPr>
            <w:r>
              <w:rPr>
                <w:rFonts w:ascii="宋体" w:hAnsi="宋体" w:cs="宋体"/>
                <w:color w:val="auto"/>
                <w:kern w:val="0"/>
                <w:szCs w:val="21"/>
                <w:highlight w:val="none"/>
              </w:rPr>
              <w:t>性别</w:t>
            </w:r>
          </w:p>
        </w:tc>
        <w:tc>
          <w:tcPr>
            <w:tcW w:w="1741" w:type="dxa"/>
            <w:tcBorders>
              <w:top w:val="single" w:color="000000" w:sz="4" w:space="0"/>
              <w:left w:val="single" w:color="000000" w:sz="4" w:space="0"/>
              <w:bottom w:val="single" w:color="000000" w:sz="4" w:space="0"/>
              <w:right w:val="single" w:color="000000" w:sz="4" w:space="0"/>
            </w:tcBorders>
            <w:vAlign w:val="center"/>
          </w:tcPr>
          <w:p w14:paraId="7EEEA3BD">
            <w:pPr>
              <w:tabs>
                <w:tab w:val="left" w:pos="210"/>
              </w:tabs>
              <w:snapToGrid w:val="0"/>
              <w:spacing w:line="360" w:lineRule="auto"/>
              <w:jc w:val="left"/>
              <w:rPr>
                <w:rFonts w:ascii="宋体" w:hAnsi="宋体" w:cs="宋体"/>
                <w:color w:val="auto"/>
                <w:kern w:val="0"/>
                <w:szCs w:val="21"/>
                <w:highlight w:val="none"/>
              </w:rPr>
            </w:pPr>
          </w:p>
        </w:tc>
      </w:tr>
      <w:tr w14:paraId="6BF85A61">
        <w:tblPrEx>
          <w:tblCellMar>
            <w:top w:w="0" w:type="dxa"/>
            <w:left w:w="108" w:type="dxa"/>
            <w:bottom w:w="0" w:type="dxa"/>
            <w:right w:w="108" w:type="dxa"/>
          </w:tblCellMar>
        </w:tblPrEx>
        <w:trPr>
          <w:trHeight w:val="56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7F3D8B72">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1FABFD61">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职务</w:t>
            </w:r>
          </w:p>
        </w:tc>
        <w:tc>
          <w:tcPr>
            <w:tcW w:w="2340" w:type="dxa"/>
            <w:tcBorders>
              <w:top w:val="single" w:color="000000" w:sz="4" w:space="0"/>
              <w:left w:val="single" w:color="000000" w:sz="4" w:space="0"/>
              <w:bottom w:val="single" w:color="000000" w:sz="4" w:space="0"/>
              <w:right w:val="single" w:color="000000" w:sz="4" w:space="0"/>
            </w:tcBorders>
            <w:vAlign w:val="center"/>
          </w:tcPr>
          <w:p w14:paraId="0C92C887">
            <w:pPr>
              <w:tabs>
                <w:tab w:val="left" w:pos="210"/>
              </w:tabs>
              <w:snapToGrid w:val="0"/>
              <w:spacing w:line="360" w:lineRule="auto"/>
              <w:jc w:val="left"/>
              <w:rPr>
                <w:rFonts w:ascii="宋体" w:hAnsi="宋体" w:cs="宋体"/>
                <w:color w:val="auto"/>
                <w:kern w:val="0"/>
                <w:szCs w:val="21"/>
                <w:highlight w:val="none"/>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0B6153C1">
            <w:pPr>
              <w:tabs>
                <w:tab w:val="left" w:pos="210"/>
              </w:tabs>
              <w:spacing w:line="360" w:lineRule="auto"/>
              <w:jc w:val="left"/>
              <w:rPr>
                <w:rFonts w:ascii="宋体" w:hAnsi="宋体" w:cs="宋体"/>
                <w:color w:val="auto"/>
                <w:kern w:val="0"/>
                <w:szCs w:val="21"/>
                <w:highlight w:val="none"/>
              </w:rPr>
            </w:pPr>
            <w:r>
              <w:rPr>
                <w:rFonts w:ascii="宋体" w:hAnsi="宋体" w:cs="宋体"/>
                <w:color w:val="auto"/>
                <w:kern w:val="0"/>
                <w:szCs w:val="21"/>
                <w:highlight w:val="none"/>
              </w:rPr>
              <w:t>联系电话</w:t>
            </w:r>
          </w:p>
        </w:tc>
        <w:tc>
          <w:tcPr>
            <w:tcW w:w="1741" w:type="dxa"/>
            <w:tcBorders>
              <w:top w:val="single" w:color="000000" w:sz="4" w:space="0"/>
              <w:left w:val="single" w:color="000000" w:sz="4" w:space="0"/>
              <w:bottom w:val="single" w:color="000000" w:sz="4" w:space="0"/>
              <w:right w:val="single" w:color="000000" w:sz="4" w:space="0"/>
            </w:tcBorders>
            <w:vAlign w:val="center"/>
          </w:tcPr>
          <w:p w14:paraId="522DA285">
            <w:pPr>
              <w:tabs>
                <w:tab w:val="left" w:pos="210"/>
              </w:tabs>
              <w:snapToGrid w:val="0"/>
              <w:spacing w:line="360" w:lineRule="auto"/>
              <w:jc w:val="left"/>
              <w:rPr>
                <w:rFonts w:ascii="宋体" w:hAnsi="宋体" w:cs="宋体"/>
                <w:color w:val="auto"/>
                <w:kern w:val="0"/>
                <w:szCs w:val="21"/>
                <w:highlight w:val="none"/>
              </w:rPr>
            </w:pPr>
          </w:p>
        </w:tc>
      </w:tr>
      <w:tr w14:paraId="0A3CFE90">
        <w:tblPrEx>
          <w:tblCellMar>
            <w:top w:w="0" w:type="dxa"/>
            <w:left w:w="108" w:type="dxa"/>
            <w:bottom w:w="0" w:type="dxa"/>
            <w:right w:w="108" w:type="dxa"/>
          </w:tblCellMar>
        </w:tblPrEx>
        <w:trPr>
          <w:trHeight w:val="1149" w:hRule="atLeast"/>
          <w:jc w:val="center"/>
        </w:trPr>
        <w:tc>
          <w:tcPr>
            <w:tcW w:w="594" w:type="dxa"/>
            <w:vMerge w:val="continue"/>
            <w:tcBorders>
              <w:top w:val="single" w:color="000000" w:sz="4" w:space="0"/>
              <w:left w:val="single" w:color="000000" w:sz="4" w:space="0"/>
              <w:bottom w:val="single" w:color="000000" w:sz="4" w:space="0"/>
              <w:right w:val="single" w:color="000000" w:sz="4" w:space="0"/>
            </w:tcBorders>
            <w:vAlign w:val="center"/>
          </w:tcPr>
          <w:p w14:paraId="55E33478">
            <w:pPr>
              <w:tabs>
                <w:tab w:val="left" w:pos="210"/>
              </w:tabs>
              <w:snapToGrid w:val="0"/>
              <w:spacing w:line="360" w:lineRule="auto"/>
              <w:jc w:val="center"/>
              <w:rPr>
                <w:rFonts w:ascii="宋体" w:hAnsi="宋体" w:cs="宋体"/>
                <w:color w:val="auto"/>
                <w:kern w:val="0"/>
                <w:szCs w:val="21"/>
                <w:highlight w:val="none"/>
              </w:rPr>
            </w:pPr>
          </w:p>
        </w:tc>
        <w:tc>
          <w:tcPr>
            <w:tcW w:w="2160" w:type="dxa"/>
            <w:tcBorders>
              <w:top w:val="single" w:color="000000" w:sz="4" w:space="0"/>
              <w:left w:val="single" w:color="000000" w:sz="4" w:space="0"/>
              <w:bottom w:val="single" w:color="000000" w:sz="4" w:space="0"/>
              <w:right w:val="single" w:color="000000" w:sz="4" w:space="0"/>
            </w:tcBorders>
            <w:vAlign w:val="center"/>
          </w:tcPr>
          <w:p w14:paraId="01C5C229">
            <w:pPr>
              <w:tabs>
                <w:tab w:val="left" w:pos="210"/>
              </w:tabs>
              <w:spacing w:line="360" w:lineRule="auto"/>
              <w:rPr>
                <w:rFonts w:ascii="宋体" w:hAnsi="宋体" w:cs="宋体"/>
                <w:color w:val="auto"/>
                <w:kern w:val="0"/>
                <w:szCs w:val="21"/>
                <w:highlight w:val="none"/>
              </w:rPr>
            </w:pPr>
            <w:r>
              <w:rPr>
                <w:rFonts w:ascii="宋体" w:hAnsi="宋体" w:cs="宋体"/>
                <w:color w:val="auto"/>
                <w:kern w:val="0"/>
                <w:szCs w:val="21"/>
                <w:highlight w:val="none"/>
              </w:rPr>
              <w:t>传真</w:t>
            </w:r>
          </w:p>
        </w:tc>
        <w:tc>
          <w:tcPr>
            <w:tcW w:w="6237" w:type="dxa"/>
            <w:gridSpan w:val="3"/>
            <w:tcBorders>
              <w:top w:val="single" w:color="000000" w:sz="4" w:space="0"/>
              <w:left w:val="single" w:color="000000" w:sz="4" w:space="0"/>
              <w:bottom w:val="single" w:color="000000" w:sz="4" w:space="0"/>
              <w:right w:val="single" w:color="000000" w:sz="4" w:space="0"/>
            </w:tcBorders>
            <w:vAlign w:val="center"/>
          </w:tcPr>
          <w:p w14:paraId="2207E5AD">
            <w:pPr>
              <w:tabs>
                <w:tab w:val="left" w:pos="210"/>
              </w:tabs>
              <w:snapToGrid w:val="0"/>
              <w:spacing w:line="360" w:lineRule="auto"/>
              <w:jc w:val="left"/>
              <w:rPr>
                <w:rFonts w:ascii="宋体" w:hAnsi="宋体" w:cs="宋体"/>
                <w:color w:val="auto"/>
                <w:kern w:val="0"/>
                <w:szCs w:val="21"/>
                <w:highlight w:val="none"/>
              </w:rPr>
            </w:pPr>
          </w:p>
        </w:tc>
      </w:tr>
      <w:tr w14:paraId="1EC56421">
        <w:tblPrEx>
          <w:tblCellMar>
            <w:top w:w="0" w:type="dxa"/>
            <w:left w:w="108" w:type="dxa"/>
            <w:bottom w:w="0" w:type="dxa"/>
            <w:right w:w="108" w:type="dxa"/>
          </w:tblCellMar>
        </w:tblPrEx>
        <w:trPr>
          <w:trHeight w:val="5243" w:hRule="atLeast"/>
          <w:jc w:val="center"/>
        </w:trPr>
        <w:tc>
          <w:tcPr>
            <w:tcW w:w="594" w:type="dxa"/>
            <w:tcBorders>
              <w:top w:val="single" w:color="000000" w:sz="4" w:space="0"/>
              <w:left w:val="single" w:color="000000" w:sz="4" w:space="0"/>
              <w:bottom w:val="single" w:color="000000" w:sz="4" w:space="0"/>
              <w:right w:val="single" w:color="000000" w:sz="4" w:space="0"/>
            </w:tcBorders>
            <w:vAlign w:val="center"/>
          </w:tcPr>
          <w:p w14:paraId="2AC02737">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法</w:t>
            </w:r>
          </w:p>
          <w:p w14:paraId="089457D3">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定</w:t>
            </w:r>
          </w:p>
          <w:p w14:paraId="20A98C5A">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代</w:t>
            </w:r>
          </w:p>
          <w:p w14:paraId="3BDE7885">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表</w:t>
            </w:r>
          </w:p>
          <w:p w14:paraId="37F3DD7A">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人</w:t>
            </w:r>
          </w:p>
          <w:p w14:paraId="054A190A">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身</w:t>
            </w:r>
          </w:p>
          <w:p w14:paraId="68C73BF7">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份</w:t>
            </w:r>
          </w:p>
          <w:p w14:paraId="58AFA10F">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证</w:t>
            </w:r>
          </w:p>
          <w:p w14:paraId="600D61D0">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复</w:t>
            </w:r>
          </w:p>
          <w:p w14:paraId="070EE86E">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印</w:t>
            </w:r>
          </w:p>
          <w:p w14:paraId="09812803">
            <w:pPr>
              <w:tabs>
                <w:tab w:val="left" w:pos="210"/>
              </w:tabs>
              <w:spacing w:line="360" w:lineRule="auto"/>
              <w:jc w:val="center"/>
              <w:rPr>
                <w:rFonts w:ascii="宋体" w:hAnsi="宋体" w:cs="宋体"/>
                <w:color w:val="auto"/>
                <w:kern w:val="0"/>
                <w:szCs w:val="21"/>
                <w:highlight w:val="none"/>
              </w:rPr>
            </w:pPr>
            <w:r>
              <w:rPr>
                <w:rFonts w:ascii="宋体" w:hAnsi="宋体" w:cs="宋体"/>
                <w:color w:val="auto"/>
                <w:kern w:val="0"/>
                <w:szCs w:val="21"/>
                <w:highlight w:val="none"/>
              </w:rPr>
              <w:t>件</w:t>
            </w:r>
          </w:p>
        </w:tc>
        <w:tc>
          <w:tcPr>
            <w:tcW w:w="8397" w:type="dxa"/>
            <w:gridSpan w:val="4"/>
            <w:tcBorders>
              <w:top w:val="single" w:color="000000" w:sz="4" w:space="0"/>
              <w:left w:val="single" w:color="000000" w:sz="4" w:space="0"/>
              <w:bottom w:val="single" w:color="000000" w:sz="4" w:space="0"/>
              <w:right w:val="single" w:color="000000" w:sz="4" w:space="0"/>
            </w:tcBorders>
            <w:vAlign w:val="center"/>
          </w:tcPr>
          <w:p w14:paraId="2D76F482">
            <w:pPr>
              <w:tabs>
                <w:tab w:val="left" w:pos="210"/>
              </w:tabs>
              <w:spacing w:line="360" w:lineRule="auto"/>
              <w:jc w:val="left"/>
              <w:rPr>
                <w:rFonts w:ascii="宋体" w:hAnsi="宋体" w:cs="宋体"/>
                <w:color w:val="auto"/>
                <w:kern w:val="0"/>
                <w:szCs w:val="21"/>
                <w:highlight w:val="none"/>
              </w:rPr>
            </w:pPr>
            <w:r>
              <w:rPr>
                <w:rFonts w:ascii="宋体" w:hAnsi="宋体" w:cs="宋体"/>
                <w:color w:val="auto"/>
                <w:kern w:val="0"/>
                <w:szCs w:val="21"/>
                <w:highlight w:val="none"/>
              </w:rPr>
              <w:t>（正反面）</w:t>
            </w:r>
          </w:p>
          <w:p w14:paraId="27CB1A3F">
            <w:pPr>
              <w:tabs>
                <w:tab w:val="left" w:pos="210"/>
              </w:tabs>
              <w:spacing w:line="360" w:lineRule="auto"/>
              <w:jc w:val="left"/>
              <w:rPr>
                <w:rFonts w:ascii="宋体" w:hAnsi="宋体" w:cs="宋体"/>
                <w:color w:val="auto"/>
                <w:kern w:val="0"/>
                <w:szCs w:val="21"/>
                <w:highlight w:val="none"/>
              </w:rPr>
            </w:pPr>
          </w:p>
          <w:p w14:paraId="1E6ACCEE">
            <w:pPr>
              <w:tabs>
                <w:tab w:val="left" w:pos="210"/>
              </w:tabs>
              <w:spacing w:line="360" w:lineRule="auto"/>
              <w:jc w:val="left"/>
              <w:rPr>
                <w:rFonts w:ascii="宋体" w:hAnsi="宋体" w:cs="宋体"/>
                <w:color w:val="auto"/>
                <w:kern w:val="0"/>
                <w:szCs w:val="21"/>
                <w:highlight w:val="none"/>
              </w:rPr>
            </w:pPr>
          </w:p>
          <w:p w14:paraId="246DCB5A">
            <w:pPr>
              <w:tabs>
                <w:tab w:val="left" w:pos="210"/>
              </w:tabs>
              <w:spacing w:line="360" w:lineRule="auto"/>
              <w:jc w:val="left"/>
              <w:rPr>
                <w:rFonts w:ascii="宋体" w:hAnsi="宋体" w:cs="宋体"/>
                <w:color w:val="auto"/>
                <w:kern w:val="0"/>
                <w:szCs w:val="21"/>
                <w:highlight w:val="none"/>
              </w:rPr>
            </w:pPr>
          </w:p>
          <w:p w14:paraId="19834A7C">
            <w:pPr>
              <w:tabs>
                <w:tab w:val="left" w:pos="210"/>
              </w:tabs>
              <w:spacing w:line="360" w:lineRule="auto"/>
              <w:jc w:val="left"/>
              <w:rPr>
                <w:rFonts w:ascii="宋体" w:hAnsi="宋体" w:cs="宋体"/>
                <w:color w:val="auto"/>
                <w:kern w:val="0"/>
                <w:szCs w:val="21"/>
                <w:highlight w:val="none"/>
              </w:rPr>
            </w:pPr>
          </w:p>
          <w:p w14:paraId="5DEBF9F4">
            <w:pPr>
              <w:snapToGrid w:val="0"/>
              <w:spacing w:line="480" w:lineRule="auto"/>
              <w:jc w:val="right"/>
              <w:rPr>
                <w:rFonts w:ascii="宋体" w:hAnsi="宋体" w:cs="宋体"/>
                <w:color w:val="auto"/>
                <w:kern w:val="0"/>
                <w:szCs w:val="21"/>
                <w:highlight w:val="none"/>
              </w:rPr>
            </w:pPr>
          </w:p>
        </w:tc>
      </w:tr>
    </w:tbl>
    <w:p w14:paraId="1ADD8157">
      <w:pPr>
        <w:jc w:val="center"/>
        <w:rPr>
          <w:color w:val="auto"/>
          <w:sz w:val="28"/>
          <w:szCs w:val="32"/>
          <w:highlight w:val="none"/>
        </w:rPr>
        <w:sectPr>
          <w:headerReference r:id="rId28" w:type="default"/>
          <w:footerReference r:id="rId29" w:type="default"/>
          <w:pgSz w:w="11906" w:h="16838"/>
          <w:pgMar w:top="1440" w:right="1803" w:bottom="1440" w:left="1803" w:header="851" w:footer="992" w:gutter="0"/>
          <w:pgNumType w:fmt="decimal"/>
          <w:cols w:space="720" w:num="1"/>
          <w:formProt w:val="0"/>
          <w:docGrid w:type="lines" w:linePitch="319" w:charSpace="0"/>
        </w:sectPr>
      </w:pPr>
    </w:p>
    <w:p w14:paraId="1EBD1C69">
      <w:pPr>
        <w:pStyle w:val="42"/>
        <w:spacing w:line="500" w:lineRule="exact"/>
        <w:jc w:val="center"/>
        <w:rPr>
          <w:rFonts w:cs="宋体"/>
          <w:color w:val="auto"/>
          <w:sz w:val="24"/>
          <w:szCs w:val="24"/>
          <w:highlight w:val="none"/>
        </w:rPr>
      </w:pPr>
      <w:r>
        <w:rPr>
          <w:rFonts w:hint="eastAsia" w:cs="宋体"/>
          <w:b/>
          <w:color w:val="auto"/>
          <w:sz w:val="24"/>
          <w:szCs w:val="24"/>
          <w:highlight w:val="none"/>
        </w:rPr>
        <w:t>7</w:t>
      </w:r>
      <w:r>
        <w:rPr>
          <w:rFonts w:cs="宋体"/>
          <w:b/>
          <w:color w:val="auto"/>
          <w:sz w:val="24"/>
          <w:szCs w:val="24"/>
          <w:highlight w:val="none"/>
        </w:rPr>
        <w:t>-2法定代表人授权书</w:t>
      </w:r>
      <w:r>
        <w:rPr>
          <w:rFonts w:ascii="Times New Roman" w:hAnsi="Times New Roman" w:cs="宋体"/>
          <w:b/>
          <w:color w:val="auto"/>
          <w:sz w:val="24"/>
          <w:szCs w:val="24"/>
          <w:highlight w:val="none"/>
        </w:rPr>
        <w:t>（被授权人参加</w:t>
      </w:r>
      <w:r>
        <w:rPr>
          <w:rFonts w:hint="eastAsia" w:ascii="Times New Roman" w:hAnsi="Times New Roman" w:cs="宋体"/>
          <w:b/>
          <w:color w:val="auto"/>
          <w:sz w:val="24"/>
          <w:szCs w:val="24"/>
          <w:highlight w:val="none"/>
        </w:rPr>
        <w:t>磋商</w:t>
      </w:r>
      <w:r>
        <w:rPr>
          <w:rFonts w:ascii="Times New Roman" w:hAnsi="Times New Roman" w:cs="宋体"/>
          <w:b/>
          <w:color w:val="auto"/>
          <w:sz w:val="24"/>
          <w:szCs w:val="24"/>
          <w:highlight w:val="none"/>
        </w:rPr>
        <w:t>时提供）</w:t>
      </w:r>
    </w:p>
    <w:p w14:paraId="5E3B6A44">
      <w:pPr>
        <w:pStyle w:val="42"/>
        <w:spacing w:line="360" w:lineRule="auto"/>
        <w:jc w:val="left"/>
        <w:rPr>
          <w:rFonts w:cs="宋体"/>
          <w:color w:val="auto"/>
          <w:sz w:val="24"/>
          <w:szCs w:val="24"/>
          <w:highlight w:val="none"/>
        </w:rPr>
      </w:pPr>
      <w:r>
        <w:rPr>
          <w:rFonts w:cs="宋体"/>
          <w:color w:val="auto"/>
          <w:sz w:val="24"/>
          <w:szCs w:val="24"/>
          <w:highlight w:val="none"/>
        </w:rPr>
        <w:t>陕西卓佲项目管理有限公司：</w:t>
      </w:r>
    </w:p>
    <w:p w14:paraId="44146A6A">
      <w:pPr>
        <w:tabs>
          <w:tab w:val="left" w:pos="8820"/>
        </w:tabs>
        <w:spacing w:line="360" w:lineRule="auto"/>
        <w:ind w:firstLine="480" w:firstLineChars="200"/>
        <w:rPr>
          <w:rFonts w:ascii="宋体" w:hAnsi="宋体" w:cs="宋体"/>
          <w:color w:val="auto"/>
          <w:sz w:val="24"/>
          <w:highlight w:val="none"/>
          <w:u w:val="single"/>
        </w:rPr>
      </w:pPr>
      <w:r>
        <w:rPr>
          <w:rFonts w:ascii="宋体" w:hAnsi="宋体" w:cs="宋体"/>
          <w:color w:val="auto"/>
          <w:sz w:val="24"/>
          <w:highlight w:val="none"/>
        </w:rPr>
        <w:t>本授权委托书声明：我</w:t>
      </w:r>
      <w:r>
        <w:rPr>
          <w:rFonts w:ascii="宋体" w:hAnsi="宋体" w:cs="宋体"/>
          <w:color w:val="auto"/>
          <w:sz w:val="24"/>
          <w:highlight w:val="none"/>
          <w:u w:val="single"/>
        </w:rPr>
        <w:t xml:space="preserve">（法定代表人姓名）   </w:t>
      </w:r>
      <w:r>
        <w:rPr>
          <w:rFonts w:ascii="宋体" w:hAnsi="宋体" w:cs="宋体"/>
          <w:color w:val="auto"/>
          <w:sz w:val="24"/>
          <w:highlight w:val="none"/>
        </w:rPr>
        <w:t>系注册于</w:t>
      </w:r>
      <w:r>
        <w:rPr>
          <w:rFonts w:ascii="宋体" w:hAnsi="宋体" w:cs="宋体"/>
          <w:color w:val="auto"/>
          <w:sz w:val="24"/>
          <w:highlight w:val="none"/>
          <w:u w:val="single"/>
        </w:rPr>
        <w:t xml:space="preserve">  （供应商地址）     </w:t>
      </w:r>
      <w:r>
        <w:rPr>
          <w:rFonts w:ascii="宋体" w:hAnsi="宋体" w:cs="宋体"/>
          <w:color w:val="auto"/>
          <w:sz w:val="24"/>
          <w:highlight w:val="none"/>
        </w:rPr>
        <w:t>的</w:t>
      </w:r>
      <w:r>
        <w:rPr>
          <w:rFonts w:ascii="宋体" w:hAnsi="宋体" w:cs="宋体"/>
          <w:color w:val="auto"/>
          <w:sz w:val="24"/>
          <w:highlight w:val="none"/>
          <w:u w:val="single"/>
        </w:rPr>
        <w:t xml:space="preserve">（供应商名称）  </w:t>
      </w:r>
      <w:r>
        <w:rPr>
          <w:rFonts w:ascii="宋体" w:hAnsi="宋体" w:cs="宋体"/>
          <w:color w:val="auto"/>
          <w:sz w:val="24"/>
          <w:highlight w:val="none"/>
        </w:rPr>
        <w:t>的法定代表人，现代表公司授权</w:t>
      </w:r>
      <w:r>
        <w:rPr>
          <w:rFonts w:ascii="宋体" w:hAnsi="宋体" w:cs="宋体"/>
          <w:color w:val="auto"/>
          <w:sz w:val="24"/>
          <w:highlight w:val="none"/>
          <w:u w:val="single"/>
        </w:rPr>
        <w:t xml:space="preserve">（被授权人的姓名、职务）   </w:t>
      </w:r>
      <w:r>
        <w:rPr>
          <w:rFonts w:ascii="宋体" w:hAnsi="宋体" w:cs="宋体"/>
          <w:color w:val="auto"/>
          <w:sz w:val="24"/>
          <w:highlight w:val="none"/>
        </w:rPr>
        <w:t>为我公司合法代理人，代表本公司参加</w:t>
      </w:r>
      <w:r>
        <w:rPr>
          <w:rFonts w:ascii="宋体" w:hAnsi="宋体" w:cs="宋体"/>
          <w:color w:val="auto"/>
          <w:sz w:val="24"/>
          <w:highlight w:val="none"/>
          <w:u w:val="single"/>
        </w:rPr>
        <w:t xml:space="preserve">  （项目名称） （项目编号）   </w:t>
      </w:r>
      <w:r>
        <w:rPr>
          <w:rFonts w:ascii="宋体" w:hAnsi="宋体" w:cs="宋体"/>
          <w:color w:val="auto"/>
          <w:sz w:val="24"/>
          <w:highlight w:val="none"/>
        </w:rPr>
        <w:t>的采购活动。以我方名义全权处理该项目有关响应、签订合同以及执行合同等一切事宜。</w:t>
      </w:r>
    </w:p>
    <w:p w14:paraId="3F541E2B">
      <w:pPr>
        <w:spacing w:line="360" w:lineRule="auto"/>
        <w:ind w:firstLine="480" w:firstLineChars="200"/>
        <w:rPr>
          <w:rFonts w:ascii="宋体" w:hAnsi="宋体" w:cs="宋体"/>
          <w:color w:val="auto"/>
          <w:sz w:val="24"/>
          <w:szCs w:val="24"/>
          <w:highlight w:val="none"/>
        </w:rPr>
      </w:pPr>
      <w:r>
        <w:rPr>
          <w:rFonts w:ascii="宋体" w:hAnsi="宋体" w:cs="宋体"/>
          <w:color w:val="auto"/>
          <w:sz w:val="24"/>
          <w:highlight w:val="none"/>
        </w:rPr>
        <w:t>本授权书自响应文件递交截止之日生效，有效期与响应有效期一致，特此声明。</w:t>
      </w:r>
    </w:p>
    <w:p w14:paraId="63F236C9">
      <w:pPr>
        <w:pStyle w:val="42"/>
        <w:spacing w:line="360" w:lineRule="auto"/>
        <w:ind w:firstLine="480" w:firstLineChars="200"/>
        <w:jc w:val="left"/>
        <w:rPr>
          <w:rFonts w:hint="default" w:eastAsia="宋体" w:cs="宋体"/>
          <w:color w:val="auto"/>
          <w:sz w:val="24"/>
          <w:szCs w:val="24"/>
          <w:highlight w:val="none"/>
          <w:lang w:val="en-US" w:eastAsia="zh-CN"/>
        </w:rPr>
      </w:pPr>
      <w:r>
        <w:rPr>
          <w:rFonts w:cs="宋体"/>
          <w:color w:val="auto"/>
          <w:sz w:val="24"/>
          <w:szCs w:val="24"/>
          <w:highlight w:val="none"/>
        </w:rPr>
        <w:t>供应商（单位名称及公章）：</w:t>
      </w:r>
      <w:r>
        <w:rPr>
          <w:rFonts w:hint="eastAsia" w:cs="宋体"/>
          <w:color w:val="auto"/>
          <w:sz w:val="24"/>
          <w:szCs w:val="24"/>
          <w:highlight w:val="none"/>
          <w:lang w:val="en-US" w:eastAsia="zh-CN"/>
        </w:rPr>
        <w:t>______________________</w:t>
      </w:r>
    </w:p>
    <w:p w14:paraId="3A484BF5">
      <w:pPr>
        <w:pStyle w:val="42"/>
        <w:spacing w:line="360" w:lineRule="auto"/>
        <w:ind w:firstLine="480" w:firstLineChars="200"/>
        <w:jc w:val="left"/>
        <w:rPr>
          <w:rFonts w:cs="宋体"/>
          <w:color w:val="auto"/>
          <w:sz w:val="24"/>
          <w:szCs w:val="24"/>
          <w:highlight w:val="none"/>
        </w:rPr>
      </w:pPr>
      <w:r>
        <w:rPr>
          <w:rFonts w:cs="宋体"/>
          <w:color w:val="auto"/>
          <w:sz w:val="24"/>
          <w:szCs w:val="24"/>
          <w:highlight w:val="none"/>
        </w:rPr>
        <w:t>法定代表人（签字或盖章）：</w:t>
      </w:r>
      <w:r>
        <w:rPr>
          <w:rFonts w:hint="eastAsia" w:cs="宋体"/>
          <w:color w:val="auto"/>
          <w:sz w:val="24"/>
          <w:szCs w:val="24"/>
          <w:highlight w:val="none"/>
          <w:lang w:val="en-US" w:eastAsia="zh-CN"/>
        </w:rPr>
        <w:t>______________________</w:t>
      </w:r>
    </w:p>
    <w:p w14:paraId="6FCC64F7">
      <w:pPr>
        <w:pStyle w:val="42"/>
        <w:spacing w:line="360" w:lineRule="auto"/>
        <w:ind w:firstLine="480" w:firstLineChars="200"/>
        <w:jc w:val="left"/>
        <w:rPr>
          <w:rFonts w:cs="宋体"/>
          <w:color w:val="auto"/>
          <w:sz w:val="24"/>
          <w:szCs w:val="24"/>
          <w:highlight w:val="none"/>
          <w:u w:val="single"/>
        </w:rPr>
      </w:pPr>
      <w:r>
        <w:rPr>
          <w:rFonts w:cs="宋体"/>
          <w:color w:val="auto"/>
          <w:sz w:val="24"/>
          <w:szCs w:val="24"/>
          <w:highlight w:val="none"/>
        </w:rPr>
        <w:t>被授权人：</w:t>
      </w:r>
      <w:r>
        <w:rPr>
          <w:rFonts w:hint="eastAsia" w:cs="宋体"/>
          <w:color w:val="auto"/>
          <w:sz w:val="24"/>
          <w:szCs w:val="24"/>
          <w:highlight w:val="none"/>
          <w:lang w:val="en-US" w:eastAsia="zh-CN"/>
        </w:rPr>
        <w:t>___________</w:t>
      </w:r>
      <w:r>
        <w:rPr>
          <w:rFonts w:cs="宋体"/>
          <w:color w:val="auto"/>
          <w:sz w:val="24"/>
          <w:szCs w:val="24"/>
          <w:highlight w:val="none"/>
        </w:rPr>
        <w:t>性别：</w:t>
      </w:r>
      <w:r>
        <w:rPr>
          <w:rFonts w:hint="eastAsia" w:cs="宋体"/>
          <w:color w:val="auto"/>
          <w:sz w:val="24"/>
          <w:szCs w:val="24"/>
          <w:highlight w:val="none"/>
          <w:lang w:val="en-US" w:eastAsia="zh-CN"/>
        </w:rPr>
        <w:t>_______________</w:t>
      </w:r>
      <w:r>
        <w:rPr>
          <w:rFonts w:cs="宋体"/>
          <w:color w:val="auto"/>
          <w:sz w:val="24"/>
          <w:szCs w:val="24"/>
          <w:highlight w:val="none"/>
        </w:rPr>
        <w:t>职务：</w:t>
      </w:r>
      <w:r>
        <w:rPr>
          <w:rFonts w:hint="eastAsia" w:cs="宋体"/>
          <w:color w:val="auto"/>
          <w:sz w:val="24"/>
          <w:szCs w:val="24"/>
          <w:highlight w:val="none"/>
          <w:lang w:val="en-US" w:eastAsia="zh-CN"/>
        </w:rPr>
        <w:t>________________</w:t>
      </w:r>
    </w:p>
    <w:p w14:paraId="5A3B45E7">
      <w:pPr>
        <w:pStyle w:val="42"/>
        <w:spacing w:line="360" w:lineRule="auto"/>
        <w:ind w:firstLine="480" w:firstLineChars="200"/>
        <w:jc w:val="left"/>
        <w:rPr>
          <w:rFonts w:cs="宋体"/>
          <w:color w:val="auto"/>
          <w:sz w:val="24"/>
          <w:szCs w:val="24"/>
          <w:highlight w:val="none"/>
          <w:u w:val="single"/>
        </w:rPr>
      </w:pPr>
      <w:r>
        <w:rPr>
          <w:rFonts w:cs="宋体"/>
          <w:color w:val="auto"/>
          <w:sz w:val="24"/>
          <w:szCs w:val="24"/>
          <w:highlight w:val="none"/>
        </w:rPr>
        <w:t>联系地址：</w:t>
      </w:r>
      <w:r>
        <w:rPr>
          <w:rFonts w:hint="eastAsia" w:cs="宋体"/>
          <w:color w:val="auto"/>
          <w:sz w:val="24"/>
          <w:szCs w:val="24"/>
          <w:highlight w:val="none"/>
          <w:lang w:val="en-US" w:eastAsia="zh-CN"/>
        </w:rPr>
        <w:t>______________________</w:t>
      </w:r>
    </w:p>
    <w:p w14:paraId="670B9978">
      <w:pPr>
        <w:pStyle w:val="42"/>
        <w:spacing w:line="360" w:lineRule="auto"/>
        <w:ind w:firstLine="480" w:firstLineChars="200"/>
        <w:jc w:val="left"/>
        <w:rPr>
          <w:rFonts w:cs="宋体"/>
          <w:color w:val="auto"/>
          <w:sz w:val="24"/>
          <w:szCs w:val="24"/>
          <w:highlight w:val="none"/>
          <w:u w:val="single"/>
        </w:rPr>
      </w:pPr>
      <w:r>
        <w:rPr>
          <w:rFonts w:cs="宋体"/>
          <w:color w:val="auto"/>
          <w:sz w:val="24"/>
          <w:szCs w:val="24"/>
          <w:highlight w:val="none"/>
        </w:rPr>
        <w:t>联系电话：</w:t>
      </w:r>
      <w:r>
        <w:rPr>
          <w:rFonts w:hint="eastAsia" w:cs="宋体"/>
          <w:color w:val="auto"/>
          <w:sz w:val="24"/>
          <w:szCs w:val="24"/>
          <w:highlight w:val="none"/>
          <w:lang w:val="en-US" w:eastAsia="zh-CN"/>
        </w:rPr>
        <w:t>______________________</w:t>
      </w:r>
    </w:p>
    <w:p w14:paraId="5BF83CF1">
      <w:pPr>
        <w:pStyle w:val="42"/>
        <w:spacing w:line="500" w:lineRule="exact"/>
        <w:jc w:val="left"/>
        <w:rPr>
          <w:rFonts w:cs="宋体"/>
          <w:color w:val="auto"/>
          <w:highlight w:val="none"/>
        </w:rPr>
      </w:pPr>
      <w:r>
        <w:rPr>
          <w:rFonts w:cs="宋体"/>
          <w:color w:val="auto"/>
          <w:sz w:val="24"/>
          <w:szCs w:val="24"/>
          <w:highlight w:val="none"/>
        </w:rPr>
        <w:t>法定代表人及被授权人身份证复印件或扫描件</w:t>
      </w:r>
    </w:p>
    <w:tbl>
      <w:tblPr>
        <w:tblStyle w:val="20"/>
        <w:tblW w:w="8950" w:type="dxa"/>
        <w:tblInd w:w="270" w:type="dxa"/>
        <w:tblLayout w:type="fixed"/>
        <w:tblCellMar>
          <w:top w:w="0" w:type="dxa"/>
          <w:left w:w="108" w:type="dxa"/>
          <w:bottom w:w="0" w:type="dxa"/>
          <w:right w:w="108" w:type="dxa"/>
        </w:tblCellMar>
      </w:tblPr>
      <w:tblGrid>
        <w:gridCol w:w="4394"/>
        <w:gridCol w:w="4556"/>
      </w:tblGrid>
      <w:tr w14:paraId="4270899A">
        <w:tblPrEx>
          <w:tblCellMar>
            <w:top w:w="0" w:type="dxa"/>
            <w:left w:w="108" w:type="dxa"/>
            <w:bottom w:w="0" w:type="dxa"/>
            <w:right w:w="108" w:type="dxa"/>
          </w:tblCellMar>
        </w:tblPrEx>
        <w:trPr>
          <w:cantSplit/>
          <w:trHeight w:val="4206" w:hRule="atLeast"/>
        </w:trPr>
        <w:tc>
          <w:tcPr>
            <w:tcW w:w="4394"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83BBBA">
            <w:pPr>
              <w:pStyle w:val="42"/>
              <w:spacing w:line="500" w:lineRule="exact"/>
              <w:jc w:val="center"/>
              <w:rPr>
                <w:rFonts w:cs="宋体"/>
                <w:color w:val="auto"/>
                <w:sz w:val="24"/>
                <w:szCs w:val="24"/>
                <w:highlight w:val="none"/>
                <w:shd w:val="clear" w:color="auto" w:fill="E5E5E5"/>
              </w:rPr>
            </w:pPr>
            <w:r>
              <w:rPr>
                <w:rFonts w:cs="宋体"/>
                <w:color w:val="auto"/>
                <w:sz w:val="24"/>
                <w:szCs w:val="24"/>
                <w:highlight w:val="none"/>
                <w:shd w:val="clear" w:color="auto" w:fill="E5E5E5"/>
              </w:rPr>
              <w:t>法定代表人身份证复印件/扫描件</w:t>
            </w:r>
          </w:p>
          <w:p w14:paraId="5AFC6C3E">
            <w:pPr>
              <w:pStyle w:val="42"/>
              <w:spacing w:line="500" w:lineRule="exact"/>
              <w:jc w:val="center"/>
              <w:rPr>
                <w:rFonts w:cs="宋体"/>
                <w:color w:val="auto"/>
                <w:sz w:val="24"/>
                <w:szCs w:val="24"/>
                <w:highlight w:val="none"/>
                <w:shd w:val="clear" w:color="auto" w:fill="E5E5E5"/>
              </w:rPr>
            </w:pPr>
            <w:r>
              <w:rPr>
                <w:rFonts w:cs="宋体"/>
                <w:color w:val="auto"/>
                <w:sz w:val="24"/>
                <w:szCs w:val="24"/>
                <w:highlight w:val="none"/>
                <w:shd w:val="clear" w:color="auto" w:fill="E5E5E5"/>
              </w:rPr>
              <w:t>（正反面）</w:t>
            </w:r>
          </w:p>
          <w:p w14:paraId="2D14F754">
            <w:pPr>
              <w:pStyle w:val="42"/>
              <w:spacing w:line="500" w:lineRule="exact"/>
              <w:jc w:val="center"/>
              <w:rPr>
                <w:rFonts w:cs="宋体"/>
                <w:color w:val="auto"/>
                <w:sz w:val="24"/>
                <w:szCs w:val="24"/>
                <w:highlight w:val="none"/>
                <w:shd w:val="clear" w:color="auto" w:fill="E5E5E5"/>
              </w:rPr>
            </w:pPr>
          </w:p>
        </w:tc>
        <w:tc>
          <w:tcPr>
            <w:tcW w:w="455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E1014BF">
            <w:pPr>
              <w:pStyle w:val="42"/>
              <w:spacing w:line="500" w:lineRule="exact"/>
              <w:jc w:val="center"/>
              <w:rPr>
                <w:rFonts w:cs="宋体"/>
                <w:color w:val="auto"/>
                <w:sz w:val="24"/>
                <w:szCs w:val="24"/>
                <w:highlight w:val="none"/>
                <w:shd w:val="clear" w:color="auto" w:fill="E5E5E5"/>
              </w:rPr>
            </w:pPr>
            <w:r>
              <w:rPr>
                <w:rFonts w:cs="宋体"/>
                <w:color w:val="auto"/>
                <w:sz w:val="24"/>
                <w:szCs w:val="24"/>
                <w:highlight w:val="none"/>
                <w:shd w:val="clear" w:color="auto" w:fill="E5E5E5"/>
              </w:rPr>
              <w:t>被授权人身份证复印件/扫描件</w:t>
            </w:r>
          </w:p>
          <w:p w14:paraId="4D8D3F19">
            <w:pPr>
              <w:pStyle w:val="42"/>
              <w:spacing w:line="500" w:lineRule="exact"/>
              <w:jc w:val="center"/>
              <w:rPr>
                <w:rFonts w:cs="宋体"/>
                <w:color w:val="auto"/>
                <w:sz w:val="24"/>
                <w:szCs w:val="24"/>
                <w:highlight w:val="none"/>
                <w:shd w:val="clear" w:color="auto" w:fill="E5E5E5"/>
              </w:rPr>
            </w:pPr>
            <w:r>
              <w:rPr>
                <w:rFonts w:cs="宋体"/>
                <w:color w:val="auto"/>
                <w:sz w:val="24"/>
                <w:szCs w:val="24"/>
                <w:highlight w:val="none"/>
                <w:shd w:val="clear" w:color="auto" w:fill="E5E5E5"/>
              </w:rPr>
              <w:t>（正反面）</w:t>
            </w:r>
          </w:p>
          <w:p w14:paraId="31628E0B">
            <w:pPr>
              <w:pStyle w:val="42"/>
              <w:spacing w:line="500" w:lineRule="exact"/>
              <w:jc w:val="center"/>
              <w:rPr>
                <w:rFonts w:cs="宋体"/>
                <w:color w:val="auto"/>
                <w:sz w:val="24"/>
                <w:szCs w:val="24"/>
                <w:highlight w:val="none"/>
                <w:shd w:val="clear" w:color="auto" w:fill="E5E5E5"/>
              </w:rPr>
            </w:pPr>
          </w:p>
        </w:tc>
      </w:tr>
    </w:tbl>
    <w:p w14:paraId="79FA0F19">
      <w:pPr>
        <w:rPr>
          <w:rFonts w:cs="宋体"/>
          <w:color w:val="auto"/>
          <w:sz w:val="24"/>
          <w:szCs w:val="24"/>
          <w:highlight w:val="none"/>
        </w:rPr>
      </w:pPr>
    </w:p>
    <w:p w14:paraId="6DC409A2">
      <w:pPr>
        <w:ind w:firstLine="480" w:firstLineChars="200"/>
        <w:rPr>
          <w:rFonts w:cs="宋体"/>
          <w:color w:val="auto"/>
          <w:sz w:val="24"/>
          <w:szCs w:val="24"/>
          <w:highlight w:val="none"/>
        </w:rPr>
        <w:sectPr>
          <w:headerReference r:id="rId30" w:type="default"/>
          <w:footerReference r:id="rId31" w:type="default"/>
          <w:pgSz w:w="11906" w:h="16838"/>
          <w:pgMar w:top="1440" w:right="1803" w:bottom="1440" w:left="1803" w:header="851" w:footer="992" w:gutter="0"/>
          <w:pgNumType w:fmt="decimal"/>
          <w:cols w:space="720" w:num="1"/>
          <w:formProt w:val="0"/>
          <w:docGrid w:type="lines" w:linePitch="319" w:charSpace="0"/>
        </w:sectPr>
      </w:pPr>
      <w:r>
        <w:rPr>
          <w:rFonts w:hint="eastAsia" w:ascii="宋体" w:hAnsi="宋体" w:cs="宋体"/>
          <w:color w:val="auto"/>
          <w:sz w:val="24"/>
          <w:szCs w:val="21"/>
          <w:highlight w:val="none"/>
        </w:rPr>
        <w:t>非法定代表人参加开标的，须提供法定代表人委托授权书及被授权人2026年1月1日至今任意一个月的社会保障资金（养老保险或医疗保险）的缴纳证明及被授权人身份证，法定代表人参加开标时,只需提供法定代表人身份证</w:t>
      </w:r>
    </w:p>
    <w:p w14:paraId="7E53FFFA">
      <w:pPr>
        <w:pStyle w:val="56"/>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（8）供应商通过“信用中国”网站(www.creditchina.gov.cn)和中国政府采购网(www.ccgp.gov.cn) 查询相关主体信用记录，截止时点为采购文件发出至投标文件递交截止时间内，网页截图。对列入失信被执行人、重大税收违法案件当事人名单、政府采购严重违法失信行为记录名单的供应商，将被视为不合格供应商；</w:t>
      </w:r>
    </w:p>
    <w:p w14:paraId="0EE4AA51">
      <w:pPr>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br w:type="page"/>
      </w:r>
    </w:p>
    <w:p w14:paraId="2FC17FD4">
      <w:pPr>
        <w:numPr>
          <w:ilvl w:val="0"/>
          <w:numId w:val="0"/>
        </w:numPr>
        <w:ind w:left="0" w:leftChars="0" w:firstLine="420" w:firstLineChars="0"/>
        <w:rPr>
          <w:rFonts w:ascii="宋体" w:hAnsi="宋体" w:cs="宋体"/>
          <w:color w:val="auto"/>
          <w:sz w:val="24"/>
          <w:szCs w:val="24"/>
          <w:highlight w:val="none"/>
        </w:rPr>
      </w:pPr>
      <w:r>
        <w:rPr>
          <w:rFonts w:hint="default" w:ascii="宋体" w:hAnsi="宋体" w:eastAsia="宋体" w:cs="宋体"/>
          <w:color w:val="auto"/>
          <w:sz w:val="24"/>
          <w:szCs w:val="24"/>
          <w:highlight w:val="none"/>
        </w:rPr>
        <w:t>（9）拟派项目负责人须具备一级注册造价工程师（土建专业）资格，且在本单位注册并缴纳社保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提供2026年1月1日至今</w:t>
      </w:r>
      <w:r>
        <w:rPr>
          <w:rFonts w:hint="default" w:ascii="宋体" w:hAnsi="宋体" w:eastAsia="宋体" w:cs="宋体"/>
          <w:color w:val="auto"/>
          <w:sz w:val="24"/>
          <w:szCs w:val="24"/>
          <w:highlight w:val="none"/>
        </w:rPr>
        <w:t>任意</w:t>
      </w:r>
      <w:r>
        <w:rPr>
          <w:rFonts w:hint="eastAsia" w:ascii="宋体" w:hAnsi="宋体" w:eastAsia="宋体" w:cs="宋体"/>
          <w:color w:val="auto"/>
          <w:sz w:val="24"/>
          <w:szCs w:val="24"/>
          <w:highlight w:val="none"/>
          <w:lang w:val="en-US" w:eastAsia="zh-CN"/>
        </w:rPr>
        <w:t>一</w:t>
      </w:r>
      <w:r>
        <w:rPr>
          <w:rFonts w:hint="default" w:ascii="宋体" w:hAnsi="宋体" w:eastAsia="宋体" w:cs="宋体"/>
          <w:color w:val="auto"/>
          <w:sz w:val="24"/>
          <w:szCs w:val="24"/>
          <w:highlight w:val="none"/>
        </w:rPr>
        <w:t>个月的社会保障资金缴纳证明</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w:t>
      </w:r>
    </w:p>
    <w:p w14:paraId="43FF7736">
      <w:pPr>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320AE8AE">
      <w:pPr>
        <w:widowControl/>
        <w:spacing w:line="360" w:lineRule="auto"/>
        <w:jc w:val="center"/>
        <w:rPr>
          <w:rFonts w:ascii="宋体" w:hAnsi="宋体" w:cs="宋体"/>
          <w:color w:val="auto"/>
          <w:sz w:val="28"/>
          <w:szCs w:val="28"/>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w:t>
      </w:r>
      <w:r>
        <w:rPr>
          <w:rFonts w:ascii="宋体" w:hAnsi="宋体" w:cs="宋体"/>
          <w:color w:val="auto"/>
          <w:sz w:val="28"/>
          <w:szCs w:val="28"/>
          <w:highlight w:val="none"/>
        </w:rPr>
        <w:t>本项目不接受联合体</w:t>
      </w:r>
    </w:p>
    <w:p w14:paraId="1BC4003E">
      <w:pPr>
        <w:pStyle w:val="8"/>
        <w:ind w:left="420"/>
        <w:rPr>
          <w:rFonts w:ascii="宋体" w:hAnsi="宋体" w:cs="宋体"/>
          <w:color w:val="auto"/>
          <w:sz w:val="32"/>
          <w:szCs w:val="32"/>
          <w:highlight w:val="none"/>
        </w:rPr>
      </w:pPr>
    </w:p>
    <w:p w14:paraId="55D75079">
      <w:pPr>
        <w:pStyle w:val="45"/>
        <w:rPr>
          <w:rFonts w:ascii="宋体" w:hAnsi="宋体" w:cs="宋体"/>
          <w:color w:val="auto"/>
          <w:highlight w:val="none"/>
        </w:rPr>
      </w:pPr>
    </w:p>
    <w:p w14:paraId="40E8C8FA">
      <w:pPr>
        <w:widowControl/>
        <w:snapToGrid w:val="0"/>
        <w:spacing w:line="480" w:lineRule="auto"/>
        <w:jc w:val="left"/>
        <w:rPr>
          <w:rFonts w:ascii="宋体" w:hAnsi="宋体" w:cs="宋体"/>
          <w:color w:val="auto"/>
          <w:kern w:val="0"/>
          <w:sz w:val="24"/>
          <w:szCs w:val="24"/>
          <w:highlight w:val="none"/>
        </w:rPr>
      </w:pPr>
      <w:r>
        <w:rPr>
          <w:rFonts w:ascii="宋体" w:hAnsi="宋体" w:cs="宋体"/>
          <w:color w:val="auto"/>
          <w:kern w:val="0"/>
          <w:sz w:val="24"/>
          <w:szCs w:val="24"/>
          <w:highlight w:val="none"/>
        </w:rPr>
        <w:t>(采购人名称）_______________________：</w:t>
      </w:r>
    </w:p>
    <w:p w14:paraId="1AA91C0C">
      <w:pPr>
        <w:widowControl/>
        <w:spacing w:line="360" w:lineRule="auto"/>
        <w:ind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我单位参与陕西卓佲项目管理有限公司组织的____________________(项目名称)竞争性磋商，我单位郑重声明：我方非联合体响应，如有虚假，承担相应责任。</w:t>
      </w:r>
    </w:p>
    <w:p w14:paraId="315EB167">
      <w:pPr>
        <w:widowControl/>
        <w:spacing w:line="360" w:lineRule="auto"/>
        <w:ind w:firstLine="480" w:firstLineChars="200"/>
        <w:rPr>
          <w:rFonts w:ascii="宋体" w:hAnsi="宋体" w:cs="宋体"/>
          <w:color w:val="auto"/>
          <w:kern w:val="0"/>
          <w:sz w:val="24"/>
          <w:szCs w:val="24"/>
          <w:highlight w:val="none"/>
        </w:rPr>
      </w:pPr>
      <w:r>
        <w:rPr>
          <w:rFonts w:ascii="宋体" w:hAnsi="宋体" w:cs="宋体"/>
          <w:color w:val="auto"/>
          <w:kern w:val="0"/>
          <w:sz w:val="24"/>
          <w:szCs w:val="24"/>
          <w:highlight w:val="none"/>
        </w:rPr>
        <w:t>特此声明！</w:t>
      </w:r>
    </w:p>
    <w:p w14:paraId="489F565D">
      <w:pPr>
        <w:rPr>
          <w:rFonts w:ascii="宋体" w:hAnsi="宋体" w:cs="宋体"/>
          <w:color w:val="auto"/>
          <w:kern w:val="0"/>
          <w:sz w:val="24"/>
          <w:szCs w:val="24"/>
          <w:highlight w:val="none"/>
        </w:rPr>
      </w:pPr>
    </w:p>
    <w:p w14:paraId="49505D87">
      <w:pPr>
        <w:pStyle w:val="8"/>
        <w:rPr>
          <w:rFonts w:ascii="宋体" w:hAnsi="宋体" w:cs="宋体"/>
          <w:color w:val="auto"/>
          <w:sz w:val="24"/>
          <w:szCs w:val="24"/>
          <w:highlight w:val="none"/>
        </w:rPr>
      </w:pPr>
    </w:p>
    <w:p w14:paraId="1D01B812">
      <w:pPr>
        <w:pStyle w:val="8"/>
        <w:rPr>
          <w:rFonts w:ascii="宋体" w:hAnsi="宋体" w:cs="宋体"/>
          <w:color w:val="auto"/>
          <w:sz w:val="24"/>
          <w:szCs w:val="24"/>
          <w:highlight w:val="none"/>
        </w:rPr>
      </w:pPr>
    </w:p>
    <w:p w14:paraId="1C7E8958">
      <w:pPr>
        <w:pStyle w:val="8"/>
        <w:rPr>
          <w:rFonts w:ascii="宋体" w:hAnsi="宋体" w:cs="宋体"/>
          <w:color w:val="auto"/>
          <w:sz w:val="24"/>
          <w:szCs w:val="24"/>
          <w:highlight w:val="none"/>
        </w:rPr>
      </w:pPr>
    </w:p>
    <w:p w14:paraId="4DB974A8">
      <w:pPr>
        <w:pStyle w:val="8"/>
        <w:rPr>
          <w:rFonts w:ascii="宋体" w:hAnsi="宋体" w:cs="宋体"/>
          <w:color w:val="auto"/>
          <w:sz w:val="24"/>
          <w:szCs w:val="24"/>
          <w:highlight w:val="none"/>
        </w:rPr>
      </w:pPr>
    </w:p>
    <w:p w14:paraId="13BABBA5">
      <w:pPr>
        <w:pStyle w:val="8"/>
        <w:rPr>
          <w:rFonts w:ascii="宋体" w:hAnsi="宋体" w:cs="宋体"/>
          <w:color w:val="auto"/>
          <w:sz w:val="24"/>
          <w:szCs w:val="24"/>
          <w:highlight w:val="none"/>
        </w:rPr>
      </w:pPr>
    </w:p>
    <w:p w14:paraId="6D446118">
      <w:pPr>
        <w:pStyle w:val="8"/>
        <w:rPr>
          <w:rFonts w:ascii="宋体" w:hAnsi="宋体" w:cs="宋体"/>
          <w:color w:val="auto"/>
          <w:sz w:val="24"/>
          <w:szCs w:val="24"/>
          <w:highlight w:val="none"/>
        </w:rPr>
      </w:pPr>
    </w:p>
    <w:p w14:paraId="4C8A5D50">
      <w:pPr>
        <w:pStyle w:val="42"/>
        <w:spacing w:line="480" w:lineRule="auto"/>
        <w:jc w:val="left"/>
        <w:rPr>
          <w:rFonts w:cs="宋体"/>
          <w:color w:val="auto"/>
          <w:sz w:val="24"/>
          <w:highlight w:val="none"/>
        </w:rPr>
      </w:pPr>
      <w:r>
        <w:rPr>
          <w:rFonts w:cs="宋体"/>
          <w:color w:val="auto"/>
          <w:sz w:val="24"/>
          <w:highlight w:val="none"/>
        </w:rPr>
        <w:t>供应商（单位名称及公章）：</w:t>
      </w:r>
      <w:r>
        <w:rPr>
          <w:rFonts w:cs="宋体"/>
          <w:color w:val="auto"/>
          <w:sz w:val="28"/>
          <w:szCs w:val="28"/>
          <w:highlight w:val="none"/>
        </w:rPr>
        <w:t>______________________</w:t>
      </w:r>
    </w:p>
    <w:p w14:paraId="49DEF25C">
      <w:pPr>
        <w:pStyle w:val="42"/>
        <w:spacing w:line="480" w:lineRule="auto"/>
        <w:jc w:val="left"/>
        <w:rPr>
          <w:rFonts w:cs="宋体"/>
          <w:color w:val="auto"/>
          <w:sz w:val="24"/>
          <w:highlight w:val="none"/>
        </w:rPr>
      </w:pPr>
      <w:r>
        <w:rPr>
          <w:rFonts w:cs="宋体"/>
          <w:color w:val="auto"/>
          <w:sz w:val="24"/>
          <w:highlight w:val="none"/>
        </w:rPr>
        <w:t>法定代表人或被授权人（签字或盖章）：</w:t>
      </w:r>
      <w:r>
        <w:rPr>
          <w:rFonts w:cs="宋体"/>
          <w:color w:val="auto"/>
          <w:sz w:val="28"/>
          <w:szCs w:val="28"/>
          <w:highlight w:val="none"/>
        </w:rPr>
        <w:t>______________________</w:t>
      </w:r>
    </w:p>
    <w:p w14:paraId="67ADF03E">
      <w:pPr>
        <w:snapToGrid w:val="0"/>
        <w:spacing w:line="480" w:lineRule="auto"/>
        <w:rPr>
          <w:rFonts w:ascii="宋体" w:hAnsi="宋体" w:cs="宋体"/>
          <w:color w:val="auto"/>
          <w:sz w:val="24"/>
          <w:szCs w:val="24"/>
          <w:highlight w:val="none"/>
        </w:rPr>
        <w:sectPr>
          <w:headerReference r:id="rId32" w:type="default"/>
          <w:footerReference r:id="rId33"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kern w:val="0"/>
          <w:sz w:val="24"/>
          <w:highlight w:val="none"/>
        </w:rPr>
        <w:t>日    期：</w:t>
      </w:r>
      <w:r>
        <w:rPr>
          <w:rFonts w:ascii="宋体" w:hAnsi="宋体" w:cs="宋体"/>
          <w:color w:val="auto"/>
          <w:sz w:val="24"/>
          <w:highlight w:val="none"/>
        </w:rPr>
        <w:t>_______年________月_______日</w:t>
      </w:r>
    </w:p>
    <w:p w14:paraId="7359A996">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36"/>
          <w:szCs w:val="36"/>
          <w:highlight w:val="none"/>
        </w:rPr>
      </w:pPr>
      <w:bookmarkStart w:id="57" w:name="_Toc10561"/>
      <w:bookmarkStart w:id="58" w:name="_Toc12527"/>
      <w:bookmarkStart w:id="59" w:name="_Toc23645"/>
      <w:r>
        <w:rPr>
          <w:rFonts w:ascii="宋体" w:hAnsi="宋体" w:cs="宋体"/>
          <w:color w:val="auto"/>
          <w:sz w:val="36"/>
          <w:szCs w:val="36"/>
          <w:highlight w:val="none"/>
        </w:rPr>
        <w:t xml:space="preserve">第五部分 </w:t>
      </w:r>
      <w:bookmarkEnd w:id="57"/>
      <w:bookmarkEnd w:id="58"/>
      <w:r>
        <w:rPr>
          <w:rFonts w:hint="eastAsia" w:ascii="宋体" w:hAnsi="宋体" w:cs="宋体"/>
          <w:color w:val="auto"/>
          <w:sz w:val="36"/>
          <w:szCs w:val="36"/>
          <w:highlight w:val="none"/>
          <w:lang w:val="en-US" w:eastAsia="zh-CN"/>
        </w:rPr>
        <w:t>服务</w:t>
      </w:r>
      <w:r>
        <w:rPr>
          <w:rFonts w:hint="eastAsia" w:ascii="宋体" w:hAnsi="宋体" w:cs="宋体"/>
          <w:color w:val="auto"/>
          <w:sz w:val="36"/>
          <w:szCs w:val="36"/>
          <w:highlight w:val="none"/>
        </w:rPr>
        <w:t>方案</w:t>
      </w:r>
      <w:bookmarkEnd w:id="59"/>
    </w:p>
    <w:p w14:paraId="5A6928C3">
      <w:pPr>
        <w:pStyle w:val="57"/>
        <w:spacing w:before="4"/>
        <w:jc w:val="center"/>
        <w:outlineLvl w:val="1"/>
        <w:rPr>
          <w:rFonts w:ascii="宋体" w:hAnsi="宋体" w:cs="宋体"/>
          <w:b/>
          <w:bCs/>
          <w:color w:val="auto"/>
          <w:sz w:val="24"/>
          <w:szCs w:val="24"/>
          <w:highlight w:val="none"/>
        </w:rPr>
      </w:pPr>
      <w:r>
        <w:rPr>
          <w:b/>
          <w:bCs/>
          <w:color w:val="auto"/>
          <w:spacing w:val="19"/>
          <w:sz w:val="28"/>
          <w:szCs w:val="24"/>
          <w:highlight w:val="none"/>
        </w:rPr>
        <w:t>工作实施方案</w:t>
      </w:r>
    </w:p>
    <w:p w14:paraId="2EAE6882">
      <w:pPr>
        <w:rPr>
          <w:rFonts w:ascii="宋体" w:hAnsi="宋体" w:cs="宋体"/>
          <w:b/>
          <w:bCs/>
          <w:color w:val="auto"/>
          <w:sz w:val="20"/>
          <w:szCs w:val="20"/>
          <w:highlight w:val="none"/>
        </w:rPr>
      </w:pPr>
      <w:r>
        <w:rPr>
          <w:rFonts w:ascii="宋体" w:hAnsi="宋体" w:cs="宋体"/>
          <w:b/>
          <w:bCs/>
          <w:color w:val="auto"/>
          <w:sz w:val="24"/>
          <w:szCs w:val="24"/>
          <w:highlight w:val="none"/>
        </w:rPr>
        <w:t>由供应商根据采购文件自行编写，无具体格式。</w:t>
      </w:r>
    </w:p>
    <w:p w14:paraId="46E7C9A1">
      <w:pPr>
        <w:spacing w:beforeLines="132" w:afterLines="199" w:line="500" w:lineRule="exact"/>
        <w:jc w:val="center"/>
        <w:rPr>
          <w:rFonts w:ascii="宋体" w:hAnsi="宋体" w:cs="宋体"/>
          <w:b/>
          <w:bCs/>
          <w:color w:val="auto"/>
          <w:sz w:val="36"/>
          <w:szCs w:val="36"/>
          <w:highlight w:val="none"/>
        </w:rPr>
      </w:pPr>
    </w:p>
    <w:p w14:paraId="7C8EC42B">
      <w:pPr>
        <w:rPr>
          <w:rFonts w:ascii="宋体" w:hAnsi="宋体" w:cs="宋体"/>
          <w:color w:val="auto"/>
          <w:sz w:val="36"/>
          <w:szCs w:val="36"/>
          <w:highlight w:val="none"/>
        </w:rPr>
        <w:sectPr>
          <w:headerReference r:id="rId34" w:type="default"/>
          <w:footerReference r:id="rId35" w:type="default"/>
          <w:pgSz w:w="11906" w:h="16838"/>
          <w:pgMar w:top="1440" w:right="1803" w:bottom="1440" w:left="1803" w:header="851" w:footer="992" w:gutter="0"/>
          <w:pgNumType w:fmt="decimal"/>
          <w:cols w:space="720" w:num="1"/>
          <w:formProt w:val="0"/>
          <w:docGrid w:type="lines" w:linePitch="319" w:charSpace="0"/>
        </w:sectPr>
      </w:pPr>
    </w:p>
    <w:p w14:paraId="15BB6917">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36"/>
          <w:szCs w:val="36"/>
          <w:highlight w:val="none"/>
        </w:rPr>
      </w:pPr>
      <w:bookmarkStart w:id="60" w:name="_Toc12656"/>
      <w:bookmarkStart w:id="61" w:name="_Toc5896"/>
      <w:bookmarkStart w:id="62" w:name="_Toc24923"/>
      <w:r>
        <w:rPr>
          <w:color w:val="auto"/>
          <w:spacing w:val="19"/>
          <w:highlight w:val="none"/>
          <w:lang w:eastAsia="zh-CN"/>
        </w:rPr>
        <w:t>质量保证措施</w:t>
      </w:r>
      <w:r>
        <w:rPr>
          <w:color w:val="auto"/>
          <w:spacing w:val="-13"/>
          <w:highlight w:val="none"/>
          <w:lang w:eastAsia="zh-CN"/>
        </w:rPr>
        <w:t>及承诺</w:t>
      </w:r>
    </w:p>
    <w:p w14:paraId="2AF26040">
      <w:pPr>
        <w:rPr>
          <w:color w:val="auto"/>
          <w:spacing w:val="-13"/>
          <w:highlight w:val="none"/>
          <w:lang w:eastAsia="zh-CN"/>
        </w:rPr>
      </w:pPr>
    </w:p>
    <w:p w14:paraId="0308715D">
      <w:pPr>
        <w:rPr>
          <w:color w:val="auto"/>
          <w:spacing w:val="-13"/>
          <w:highlight w:val="none"/>
          <w:lang w:eastAsia="zh-CN"/>
        </w:rPr>
        <w:sectPr>
          <w:headerReference r:id="rId36" w:type="default"/>
          <w:footerReference r:id="rId37"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b/>
          <w:bCs/>
          <w:color w:val="auto"/>
          <w:sz w:val="24"/>
          <w:szCs w:val="24"/>
          <w:highlight w:val="none"/>
        </w:rPr>
        <w:t>由供应商根据采购文件自行编写，无具体格式。</w:t>
      </w:r>
    </w:p>
    <w:p w14:paraId="3F52106B">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36"/>
          <w:szCs w:val="36"/>
          <w:highlight w:val="none"/>
        </w:rPr>
      </w:pPr>
      <w:r>
        <w:rPr>
          <w:color w:val="auto"/>
          <w:spacing w:val="19"/>
          <w:highlight w:val="none"/>
          <w:lang w:eastAsia="zh-CN"/>
        </w:rPr>
        <w:t>进度保证措施及承诺</w:t>
      </w:r>
    </w:p>
    <w:p w14:paraId="10010AA2">
      <w:pPr>
        <w:rPr>
          <w:color w:val="auto"/>
          <w:spacing w:val="19"/>
          <w:highlight w:val="none"/>
          <w:lang w:eastAsia="zh-CN"/>
        </w:rPr>
      </w:pPr>
    </w:p>
    <w:p w14:paraId="33E8D2AC">
      <w:pPr>
        <w:rPr>
          <w:color w:val="auto"/>
          <w:spacing w:val="19"/>
          <w:highlight w:val="none"/>
          <w:lang w:eastAsia="zh-CN"/>
        </w:rPr>
        <w:sectPr>
          <w:pgSz w:w="11906" w:h="16838"/>
          <w:pgMar w:top="1440" w:right="1803" w:bottom="1440" w:left="1803" w:header="851" w:footer="992" w:gutter="0"/>
          <w:pgNumType w:fmt="decimal"/>
          <w:cols w:space="720" w:num="1"/>
          <w:formProt w:val="0"/>
          <w:docGrid w:type="lines" w:linePitch="319" w:charSpace="0"/>
        </w:sectPr>
      </w:pPr>
      <w:r>
        <w:rPr>
          <w:rFonts w:ascii="宋体" w:hAnsi="宋体" w:cs="宋体"/>
          <w:b/>
          <w:bCs/>
          <w:color w:val="auto"/>
          <w:sz w:val="24"/>
          <w:szCs w:val="24"/>
          <w:highlight w:val="none"/>
        </w:rPr>
        <w:t>由供应商根据采购文件自行编写，无具体格式。</w:t>
      </w:r>
    </w:p>
    <w:p w14:paraId="1F1FC0DE">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36"/>
          <w:szCs w:val="36"/>
          <w:highlight w:val="none"/>
        </w:rPr>
      </w:pPr>
      <w:r>
        <w:rPr>
          <w:color w:val="auto"/>
          <w:spacing w:val="19"/>
          <w:highlight w:val="none"/>
          <w:lang w:eastAsia="zh-CN"/>
        </w:rPr>
        <w:t>争议解决方案</w:t>
      </w:r>
    </w:p>
    <w:p w14:paraId="37353A7D">
      <w:pPr>
        <w:rPr>
          <w:color w:val="auto"/>
          <w:spacing w:val="19"/>
          <w:highlight w:val="none"/>
          <w:lang w:eastAsia="zh-CN"/>
        </w:rPr>
      </w:pPr>
    </w:p>
    <w:p w14:paraId="2420858A">
      <w:pPr>
        <w:rPr>
          <w:color w:val="auto"/>
          <w:spacing w:val="19"/>
          <w:highlight w:val="none"/>
          <w:lang w:eastAsia="zh-CN"/>
        </w:rPr>
        <w:sectPr>
          <w:pgSz w:w="11906" w:h="16838"/>
          <w:pgMar w:top="1440" w:right="1803" w:bottom="1440" w:left="1803" w:header="851" w:footer="992" w:gutter="0"/>
          <w:pgNumType w:fmt="decimal"/>
          <w:cols w:space="720" w:num="1"/>
          <w:formProt w:val="0"/>
          <w:docGrid w:type="lines" w:linePitch="319" w:charSpace="0"/>
        </w:sectPr>
      </w:pPr>
      <w:r>
        <w:rPr>
          <w:rFonts w:ascii="宋体" w:hAnsi="宋体" w:cs="宋体"/>
          <w:b/>
          <w:bCs/>
          <w:color w:val="auto"/>
          <w:sz w:val="24"/>
          <w:szCs w:val="24"/>
          <w:highlight w:val="none"/>
        </w:rPr>
        <w:t>由供应商根据采购文件自行编写，无具体格式。</w:t>
      </w:r>
    </w:p>
    <w:p w14:paraId="321BDE9B">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 w:val="36"/>
          <w:szCs w:val="36"/>
          <w:highlight w:val="none"/>
        </w:rPr>
      </w:pPr>
      <w:r>
        <w:rPr>
          <w:color w:val="auto"/>
          <w:spacing w:val="-3"/>
          <w:highlight w:val="none"/>
          <w:lang w:eastAsia="zh-CN"/>
        </w:rPr>
        <w:t>项目重难点及</w:t>
      </w:r>
      <w:r>
        <w:rPr>
          <w:color w:val="auto"/>
          <w:spacing w:val="-2"/>
          <w:highlight w:val="none"/>
          <w:lang w:eastAsia="zh-CN"/>
        </w:rPr>
        <w:t>风险分析</w:t>
      </w:r>
    </w:p>
    <w:p w14:paraId="6BFEA5F6">
      <w:pPr>
        <w:rPr>
          <w:color w:val="auto"/>
          <w:spacing w:val="-2"/>
          <w:highlight w:val="none"/>
          <w:lang w:eastAsia="zh-CN"/>
        </w:rPr>
      </w:pPr>
    </w:p>
    <w:p w14:paraId="5F7BDEA6">
      <w:pPr>
        <w:rPr>
          <w:rFonts w:ascii="宋体" w:hAnsi="宋体" w:cs="宋体"/>
          <w:b/>
          <w:bCs/>
          <w:color w:val="auto"/>
          <w:sz w:val="24"/>
          <w:szCs w:val="24"/>
          <w:highlight w:val="none"/>
        </w:rPr>
      </w:pPr>
      <w:r>
        <w:rPr>
          <w:rFonts w:ascii="宋体" w:hAnsi="宋体" w:cs="宋体"/>
          <w:b/>
          <w:bCs/>
          <w:color w:val="auto"/>
          <w:sz w:val="24"/>
          <w:szCs w:val="24"/>
          <w:highlight w:val="none"/>
        </w:rPr>
        <w:t>由供应商根据采购文件自行编写，无具体格式。</w:t>
      </w:r>
    </w:p>
    <w:p w14:paraId="0639CE40">
      <w:pPr>
        <w:rPr>
          <w:rFonts w:ascii="宋体" w:hAnsi="宋体" w:cs="宋体"/>
          <w:b/>
          <w:bCs/>
          <w:color w:val="auto"/>
          <w:sz w:val="24"/>
          <w:szCs w:val="24"/>
          <w:highlight w:val="none"/>
        </w:rPr>
      </w:pPr>
    </w:p>
    <w:p w14:paraId="06CD76A8">
      <w:pPr>
        <w:rPr>
          <w:rFonts w:ascii="宋体" w:hAnsi="宋体" w:cs="宋体"/>
          <w:b/>
          <w:bCs/>
          <w:color w:val="auto"/>
          <w:sz w:val="24"/>
          <w:szCs w:val="24"/>
          <w:highlight w:val="none"/>
        </w:rPr>
        <w:sectPr>
          <w:pgSz w:w="11906" w:h="16838"/>
          <w:pgMar w:top="1440" w:right="1803" w:bottom="1440" w:left="1803" w:header="851" w:footer="992" w:gutter="0"/>
          <w:pgNumType w:fmt="decimal"/>
          <w:cols w:space="720" w:num="1"/>
          <w:formProt w:val="0"/>
          <w:docGrid w:type="lines" w:linePitch="319" w:charSpace="0"/>
        </w:sectPr>
      </w:pPr>
    </w:p>
    <w:p w14:paraId="097810E3">
      <w:pPr>
        <w:pStyle w:val="3"/>
        <w:keepNext/>
        <w:keepLines/>
        <w:pageBreakBefore w:val="0"/>
        <w:widowControl w:val="0"/>
        <w:kinsoku/>
        <w:wordWrap/>
        <w:overflowPunct/>
        <w:topLinePunct w:val="0"/>
        <w:autoSpaceDE/>
        <w:autoSpaceDN/>
        <w:bidi w:val="0"/>
        <w:adjustRightInd/>
        <w:snapToGrid/>
        <w:spacing w:line="360" w:lineRule="auto"/>
        <w:textAlignment w:val="auto"/>
        <w:rPr>
          <w:rFonts w:ascii="Cambria" w:hAnsi="Cambria" w:eastAsia="宋体" w:cs="Cambria"/>
          <w:b/>
          <w:bCs/>
          <w:color w:val="auto"/>
          <w:spacing w:val="-3"/>
          <w:kern w:val="0"/>
          <w:sz w:val="32"/>
          <w:szCs w:val="32"/>
          <w:highlight w:val="none"/>
          <w:lang w:val="en-US" w:eastAsia="zh-CN" w:bidi="ar-SA"/>
        </w:rPr>
      </w:pPr>
      <w:r>
        <w:rPr>
          <w:color w:val="auto"/>
          <w:spacing w:val="19"/>
          <w:highlight w:val="none"/>
          <w:lang w:val="en-US" w:eastAsia="zh-CN"/>
        </w:rPr>
        <w:t>内部管理制度</w:t>
      </w:r>
    </w:p>
    <w:p w14:paraId="3E71E232">
      <w:pPr>
        <w:jc w:val="both"/>
        <w:rPr>
          <w:rFonts w:ascii="宋体" w:hAnsi="宋体" w:cs="宋体"/>
          <w:b/>
          <w:bCs/>
          <w:color w:val="auto"/>
          <w:sz w:val="24"/>
          <w:szCs w:val="24"/>
          <w:highlight w:val="none"/>
        </w:rPr>
      </w:pPr>
      <w:r>
        <w:rPr>
          <w:rFonts w:ascii="宋体" w:hAnsi="宋体" w:cs="宋体"/>
          <w:b/>
          <w:bCs/>
          <w:color w:val="auto"/>
          <w:sz w:val="24"/>
          <w:szCs w:val="24"/>
          <w:highlight w:val="none"/>
        </w:rPr>
        <w:t>由供应商根据采购文件自行编写，无具体格式。</w:t>
      </w:r>
    </w:p>
    <w:p w14:paraId="50BDEF80">
      <w:pPr>
        <w:jc w:val="both"/>
        <w:rPr>
          <w:rFonts w:ascii="宋体" w:hAnsi="宋体" w:cs="宋体"/>
          <w:b/>
          <w:bCs/>
          <w:color w:val="auto"/>
          <w:sz w:val="24"/>
          <w:szCs w:val="24"/>
          <w:highlight w:val="none"/>
          <w:lang w:val="en-US" w:eastAsia="zh-CN"/>
        </w:rPr>
        <w:sectPr>
          <w:pgSz w:w="11906" w:h="16838"/>
          <w:pgMar w:top="1440" w:right="1803" w:bottom="1440" w:left="1803" w:header="851" w:footer="992" w:gutter="0"/>
          <w:pgNumType w:fmt="decimal"/>
          <w:cols w:space="720" w:num="1"/>
          <w:formProt w:val="0"/>
          <w:docGrid w:type="lines" w:linePitch="319" w:charSpace="0"/>
        </w:sectPr>
      </w:pPr>
    </w:p>
    <w:p w14:paraId="50496AED">
      <w:pPr>
        <w:pStyle w:val="3"/>
        <w:keepNext/>
        <w:keepLines/>
        <w:pageBreakBefore w:val="0"/>
        <w:widowControl w:val="0"/>
        <w:kinsoku/>
        <w:wordWrap/>
        <w:overflowPunct/>
        <w:topLinePunct w:val="0"/>
        <w:autoSpaceDE/>
        <w:autoSpaceDN/>
        <w:bidi w:val="0"/>
        <w:adjustRightInd/>
        <w:snapToGrid/>
        <w:spacing w:line="360" w:lineRule="auto"/>
        <w:textAlignment w:val="auto"/>
        <w:rPr>
          <w:rFonts w:ascii="宋体" w:hAnsi="宋体" w:cs="宋体"/>
          <w:b/>
          <w:bCs/>
          <w:color w:val="auto"/>
          <w:sz w:val="24"/>
          <w:szCs w:val="24"/>
          <w:highlight w:val="none"/>
          <w:lang w:eastAsia="zh-CN"/>
        </w:rPr>
      </w:pPr>
      <w:r>
        <w:rPr>
          <w:color w:val="auto"/>
          <w:spacing w:val="19"/>
          <w:highlight w:val="none"/>
          <w:lang w:val="en-US" w:eastAsia="zh-CN"/>
        </w:rPr>
        <w:t>廉洁从业及保密措施</w:t>
      </w:r>
    </w:p>
    <w:p w14:paraId="14A11711">
      <w:pPr>
        <w:rPr>
          <w:color w:val="auto"/>
          <w:spacing w:val="19"/>
          <w:highlight w:val="none"/>
          <w:lang w:val="en-US" w:eastAsia="zh-CN"/>
        </w:rPr>
      </w:pPr>
    </w:p>
    <w:p w14:paraId="11795240">
      <w:pPr>
        <w:rPr>
          <w:color w:val="auto"/>
          <w:spacing w:val="19"/>
          <w:highlight w:val="none"/>
          <w:lang w:val="en-US" w:eastAsia="zh-CN"/>
        </w:rPr>
        <w:sectPr>
          <w:pgSz w:w="11906" w:h="16838"/>
          <w:pgMar w:top="1440" w:right="1803" w:bottom="1440" w:left="1803" w:header="851" w:footer="992" w:gutter="0"/>
          <w:pgNumType w:fmt="decimal"/>
          <w:cols w:space="720" w:num="1"/>
          <w:formProt w:val="0"/>
          <w:docGrid w:type="lines" w:linePitch="319" w:charSpace="0"/>
        </w:sectPr>
      </w:pPr>
      <w:r>
        <w:rPr>
          <w:rFonts w:ascii="宋体" w:hAnsi="宋体" w:cs="宋体"/>
          <w:b/>
          <w:bCs/>
          <w:color w:val="auto"/>
          <w:sz w:val="24"/>
          <w:szCs w:val="24"/>
          <w:highlight w:val="none"/>
        </w:rPr>
        <w:t>由供应商根据采购文件自行编写，无具体格式。</w:t>
      </w:r>
    </w:p>
    <w:p w14:paraId="6E85522F">
      <w:pPr>
        <w:pStyle w:val="3"/>
        <w:spacing w:beforeLines="132" w:afterLines="199" w:line="500" w:lineRule="exact"/>
        <w:rPr>
          <w:rFonts w:ascii="宋体" w:hAnsi="宋体" w:cs="宋体"/>
          <w:color w:val="auto"/>
          <w:sz w:val="36"/>
          <w:szCs w:val="36"/>
          <w:highlight w:val="none"/>
        </w:rPr>
      </w:pPr>
      <w:r>
        <w:rPr>
          <w:rFonts w:ascii="宋体" w:hAnsi="宋体" w:cs="宋体"/>
          <w:color w:val="auto"/>
          <w:sz w:val="36"/>
          <w:szCs w:val="36"/>
          <w:highlight w:val="none"/>
        </w:rPr>
        <w:t xml:space="preserve">第六部分  </w:t>
      </w:r>
      <w:bookmarkEnd w:id="60"/>
      <w:bookmarkEnd w:id="61"/>
      <w:r>
        <w:rPr>
          <w:rFonts w:hint="eastAsia"/>
          <w:color w:val="auto"/>
          <w:spacing w:val="-11"/>
          <w:highlight w:val="none"/>
          <w:lang w:eastAsia="zh-CN"/>
        </w:rPr>
        <w:t>项目服务团队</w:t>
      </w:r>
      <w:bookmarkEnd w:id="62"/>
    </w:p>
    <w:p w14:paraId="73EB0377">
      <w:pPr>
        <w:rPr>
          <w:rFonts w:ascii="宋体" w:hAnsi="宋体" w:cs="宋体"/>
          <w:b/>
          <w:bCs/>
          <w:color w:val="auto"/>
          <w:sz w:val="36"/>
          <w:szCs w:val="36"/>
          <w:highlight w:val="none"/>
        </w:rPr>
      </w:pPr>
      <w:bookmarkStart w:id="63" w:name="_Toc3102"/>
      <w:bookmarkStart w:id="64" w:name="_Toc22015"/>
      <w:r>
        <w:rPr>
          <w:rFonts w:ascii="宋体" w:hAnsi="宋体" w:cs="宋体"/>
          <w:b/>
          <w:bCs/>
          <w:color w:val="auto"/>
          <w:sz w:val="36"/>
          <w:szCs w:val="36"/>
          <w:highlight w:val="none"/>
        </w:rPr>
        <w:br w:type="page"/>
      </w:r>
    </w:p>
    <w:bookmarkEnd w:id="63"/>
    <w:p w14:paraId="3FF441CD">
      <w:pPr>
        <w:pStyle w:val="3"/>
        <w:spacing w:beforeLines="132" w:afterLines="199" w:line="500" w:lineRule="exact"/>
        <w:rPr>
          <w:rFonts w:ascii="宋体" w:hAnsi="宋体" w:cs="宋体"/>
          <w:color w:val="auto"/>
          <w:sz w:val="36"/>
          <w:szCs w:val="36"/>
          <w:highlight w:val="none"/>
        </w:rPr>
      </w:pPr>
      <w:bookmarkStart w:id="65" w:name="_Toc5677"/>
      <w:bookmarkStart w:id="66" w:name="_Toc18146"/>
      <w:r>
        <w:rPr>
          <w:rFonts w:ascii="宋体" w:hAnsi="宋体" w:cs="宋体"/>
          <w:color w:val="auto"/>
          <w:sz w:val="36"/>
          <w:szCs w:val="36"/>
          <w:highlight w:val="none"/>
        </w:rPr>
        <w:t>第</w:t>
      </w:r>
      <w:r>
        <w:rPr>
          <w:rFonts w:hint="eastAsia" w:ascii="宋体" w:hAnsi="宋体" w:cs="宋体"/>
          <w:color w:val="auto"/>
          <w:sz w:val="36"/>
          <w:szCs w:val="36"/>
          <w:highlight w:val="none"/>
          <w:lang w:val="en-US" w:eastAsia="zh-CN"/>
        </w:rPr>
        <w:t>七</w:t>
      </w:r>
      <w:r>
        <w:rPr>
          <w:rFonts w:ascii="宋体" w:hAnsi="宋体" w:cs="宋体"/>
          <w:color w:val="auto"/>
          <w:sz w:val="36"/>
          <w:szCs w:val="36"/>
          <w:highlight w:val="none"/>
        </w:rPr>
        <w:t xml:space="preserve">部分  </w:t>
      </w:r>
      <w:r>
        <w:rPr>
          <w:rFonts w:hint="eastAsia"/>
          <w:color w:val="auto"/>
          <w:spacing w:val="-11"/>
          <w:highlight w:val="none"/>
          <w:lang w:val="en-US" w:eastAsia="zh-CN"/>
        </w:rPr>
        <w:t>人员承诺</w:t>
      </w:r>
      <w:bookmarkEnd w:id="65"/>
    </w:p>
    <w:p w14:paraId="1668EE4B">
      <w:pPr>
        <w:rPr>
          <w:rFonts w:ascii="宋体" w:hAnsi="宋体" w:cs="宋体"/>
          <w:b/>
          <w:bCs/>
          <w:color w:val="auto"/>
          <w:sz w:val="36"/>
          <w:szCs w:val="36"/>
          <w:highlight w:val="none"/>
        </w:rPr>
      </w:pPr>
      <w:r>
        <w:rPr>
          <w:rFonts w:ascii="宋体" w:hAnsi="宋体" w:cs="宋体"/>
          <w:b/>
          <w:bCs/>
          <w:color w:val="auto"/>
          <w:sz w:val="36"/>
          <w:szCs w:val="36"/>
          <w:highlight w:val="none"/>
        </w:rPr>
        <w:br w:type="page"/>
      </w:r>
    </w:p>
    <w:p w14:paraId="3CCA15C6">
      <w:pPr>
        <w:pStyle w:val="3"/>
        <w:spacing w:beforeLines="132" w:afterLines="199" w:line="500" w:lineRule="exact"/>
        <w:textAlignment w:val="baseline"/>
        <w:rPr>
          <w:rFonts w:cs="宋体"/>
          <w:color w:val="auto"/>
          <w:highlight w:val="none"/>
        </w:rPr>
      </w:pPr>
      <w:bookmarkStart w:id="67" w:name="_Toc23621"/>
      <w:r>
        <w:rPr>
          <w:rFonts w:ascii="宋体" w:hAnsi="宋体" w:cs="宋体"/>
          <w:color w:val="auto"/>
          <w:sz w:val="36"/>
          <w:szCs w:val="36"/>
          <w:highlight w:val="none"/>
        </w:rPr>
        <w:t>第</w:t>
      </w:r>
      <w:r>
        <w:rPr>
          <w:rFonts w:hint="eastAsia" w:ascii="宋体" w:hAnsi="宋体" w:cs="宋体"/>
          <w:color w:val="auto"/>
          <w:sz w:val="36"/>
          <w:szCs w:val="36"/>
          <w:highlight w:val="none"/>
          <w:lang w:val="en-US" w:eastAsia="zh-CN"/>
        </w:rPr>
        <w:t>八</w:t>
      </w:r>
      <w:r>
        <w:rPr>
          <w:rFonts w:ascii="宋体" w:hAnsi="宋体" w:cs="宋体"/>
          <w:color w:val="auto"/>
          <w:sz w:val="36"/>
          <w:szCs w:val="36"/>
          <w:highlight w:val="none"/>
        </w:rPr>
        <w:t>部分  业绩一览表</w:t>
      </w:r>
      <w:bookmarkEnd w:id="64"/>
      <w:bookmarkEnd w:id="66"/>
      <w:bookmarkEnd w:id="67"/>
    </w:p>
    <w:tbl>
      <w:tblPr>
        <w:tblStyle w:val="20"/>
        <w:tblW w:w="8306" w:type="dxa"/>
        <w:tblInd w:w="258" w:type="dxa"/>
        <w:tblLayout w:type="fixed"/>
        <w:tblCellMar>
          <w:top w:w="0" w:type="dxa"/>
          <w:left w:w="54" w:type="dxa"/>
          <w:bottom w:w="0" w:type="dxa"/>
          <w:right w:w="54" w:type="dxa"/>
        </w:tblCellMar>
      </w:tblPr>
      <w:tblGrid>
        <w:gridCol w:w="820"/>
        <w:gridCol w:w="1641"/>
        <w:gridCol w:w="1505"/>
        <w:gridCol w:w="1522"/>
        <w:gridCol w:w="1616"/>
        <w:gridCol w:w="1202"/>
      </w:tblGrid>
      <w:tr w14:paraId="41B6A863">
        <w:tblPrEx>
          <w:tblCellMar>
            <w:top w:w="0" w:type="dxa"/>
            <w:left w:w="54" w:type="dxa"/>
            <w:bottom w:w="0" w:type="dxa"/>
            <w:right w:w="54" w:type="dxa"/>
          </w:tblCellMar>
        </w:tblPrEx>
        <w:trPr>
          <w:cantSplit/>
          <w:trHeight w:val="855" w:hRule="atLeast"/>
        </w:trPr>
        <w:tc>
          <w:tcPr>
            <w:tcW w:w="820" w:type="dxa"/>
            <w:tcBorders>
              <w:top w:val="single" w:color="000000" w:sz="4" w:space="0"/>
              <w:left w:val="single" w:color="000000" w:sz="4" w:space="0"/>
              <w:bottom w:val="single" w:color="000000" w:sz="6" w:space="0"/>
              <w:right w:val="single" w:color="000000" w:sz="6" w:space="0"/>
            </w:tcBorders>
            <w:vAlign w:val="center"/>
          </w:tcPr>
          <w:p w14:paraId="44627B4C">
            <w:pPr>
              <w:spacing w:line="400" w:lineRule="exact"/>
              <w:rPr>
                <w:rFonts w:ascii="宋体" w:hAnsi="宋体" w:cs="宋体"/>
                <w:color w:val="auto"/>
                <w:highlight w:val="none"/>
              </w:rPr>
            </w:pPr>
            <w:r>
              <w:rPr>
                <w:rFonts w:ascii="宋体" w:hAnsi="宋体" w:cs="宋体"/>
                <w:color w:val="auto"/>
                <w:highlight w:val="none"/>
              </w:rPr>
              <w:t>年份</w:t>
            </w:r>
          </w:p>
        </w:tc>
        <w:tc>
          <w:tcPr>
            <w:tcW w:w="1641" w:type="dxa"/>
            <w:tcBorders>
              <w:top w:val="single" w:color="000000" w:sz="4" w:space="0"/>
              <w:left w:val="single" w:color="000000" w:sz="6" w:space="0"/>
              <w:bottom w:val="single" w:color="000000" w:sz="6" w:space="0"/>
              <w:right w:val="single" w:color="000000" w:sz="6" w:space="0"/>
            </w:tcBorders>
            <w:vAlign w:val="center"/>
          </w:tcPr>
          <w:p w14:paraId="308D8DC2">
            <w:pPr>
              <w:spacing w:line="400" w:lineRule="exact"/>
              <w:jc w:val="center"/>
              <w:rPr>
                <w:rFonts w:ascii="宋体" w:hAnsi="宋体" w:cs="宋体"/>
                <w:color w:val="auto"/>
                <w:highlight w:val="none"/>
              </w:rPr>
            </w:pPr>
            <w:r>
              <w:rPr>
                <w:rFonts w:ascii="宋体" w:hAnsi="宋体" w:cs="宋体"/>
                <w:color w:val="auto"/>
                <w:highlight w:val="none"/>
              </w:rPr>
              <w:t>用户名称</w:t>
            </w:r>
          </w:p>
        </w:tc>
        <w:tc>
          <w:tcPr>
            <w:tcW w:w="1505" w:type="dxa"/>
            <w:tcBorders>
              <w:top w:val="single" w:color="000000" w:sz="4" w:space="0"/>
              <w:left w:val="single" w:color="000000" w:sz="6" w:space="0"/>
              <w:bottom w:val="single" w:color="000000" w:sz="6" w:space="0"/>
              <w:right w:val="single" w:color="000000" w:sz="6" w:space="0"/>
            </w:tcBorders>
            <w:vAlign w:val="center"/>
          </w:tcPr>
          <w:p w14:paraId="4A1FA588">
            <w:pPr>
              <w:spacing w:line="400" w:lineRule="exact"/>
              <w:jc w:val="center"/>
              <w:rPr>
                <w:rFonts w:ascii="宋体" w:hAnsi="宋体" w:cs="宋体"/>
                <w:color w:val="auto"/>
                <w:highlight w:val="none"/>
              </w:rPr>
            </w:pPr>
            <w:r>
              <w:rPr>
                <w:rFonts w:ascii="宋体" w:hAnsi="宋体" w:cs="宋体"/>
                <w:color w:val="auto"/>
                <w:highlight w:val="none"/>
              </w:rPr>
              <w:t>项目名称</w:t>
            </w:r>
          </w:p>
        </w:tc>
        <w:tc>
          <w:tcPr>
            <w:tcW w:w="1522" w:type="dxa"/>
            <w:tcBorders>
              <w:top w:val="single" w:color="000000" w:sz="4" w:space="0"/>
              <w:left w:val="single" w:color="000000" w:sz="6" w:space="0"/>
              <w:bottom w:val="single" w:color="000000" w:sz="6" w:space="0"/>
              <w:right w:val="single" w:color="000000" w:sz="6" w:space="0"/>
            </w:tcBorders>
            <w:vAlign w:val="center"/>
          </w:tcPr>
          <w:p w14:paraId="649B2E68">
            <w:pPr>
              <w:spacing w:line="400" w:lineRule="exact"/>
              <w:jc w:val="center"/>
              <w:rPr>
                <w:rFonts w:ascii="宋体" w:hAnsi="宋体" w:cs="宋体"/>
                <w:color w:val="auto"/>
                <w:highlight w:val="none"/>
              </w:rPr>
            </w:pPr>
            <w:r>
              <w:rPr>
                <w:rFonts w:ascii="宋体" w:hAnsi="宋体" w:cs="宋体"/>
                <w:color w:val="auto"/>
                <w:highlight w:val="none"/>
              </w:rPr>
              <w:t>合同签订时间</w:t>
            </w:r>
          </w:p>
        </w:tc>
        <w:tc>
          <w:tcPr>
            <w:tcW w:w="1616" w:type="dxa"/>
            <w:tcBorders>
              <w:top w:val="single" w:color="000000" w:sz="4" w:space="0"/>
              <w:left w:val="single" w:color="000000" w:sz="6" w:space="0"/>
              <w:bottom w:val="single" w:color="000000" w:sz="6" w:space="0"/>
              <w:right w:val="single" w:color="000000" w:sz="6" w:space="0"/>
            </w:tcBorders>
            <w:vAlign w:val="center"/>
          </w:tcPr>
          <w:p w14:paraId="50FC80DA">
            <w:pPr>
              <w:spacing w:line="400" w:lineRule="exact"/>
              <w:rPr>
                <w:rFonts w:ascii="宋体" w:hAnsi="宋体" w:cs="宋体"/>
                <w:color w:val="auto"/>
                <w:highlight w:val="none"/>
              </w:rPr>
            </w:pPr>
            <w:r>
              <w:rPr>
                <w:rFonts w:ascii="宋体" w:hAnsi="宋体" w:cs="宋体"/>
                <w:color w:val="auto"/>
                <w:highlight w:val="none"/>
              </w:rPr>
              <w:t>合同金额</w:t>
            </w:r>
          </w:p>
        </w:tc>
        <w:tc>
          <w:tcPr>
            <w:tcW w:w="1202" w:type="dxa"/>
            <w:tcBorders>
              <w:top w:val="single" w:color="000000" w:sz="4" w:space="0"/>
              <w:left w:val="single" w:color="000000" w:sz="4" w:space="0"/>
              <w:bottom w:val="single" w:color="000000" w:sz="6" w:space="0"/>
              <w:right w:val="single" w:color="000000" w:sz="4" w:space="0"/>
            </w:tcBorders>
            <w:vAlign w:val="center"/>
          </w:tcPr>
          <w:p w14:paraId="3D9BCE6C">
            <w:pPr>
              <w:spacing w:line="400" w:lineRule="exact"/>
              <w:rPr>
                <w:rFonts w:ascii="宋体" w:hAnsi="宋体" w:cs="宋体"/>
                <w:color w:val="auto"/>
                <w:highlight w:val="none"/>
              </w:rPr>
            </w:pPr>
            <w:r>
              <w:rPr>
                <w:rFonts w:ascii="宋体" w:hAnsi="宋体" w:cs="宋体"/>
                <w:color w:val="auto"/>
                <w:highlight w:val="none"/>
              </w:rPr>
              <w:t xml:space="preserve">  备注</w:t>
            </w:r>
          </w:p>
        </w:tc>
      </w:tr>
      <w:tr w14:paraId="0BE64950">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68BA660F">
            <w:pPr>
              <w:snapToGrid w:val="0"/>
              <w:spacing w:line="400" w:lineRule="exact"/>
              <w:jc w:val="center"/>
              <w:rPr>
                <w:rFonts w:ascii="宋体" w:hAnsi="宋体" w:cs="宋体"/>
                <w:color w:val="auto"/>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59E87F89">
            <w:pPr>
              <w:snapToGrid w:val="0"/>
              <w:spacing w:line="400" w:lineRule="exact"/>
              <w:jc w:val="center"/>
              <w:rPr>
                <w:rFonts w:ascii="宋体" w:hAnsi="宋体" w:cs="宋体"/>
                <w:color w:val="auto"/>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4ED8D6B3">
            <w:pPr>
              <w:snapToGrid w:val="0"/>
              <w:spacing w:line="400" w:lineRule="exact"/>
              <w:jc w:val="center"/>
              <w:rPr>
                <w:rFonts w:ascii="宋体" w:hAnsi="宋体" w:cs="宋体"/>
                <w:color w:val="auto"/>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0B705E9">
            <w:pPr>
              <w:snapToGrid w:val="0"/>
              <w:spacing w:line="400" w:lineRule="exact"/>
              <w:jc w:val="center"/>
              <w:rPr>
                <w:rFonts w:ascii="宋体" w:hAnsi="宋体" w:cs="宋体"/>
                <w:color w:val="auto"/>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2F7480DB">
            <w:pPr>
              <w:snapToGrid w:val="0"/>
              <w:spacing w:line="400" w:lineRule="exact"/>
              <w:jc w:val="center"/>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7886A31">
            <w:pPr>
              <w:snapToGrid w:val="0"/>
              <w:spacing w:line="400" w:lineRule="exact"/>
              <w:jc w:val="center"/>
              <w:rPr>
                <w:rFonts w:ascii="宋体" w:hAnsi="宋体" w:cs="宋体"/>
                <w:color w:val="auto"/>
                <w:highlight w:val="none"/>
              </w:rPr>
            </w:pPr>
          </w:p>
        </w:tc>
      </w:tr>
      <w:tr w14:paraId="773F286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15332F60">
            <w:pPr>
              <w:snapToGrid w:val="0"/>
              <w:spacing w:line="400" w:lineRule="exact"/>
              <w:jc w:val="center"/>
              <w:rPr>
                <w:rFonts w:ascii="宋体" w:hAnsi="宋体" w:cs="宋体"/>
                <w:color w:val="auto"/>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5C5564">
            <w:pPr>
              <w:snapToGrid w:val="0"/>
              <w:spacing w:line="400" w:lineRule="exact"/>
              <w:jc w:val="center"/>
              <w:rPr>
                <w:rFonts w:ascii="宋体" w:hAnsi="宋体" w:cs="宋体"/>
                <w:color w:val="auto"/>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125A01A0">
            <w:pPr>
              <w:snapToGrid w:val="0"/>
              <w:spacing w:line="400" w:lineRule="exact"/>
              <w:jc w:val="center"/>
              <w:rPr>
                <w:rFonts w:ascii="宋体" w:hAnsi="宋体" w:cs="宋体"/>
                <w:color w:val="auto"/>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52D81517">
            <w:pPr>
              <w:snapToGrid w:val="0"/>
              <w:spacing w:line="400" w:lineRule="exact"/>
              <w:jc w:val="center"/>
              <w:rPr>
                <w:rFonts w:ascii="宋体" w:hAnsi="宋体" w:cs="宋体"/>
                <w:color w:val="auto"/>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52C4A935">
            <w:pPr>
              <w:snapToGrid w:val="0"/>
              <w:spacing w:line="400" w:lineRule="exact"/>
              <w:jc w:val="center"/>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515DCF0B">
            <w:pPr>
              <w:snapToGrid w:val="0"/>
              <w:spacing w:line="400" w:lineRule="exact"/>
              <w:jc w:val="center"/>
              <w:rPr>
                <w:rFonts w:ascii="宋体" w:hAnsi="宋体" w:cs="宋体"/>
                <w:color w:val="auto"/>
                <w:highlight w:val="none"/>
              </w:rPr>
            </w:pPr>
          </w:p>
        </w:tc>
      </w:tr>
      <w:tr w14:paraId="4FF813D1">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24EBF59D">
            <w:pPr>
              <w:snapToGrid w:val="0"/>
              <w:spacing w:line="400" w:lineRule="exact"/>
              <w:jc w:val="center"/>
              <w:rPr>
                <w:rFonts w:ascii="宋体" w:hAnsi="宋体" w:cs="宋体"/>
                <w:color w:val="auto"/>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6494812B">
            <w:pPr>
              <w:snapToGrid w:val="0"/>
              <w:spacing w:line="400" w:lineRule="exact"/>
              <w:jc w:val="center"/>
              <w:rPr>
                <w:rFonts w:ascii="宋体" w:hAnsi="宋体" w:cs="宋体"/>
                <w:color w:val="auto"/>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7066F68">
            <w:pPr>
              <w:snapToGrid w:val="0"/>
              <w:spacing w:line="400" w:lineRule="exact"/>
              <w:jc w:val="center"/>
              <w:rPr>
                <w:rFonts w:ascii="宋体" w:hAnsi="宋体" w:cs="宋体"/>
                <w:color w:val="auto"/>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1538EABC">
            <w:pPr>
              <w:snapToGrid w:val="0"/>
              <w:spacing w:line="400" w:lineRule="exact"/>
              <w:jc w:val="center"/>
              <w:rPr>
                <w:rFonts w:ascii="宋体" w:hAnsi="宋体" w:cs="宋体"/>
                <w:color w:val="auto"/>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0F5BD51B">
            <w:pPr>
              <w:snapToGrid w:val="0"/>
              <w:spacing w:line="400" w:lineRule="exact"/>
              <w:jc w:val="center"/>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A9F7F88">
            <w:pPr>
              <w:snapToGrid w:val="0"/>
              <w:spacing w:line="400" w:lineRule="exact"/>
              <w:jc w:val="center"/>
              <w:rPr>
                <w:rFonts w:ascii="宋体" w:hAnsi="宋体" w:cs="宋体"/>
                <w:color w:val="auto"/>
                <w:highlight w:val="none"/>
              </w:rPr>
            </w:pPr>
          </w:p>
        </w:tc>
      </w:tr>
      <w:tr w14:paraId="0211C7E7">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7791FCDB">
            <w:pPr>
              <w:snapToGrid w:val="0"/>
              <w:spacing w:line="400" w:lineRule="exact"/>
              <w:jc w:val="center"/>
              <w:rPr>
                <w:rFonts w:ascii="宋体" w:hAnsi="宋体" w:cs="宋体"/>
                <w:color w:val="auto"/>
                <w:highlight w:val="none"/>
              </w:rPr>
            </w:pPr>
          </w:p>
        </w:tc>
        <w:tc>
          <w:tcPr>
            <w:tcW w:w="1641" w:type="dxa"/>
            <w:tcBorders>
              <w:top w:val="single" w:color="000000" w:sz="6" w:space="0"/>
              <w:left w:val="single" w:color="000000" w:sz="6" w:space="0"/>
              <w:bottom w:val="single" w:color="000000" w:sz="6" w:space="0"/>
              <w:right w:val="single" w:color="000000" w:sz="4" w:space="0"/>
            </w:tcBorders>
            <w:vAlign w:val="center"/>
          </w:tcPr>
          <w:p w14:paraId="7F51439F">
            <w:pPr>
              <w:snapToGrid w:val="0"/>
              <w:spacing w:line="400" w:lineRule="exact"/>
              <w:jc w:val="center"/>
              <w:rPr>
                <w:rFonts w:ascii="宋体" w:hAnsi="宋体" w:cs="宋体"/>
                <w:color w:val="auto"/>
                <w:highlight w:val="none"/>
              </w:rPr>
            </w:pPr>
          </w:p>
        </w:tc>
        <w:tc>
          <w:tcPr>
            <w:tcW w:w="1505" w:type="dxa"/>
            <w:tcBorders>
              <w:top w:val="single" w:color="000000" w:sz="6" w:space="0"/>
              <w:left w:val="single" w:color="000000" w:sz="4" w:space="0"/>
              <w:bottom w:val="single" w:color="000000" w:sz="6" w:space="0"/>
              <w:right w:val="single" w:color="000000" w:sz="6" w:space="0"/>
            </w:tcBorders>
            <w:vAlign w:val="center"/>
          </w:tcPr>
          <w:p w14:paraId="4287FE98">
            <w:pPr>
              <w:snapToGrid w:val="0"/>
              <w:spacing w:line="400" w:lineRule="exact"/>
              <w:jc w:val="center"/>
              <w:rPr>
                <w:rFonts w:ascii="宋体" w:hAnsi="宋体" w:cs="宋体"/>
                <w:color w:val="auto"/>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6A54F75C">
            <w:pPr>
              <w:snapToGrid w:val="0"/>
              <w:spacing w:line="400" w:lineRule="exact"/>
              <w:jc w:val="center"/>
              <w:rPr>
                <w:rFonts w:ascii="宋体" w:hAnsi="宋体" w:cs="宋体"/>
                <w:color w:val="auto"/>
                <w:highlight w:val="none"/>
              </w:rPr>
            </w:pPr>
          </w:p>
        </w:tc>
        <w:tc>
          <w:tcPr>
            <w:tcW w:w="1616" w:type="dxa"/>
            <w:tcBorders>
              <w:top w:val="single" w:color="000000" w:sz="6" w:space="0"/>
              <w:left w:val="single" w:color="000000" w:sz="6" w:space="0"/>
              <w:bottom w:val="single" w:color="000000" w:sz="6" w:space="0"/>
              <w:right w:val="single" w:color="000000" w:sz="6" w:space="0"/>
            </w:tcBorders>
            <w:vAlign w:val="center"/>
          </w:tcPr>
          <w:p w14:paraId="1AA5D6F7">
            <w:pPr>
              <w:snapToGrid w:val="0"/>
              <w:spacing w:line="400" w:lineRule="exact"/>
              <w:jc w:val="center"/>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77A72E55">
            <w:pPr>
              <w:snapToGrid w:val="0"/>
              <w:spacing w:line="400" w:lineRule="exact"/>
              <w:jc w:val="center"/>
              <w:rPr>
                <w:rFonts w:ascii="宋体" w:hAnsi="宋体" w:cs="宋体"/>
                <w:color w:val="auto"/>
                <w:highlight w:val="none"/>
              </w:rPr>
            </w:pPr>
          </w:p>
        </w:tc>
      </w:tr>
      <w:tr w14:paraId="026A404E">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4" w:space="0"/>
            </w:tcBorders>
            <w:vAlign w:val="center"/>
          </w:tcPr>
          <w:p w14:paraId="315138EA">
            <w:pPr>
              <w:snapToGrid w:val="0"/>
              <w:spacing w:line="400" w:lineRule="exact"/>
              <w:rPr>
                <w:rFonts w:ascii="宋体" w:hAnsi="宋体" w:cs="宋体"/>
                <w:color w:val="auto"/>
                <w:highlight w:val="none"/>
              </w:rPr>
            </w:pPr>
          </w:p>
        </w:tc>
        <w:tc>
          <w:tcPr>
            <w:tcW w:w="1641" w:type="dxa"/>
            <w:tcBorders>
              <w:top w:val="single" w:color="000000" w:sz="6" w:space="0"/>
              <w:left w:val="single" w:color="000000" w:sz="4" w:space="0"/>
              <w:bottom w:val="single" w:color="000000" w:sz="6" w:space="0"/>
              <w:right w:val="single" w:color="000000" w:sz="4" w:space="0"/>
            </w:tcBorders>
            <w:vAlign w:val="center"/>
          </w:tcPr>
          <w:p w14:paraId="697EC12B">
            <w:pPr>
              <w:snapToGrid w:val="0"/>
              <w:spacing w:line="400" w:lineRule="exact"/>
              <w:rPr>
                <w:rFonts w:ascii="宋体" w:hAnsi="宋体" w:cs="宋体"/>
                <w:color w:val="auto"/>
                <w:highlight w:val="none"/>
              </w:rPr>
            </w:pPr>
          </w:p>
        </w:tc>
        <w:tc>
          <w:tcPr>
            <w:tcW w:w="1505" w:type="dxa"/>
            <w:tcBorders>
              <w:top w:val="single" w:color="000000" w:sz="6" w:space="0"/>
              <w:left w:val="single" w:color="000000" w:sz="4" w:space="0"/>
              <w:bottom w:val="single" w:color="000000" w:sz="6" w:space="0"/>
              <w:right w:val="single" w:color="000000" w:sz="4" w:space="0"/>
            </w:tcBorders>
            <w:vAlign w:val="center"/>
          </w:tcPr>
          <w:p w14:paraId="7AEB69CE">
            <w:pPr>
              <w:snapToGrid w:val="0"/>
              <w:spacing w:line="400" w:lineRule="exact"/>
              <w:rPr>
                <w:rFonts w:ascii="宋体" w:hAnsi="宋体" w:cs="宋体"/>
                <w:color w:val="auto"/>
                <w:highlight w:val="none"/>
              </w:rPr>
            </w:pPr>
          </w:p>
        </w:tc>
        <w:tc>
          <w:tcPr>
            <w:tcW w:w="1522" w:type="dxa"/>
            <w:tcBorders>
              <w:top w:val="single" w:color="000000" w:sz="6" w:space="0"/>
              <w:left w:val="single" w:color="000000" w:sz="4" w:space="0"/>
              <w:bottom w:val="single" w:color="000000" w:sz="6" w:space="0"/>
              <w:right w:val="single" w:color="000000" w:sz="4" w:space="0"/>
            </w:tcBorders>
            <w:vAlign w:val="center"/>
          </w:tcPr>
          <w:p w14:paraId="413D1CCA">
            <w:pPr>
              <w:snapToGrid w:val="0"/>
              <w:spacing w:line="400" w:lineRule="exact"/>
              <w:rPr>
                <w:rFonts w:ascii="宋体" w:hAnsi="宋体" w:cs="宋体"/>
                <w:color w:val="auto"/>
                <w:highlight w:val="none"/>
              </w:rPr>
            </w:pPr>
          </w:p>
        </w:tc>
        <w:tc>
          <w:tcPr>
            <w:tcW w:w="1616" w:type="dxa"/>
            <w:tcBorders>
              <w:top w:val="single" w:color="000000" w:sz="6" w:space="0"/>
              <w:left w:val="single" w:color="000000" w:sz="4" w:space="0"/>
              <w:bottom w:val="single" w:color="000000" w:sz="6" w:space="0"/>
              <w:right w:val="single" w:color="000000" w:sz="4" w:space="0"/>
            </w:tcBorders>
            <w:vAlign w:val="center"/>
          </w:tcPr>
          <w:p w14:paraId="326AC4A0">
            <w:pPr>
              <w:snapToGrid w:val="0"/>
              <w:spacing w:line="400" w:lineRule="exact"/>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0E255C21">
            <w:pPr>
              <w:snapToGrid w:val="0"/>
              <w:spacing w:line="400" w:lineRule="exact"/>
              <w:rPr>
                <w:rFonts w:ascii="宋体" w:hAnsi="宋体" w:cs="宋体"/>
                <w:color w:val="auto"/>
                <w:highlight w:val="none"/>
              </w:rPr>
            </w:pPr>
          </w:p>
        </w:tc>
      </w:tr>
      <w:tr w14:paraId="0D84DC64">
        <w:tblPrEx>
          <w:tblCellMar>
            <w:top w:w="0" w:type="dxa"/>
            <w:left w:w="54" w:type="dxa"/>
            <w:bottom w:w="0" w:type="dxa"/>
            <w:right w:w="54" w:type="dxa"/>
          </w:tblCellMar>
        </w:tblPrEx>
        <w:trPr>
          <w:cantSplit/>
          <w:trHeight w:val="649" w:hRule="atLeast"/>
        </w:trPr>
        <w:tc>
          <w:tcPr>
            <w:tcW w:w="820" w:type="dxa"/>
            <w:tcBorders>
              <w:top w:val="single" w:color="000000" w:sz="6" w:space="0"/>
              <w:left w:val="single" w:color="000000" w:sz="4" w:space="0"/>
              <w:bottom w:val="single" w:color="000000" w:sz="6" w:space="0"/>
              <w:right w:val="single" w:color="000000" w:sz="6" w:space="0"/>
            </w:tcBorders>
            <w:vAlign w:val="center"/>
          </w:tcPr>
          <w:p w14:paraId="46AB9C7A">
            <w:pPr>
              <w:snapToGrid w:val="0"/>
              <w:spacing w:line="400" w:lineRule="exact"/>
              <w:rPr>
                <w:rFonts w:ascii="宋体" w:hAnsi="宋体" w:cs="宋体"/>
                <w:color w:val="auto"/>
                <w:highlight w:val="none"/>
              </w:rPr>
            </w:pPr>
          </w:p>
        </w:tc>
        <w:tc>
          <w:tcPr>
            <w:tcW w:w="1641" w:type="dxa"/>
            <w:tcBorders>
              <w:top w:val="single" w:color="000000" w:sz="6" w:space="0"/>
              <w:left w:val="single" w:color="000000" w:sz="6" w:space="0"/>
              <w:bottom w:val="single" w:color="000000" w:sz="6" w:space="0"/>
              <w:right w:val="single" w:color="000000" w:sz="6" w:space="0"/>
            </w:tcBorders>
            <w:vAlign w:val="center"/>
          </w:tcPr>
          <w:p w14:paraId="28D56A45">
            <w:pPr>
              <w:snapToGrid w:val="0"/>
              <w:spacing w:line="400" w:lineRule="exact"/>
              <w:rPr>
                <w:rFonts w:ascii="宋体" w:hAnsi="宋体" w:cs="宋体"/>
                <w:color w:val="auto"/>
                <w:highlight w:val="none"/>
              </w:rPr>
            </w:pPr>
          </w:p>
        </w:tc>
        <w:tc>
          <w:tcPr>
            <w:tcW w:w="1505" w:type="dxa"/>
            <w:tcBorders>
              <w:top w:val="single" w:color="000000" w:sz="6" w:space="0"/>
              <w:left w:val="single" w:color="000000" w:sz="6" w:space="0"/>
              <w:bottom w:val="single" w:color="000000" w:sz="6" w:space="0"/>
              <w:right w:val="single" w:color="000000" w:sz="6" w:space="0"/>
            </w:tcBorders>
            <w:vAlign w:val="center"/>
          </w:tcPr>
          <w:p w14:paraId="2BBCC933">
            <w:pPr>
              <w:snapToGrid w:val="0"/>
              <w:spacing w:line="400" w:lineRule="exact"/>
              <w:rPr>
                <w:rFonts w:ascii="宋体" w:hAnsi="宋体" w:cs="宋体"/>
                <w:color w:val="auto"/>
                <w:highlight w:val="none"/>
              </w:rPr>
            </w:pPr>
          </w:p>
        </w:tc>
        <w:tc>
          <w:tcPr>
            <w:tcW w:w="1522" w:type="dxa"/>
            <w:tcBorders>
              <w:top w:val="single" w:color="000000" w:sz="6" w:space="0"/>
              <w:left w:val="single" w:color="000000" w:sz="6" w:space="0"/>
              <w:bottom w:val="single" w:color="000000" w:sz="6" w:space="0"/>
              <w:right w:val="single" w:color="000000" w:sz="6" w:space="0"/>
            </w:tcBorders>
            <w:vAlign w:val="center"/>
          </w:tcPr>
          <w:p w14:paraId="71240FC8">
            <w:pPr>
              <w:snapToGrid w:val="0"/>
              <w:spacing w:line="400" w:lineRule="exact"/>
              <w:rPr>
                <w:rFonts w:ascii="宋体" w:hAnsi="宋体" w:cs="宋体"/>
                <w:color w:val="auto"/>
                <w:highlight w:val="none"/>
              </w:rPr>
            </w:pPr>
          </w:p>
        </w:tc>
        <w:tc>
          <w:tcPr>
            <w:tcW w:w="1616" w:type="dxa"/>
            <w:tcBorders>
              <w:top w:val="single" w:color="000000" w:sz="6" w:space="0"/>
              <w:left w:val="single" w:color="000000" w:sz="6" w:space="0"/>
              <w:bottom w:val="single" w:color="000000" w:sz="6" w:space="0"/>
              <w:right w:val="single" w:color="000000" w:sz="4" w:space="0"/>
            </w:tcBorders>
            <w:vAlign w:val="center"/>
          </w:tcPr>
          <w:p w14:paraId="4BB9BCC8">
            <w:pPr>
              <w:snapToGrid w:val="0"/>
              <w:spacing w:line="400" w:lineRule="exact"/>
              <w:rPr>
                <w:rFonts w:ascii="宋体" w:hAnsi="宋体" w:cs="宋体"/>
                <w:color w:val="auto"/>
                <w:highlight w:val="none"/>
              </w:rPr>
            </w:pPr>
          </w:p>
        </w:tc>
        <w:tc>
          <w:tcPr>
            <w:tcW w:w="1202" w:type="dxa"/>
            <w:tcBorders>
              <w:top w:val="single" w:color="000000" w:sz="6" w:space="0"/>
              <w:left w:val="single" w:color="000000" w:sz="4" w:space="0"/>
              <w:bottom w:val="single" w:color="000000" w:sz="6" w:space="0"/>
              <w:right w:val="single" w:color="000000" w:sz="4" w:space="0"/>
            </w:tcBorders>
            <w:vAlign w:val="center"/>
          </w:tcPr>
          <w:p w14:paraId="10724C4B">
            <w:pPr>
              <w:snapToGrid w:val="0"/>
              <w:spacing w:line="400" w:lineRule="exact"/>
              <w:rPr>
                <w:rFonts w:ascii="宋体" w:hAnsi="宋体" w:cs="宋体"/>
                <w:color w:val="auto"/>
                <w:highlight w:val="none"/>
              </w:rPr>
            </w:pPr>
          </w:p>
        </w:tc>
      </w:tr>
      <w:tr w14:paraId="4889EAC1">
        <w:tblPrEx>
          <w:tblCellMar>
            <w:top w:w="0" w:type="dxa"/>
            <w:left w:w="54" w:type="dxa"/>
            <w:bottom w:w="0" w:type="dxa"/>
            <w:right w:w="54" w:type="dxa"/>
          </w:tblCellMar>
        </w:tblPrEx>
        <w:trPr>
          <w:cantSplit/>
          <w:trHeight w:val="659" w:hRule="atLeast"/>
        </w:trPr>
        <w:tc>
          <w:tcPr>
            <w:tcW w:w="820" w:type="dxa"/>
            <w:tcBorders>
              <w:top w:val="single" w:color="000000" w:sz="6" w:space="0"/>
              <w:left w:val="single" w:color="000000" w:sz="4" w:space="0"/>
              <w:bottom w:val="single" w:color="000000" w:sz="4" w:space="0"/>
              <w:right w:val="single" w:color="000000" w:sz="6" w:space="0"/>
            </w:tcBorders>
            <w:vAlign w:val="center"/>
          </w:tcPr>
          <w:p w14:paraId="059E0317">
            <w:pPr>
              <w:snapToGrid w:val="0"/>
              <w:spacing w:line="400" w:lineRule="exact"/>
              <w:jc w:val="center"/>
              <w:rPr>
                <w:rFonts w:ascii="宋体" w:hAnsi="宋体" w:cs="宋体"/>
                <w:color w:val="auto"/>
                <w:highlight w:val="none"/>
              </w:rPr>
            </w:pPr>
          </w:p>
        </w:tc>
        <w:tc>
          <w:tcPr>
            <w:tcW w:w="1641" w:type="dxa"/>
            <w:tcBorders>
              <w:top w:val="single" w:color="000000" w:sz="6" w:space="0"/>
              <w:left w:val="single" w:color="000000" w:sz="6" w:space="0"/>
              <w:bottom w:val="single" w:color="000000" w:sz="4" w:space="0"/>
              <w:right w:val="single" w:color="000000" w:sz="6" w:space="0"/>
            </w:tcBorders>
            <w:vAlign w:val="center"/>
          </w:tcPr>
          <w:p w14:paraId="35A31C76">
            <w:pPr>
              <w:snapToGrid w:val="0"/>
              <w:spacing w:line="400" w:lineRule="exact"/>
              <w:jc w:val="center"/>
              <w:rPr>
                <w:rFonts w:ascii="宋体" w:hAnsi="宋体" w:cs="宋体"/>
                <w:color w:val="auto"/>
                <w:highlight w:val="none"/>
              </w:rPr>
            </w:pPr>
          </w:p>
        </w:tc>
        <w:tc>
          <w:tcPr>
            <w:tcW w:w="1505" w:type="dxa"/>
            <w:tcBorders>
              <w:top w:val="single" w:color="000000" w:sz="6" w:space="0"/>
              <w:left w:val="single" w:color="000000" w:sz="6" w:space="0"/>
              <w:bottom w:val="single" w:color="000000" w:sz="4" w:space="0"/>
              <w:right w:val="single" w:color="000000" w:sz="6" w:space="0"/>
            </w:tcBorders>
            <w:vAlign w:val="center"/>
          </w:tcPr>
          <w:p w14:paraId="50C4EE0E">
            <w:pPr>
              <w:snapToGrid w:val="0"/>
              <w:spacing w:line="400" w:lineRule="exact"/>
              <w:jc w:val="center"/>
              <w:rPr>
                <w:rFonts w:ascii="宋体" w:hAnsi="宋体" w:cs="宋体"/>
                <w:color w:val="auto"/>
                <w:highlight w:val="none"/>
              </w:rPr>
            </w:pPr>
          </w:p>
        </w:tc>
        <w:tc>
          <w:tcPr>
            <w:tcW w:w="1522" w:type="dxa"/>
            <w:tcBorders>
              <w:top w:val="single" w:color="000000" w:sz="6" w:space="0"/>
              <w:left w:val="single" w:color="000000" w:sz="6" w:space="0"/>
              <w:bottom w:val="single" w:color="000000" w:sz="4" w:space="0"/>
              <w:right w:val="single" w:color="000000" w:sz="6" w:space="0"/>
            </w:tcBorders>
            <w:vAlign w:val="center"/>
          </w:tcPr>
          <w:p w14:paraId="37EA533D">
            <w:pPr>
              <w:snapToGrid w:val="0"/>
              <w:spacing w:line="400" w:lineRule="exact"/>
              <w:jc w:val="center"/>
              <w:rPr>
                <w:rFonts w:ascii="宋体" w:hAnsi="宋体" w:cs="宋体"/>
                <w:color w:val="auto"/>
                <w:highlight w:val="none"/>
              </w:rPr>
            </w:pPr>
          </w:p>
        </w:tc>
        <w:tc>
          <w:tcPr>
            <w:tcW w:w="1616" w:type="dxa"/>
            <w:tcBorders>
              <w:top w:val="single" w:color="000000" w:sz="6" w:space="0"/>
              <w:left w:val="single" w:color="000000" w:sz="6" w:space="0"/>
              <w:bottom w:val="single" w:color="000000" w:sz="4" w:space="0"/>
              <w:right w:val="single" w:color="000000" w:sz="4" w:space="0"/>
            </w:tcBorders>
            <w:vAlign w:val="center"/>
          </w:tcPr>
          <w:p w14:paraId="768719BC">
            <w:pPr>
              <w:snapToGrid w:val="0"/>
              <w:spacing w:line="400" w:lineRule="exact"/>
              <w:jc w:val="center"/>
              <w:rPr>
                <w:rFonts w:ascii="宋体" w:hAnsi="宋体" w:cs="宋体"/>
                <w:color w:val="auto"/>
                <w:highlight w:val="none"/>
              </w:rPr>
            </w:pPr>
          </w:p>
        </w:tc>
        <w:tc>
          <w:tcPr>
            <w:tcW w:w="1202" w:type="dxa"/>
            <w:tcBorders>
              <w:top w:val="single" w:color="000000" w:sz="6" w:space="0"/>
              <w:left w:val="single" w:color="000000" w:sz="4" w:space="0"/>
              <w:bottom w:val="single" w:color="000000" w:sz="4" w:space="0"/>
              <w:right w:val="single" w:color="000000" w:sz="4" w:space="0"/>
            </w:tcBorders>
            <w:vAlign w:val="center"/>
          </w:tcPr>
          <w:p w14:paraId="0413659C">
            <w:pPr>
              <w:snapToGrid w:val="0"/>
              <w:spacing w:line="400" w:lineRule="exact"/>
              <w:jc w:val="center"/>
              <w:rPr>
                <w:rFonts w:ascii="宋体" w:hAnsi="宋体" w:cs="宋体"/>
                <w:color w:val="auto"/>
                <w:highlight w:val="none"/>
              </w:rPr>
            </w:pPr>
          </w:p>
        </w:tc>
      </w:tr>
    </w:tbl>
    <w:p w14:paraId="0C3836EA">
      <w:pPr>
        <w:rPr>
          <w:rFonts w:ascii="宋体" w:hAnsi="宋体" w:cs="宋体"/>
          <w:color w:val="auto"/>
          <w:highlight w:val="none"/>
        </w:rPr>
      </w:pPr>
    </w:p>
    <w:p w14:paraId="4F445B65">
      <w:pPr>
        <w:pStyle w:val="8"/>
        <w:spacing w:line="360" w:lineRule="auto"/>
        <w:ind w:left="140"/>
        <w:rPr>
          <w:rFonts w:ascii="宋体" w:hAnsi="宋体" w:cs="宋体"/>
          <w:color w:val="auto"/>
          <w:sz w:val="24"/>
          <w:szCs w:val="24"/>
          <w:highlight w:val="none"/>
        </w:rPr>
      </w:pPr>
      <w:r>
        <w:rPr>
          <w:rFonts w:ascii="宋体" w:hAnsi="宋体" w:cs="宋体"/>
          <w:b/>
          <w:bCs/>
          <w:color w:val="auto"/>
          <w:sz w:val="24"/>
          <w:szCs w:val="24"/>
          <w:highlight w:val="none"/>
        </w:rPr>
        <w:t>该表可扩展，</w:t>
      </w:r>
      <w:r>
        <w:rPr>
          <w:rFonts w:ascii="宋体" w:hAnsi="宋体" w:cs="宋体"/>
          <w:color w:val="auto"/>
          <w:sz w:val="24"/>
          <w:szCs w:val="24"/>
          <w:highlight w:val="none"/>
        </w:rPr>
        <w:t>后附</w:t>
      </w:r>
      <w:r>
        <w:rPr>
          <w:rFonts w:hint="eastAsia" w:ascii="宋体" w:hAnsi="宋体" w:cs="宋体"/>
          <w:color w:val="auto"/>
          <w:sz w:val="24"/>
          <w:szCs w:val="24"/>
          <w:highlight w:val="none"/>
        </w:rPr>
        <w:t>证明材料</w:t>
      </w:r>
    </w:p>
    <w:p w14:paraId="368147B5">
      <w:pPr>
        <w:snapToGrid w:val="0"/>
        <w:spacing w:line="480" w:lineRule="auto"/>
        <w:jc w:val="left"/>
        <w:rPr>
          <w:rFonts w:ascii="宋体" w:hAnsi="宋体" w:cs="宋体"/>
          <w:color w:val="auto"/>
          <w:sz w:val="24"/>
          <w:szCs w:val="24"/>
          <w:highlight w:val="none"/>
        </w:rPr>
        <w:sectPr>
          <w:pgSz w:w="11906" w:h="16838"/>
          <w:pgMar w:top="1440" w:right="1803" w:bottom="1440" w:left="1803" w:header="851" w:footer="992" w:gutter="0"/>
          <w:pgNumType w:fmt="decimal"/>
          <w:cols w:space="720" w:num="1"/>
          <w:formProt w:val="0"/>
          <w:docGrid w:type="lines" w:linePitch="319" w:charSpace="0"/>
        </w:sectPr>
      </w:pPr>
    </w:p>
    <w:p w14:paraId="6F8DBAEF">
      <w:pPr>
        <w:pStyle w:val="3"/>
        <w:tabs>
          <w:tab w:val="left" w:pos="2730"/>
        </w:tabs>
        <w:spacing w:beforeLines="132" w:afterLines="199" w:line="500" w:lineRule="exact"/>
        <w:rPr>
          <w:rFonts w:ascii="宋体" w:hAnsi="宋体" w:cs="宋体"/>
          <w:color w:val="auto"/>
          <w:sz w:val="36"/>
          <w:szCs w:val="36"/>
          <w:highlight w:val="none"/>
        </w:rPr>
      </w:pPr>
      <w:bookmarkStart w:id="68" w:name="_Toc3204"/>
      <w:bookmarkStart w:id="69" w:name="_Toc2378"/>
      <w:bookmarkStart w:id="70" w:name="_Toc24512"/>
      <w:r>
        <w:rPr>
          <w:rFonts w:ascii="宋体" w:hAnsi="宋体" w:cs="宋体"/>
          <w:color w:val="auto"/>
          <w:sz w:val="36"/>
          <w:szCs w:val="36"/>
          <w:highlight w:val="none"/>
        </w:rPr>
        <w:t>第</w:t>
      </w:r>
      <w:r>
        <w:rPr>
          <w:rFonts w:hint="eastAsia" w:ascii="宋体" w:hAnsi="宋体" w:cs="宋体"/>
          <w:color w:val="auto"/>
          <w:sz w:val="36"/>
          <w:szCs w:val="36"/>
          <w:highlight w:val="none"/>
          <w:lang w:val="en-US" w:eastAsia="zh-CN"/>
        </w:rPr>
        <w:t>九</w:t>
      </w:r>
      <w:r>
        <w:rPr>
          <w:rFonts w:ascii="宋体" w:hAnsi="宋体" w:cs="宋体"/>
          <w:color w:val="auto"/>
          <w:sz w:val="36"/>
          <w:szCs w:val="36"/>
          <w:highlight w:val="none"/>
        </w:rPr>
        <w:t>部分  供应商认为有必要说明的其他问题</w:t>
      </w:r>
      <w:r>
        <w:rPr>
          <w:color w:val="auto"/>
          <w:highlight w:val="none"/>
        </w:rPr>
        <w:br w:type="page"/>
      </w:r>
      <w:bookmarkEnd w:id="68"/>
      <w:bookmarkEnd w:id="69"/>
      <w:bookmarkEnd w:id="70"/>
    </w:p>
    <w:p w14:paraId="46A021E6">
      <w:pPr>
        <w:pStyle w:val="3"/>
        <w:spacing w:line="416" w:lineRule="atLeast"/>
        <w:textAlignment w:val="baseline"/>
        <w:rPr>
          <w:rFonts w:ascii="宋体" w:hAnsi="宋体" w:cs="宋体"/>
          <w:color w:val="auto"/>
          <w:highlight w:val="none"/>
        </w:rPr>
      </w:pPr>
      <w:bookmarkStart w:id="71" w:name="_Toc9127"/>
      <w:bookmarkStart w:id="72" w:name="_Toc4875"/>
      <w:bookmarkStart w:id="73" w:name="_Toc7234"/>
      <w:r>
        <w:rPr>
          <w:rFonts w:ascii="宋体" w:hAnsi="宋体" w:cs="宋体"/>
          <w:color w:val="auto"/>
          <w:highlight w:val="none"/>
        </w:rPr>
        <w:t>附件</w:t>
      </w:r>
      <w:r>
        <w:rPr>
          <w:rFonts w:hint="eastAsia" w:ascii="宋体" w:hAnsi="宋体" w:cs="宋体"/>
          <w:color w:val="auto"/>
          <w:highlight w:val="none"/>
        </w:rPr>
        <w:t>一</w:t>
      </w:r>
      <w:r>
        <w:rPr>
          <w:rFonts w:ascii="宋体" w:hAnsi="宋体" w:cs="宋体"/>
          <w:color w:val="auto"/>
          <w:highlight w:val="none"/>
        </w:rPr>
        <w:t>、</w:t>
      </w:r>
      <w:bookmarkStart w:id="74" w:name="_Toc5683"/>
      <w:r>
        <w:rPr>
          <w:rFonts w:hint="eastAsia" w:ascii="宋体" w:hAnsi="宋体" w:cs="宋体"/>
          <w:color w:val="auto"/>
          <w:highlight w:val="none"/>
        </w:rPr>
        <w:t>中小企业声明函（服务）</w:t>
      </w:r>
      <w:bookmarkEnd w:id="71"/>
      <w:bookmarkEnd w:id="72"/>
      <w:bookmarkEnd w:id="73"/>
      <w:bookmarkEnd w:id="74"/>
    </w:p>
    <w:p w14:paraId="3CD88886">
      <w:pPr>
        <w:rPr>
          <w:color w:val="auto"/>
          <w:highlight w:val="none"/>
        </w:rPr>
      </w:pPr>
    </w:p>
    <w:p w14:paraId="2BED45E5">
      <w:pPr>
        <w:spacing w:line="360" w:lineRule="auto"/>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根据《政府采购促进中小企业发展管理办法》（财库﹝2020﹞46 号）的规定，由供应商自行声明并对真实性负责。如有虚假，将依法承担相应责任。</w:t>
      </w:r>
    </w:p>
    <w:p w14:paraId="27E1D057">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本公司（联合体）郑重声明，根据《政府采购促进中小企业发展管理办法》（财库﹝2020﹞46 号）的规定，本公司（联合体）参加</w:t>
      </w:r>
      <w:r>
        <w:rPr>
          <w:rFonts w:hint="eastAsia" w:ascii="宋体" w:hAnsi="宋体" w:cs="宋体"/>
          <w:color w:val="auto"/>
          <w:sz w:val="24"/>
          <w:szCs w:val="16"/>
          <w:highlight w:val="none"/>
          <w:u w:val="single"/>
        </w:rPr>
        <w:t>（单位名称）</w:t>
      </w:r>
      <w:r>
        <w:rPr>
          <w:rFonts w:hint="eastAsia" w:ascii="宋体" w:hAnsi="宋体" w:cs="宋体"/>
          <w:color w:val="auto"/>
          <w:sz w:val="24"/>
          <w:szCs w:val="16"/>
          <w:highlight w:val="none"/>
        </w:rPr>
        <w:t>的</w:t>
      </w:r>
      <w:r>
        <w:rPr>
          <w:rFonts w:hint="eastAsia" w:ascii="宋体" w:hAnsi="宋体" w:cs="宋体"/>
          <w:color w:val="auto"/>
          <w:sz w:val="24"/>
          <w:szCs w:val="16"/>
          <w:highlight w:val="none"/>
          <w:u w:val="single"/>
        </w:rPr>
        <w:t>（项目名称</w:t>
      </w:r>
      <w:r>
        <w:rPr>
          <w:rFonts w:hint="eastAsia" w:ascii="宋体" w:hAnsi="宋体" w:cs="宋体"/>
          <w:color w:val="auto"/>
          <w:sz w:val="24"/>
          <w:szCs w:val="16"/>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2F116B8">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1.</w:t>
      </w:r>
      <w:r>
        <w:rPr>
          <w:rFonts w:hint="eastAsia" w:ascii="宋体" w:hAnsi="宋体" w:cs="宋体"/>
          <w:color w:val="auto"/>
          <w:sz w:val="24"/>
          <w:szCs w:val="16"/>
          <w:highlight w:val="none"/>
          <w:u w:val="single"/>
        </w:rPr>
        <w:t>（标的名称）</w:t>
      </w:r>
      <w:r>
        <w:rPr>
          <w:rFonts w:hint="eastAsia" w:ascii="宋体" w:hAnsi="宋体" w:cs="宋体"/>
          <w:color w:val="auto"/>
          <w:sz w:val="24"/>
          <w:szCs w:val="16"/>
          <w:highlight w:val="none"/>
        </w:rPr>
        <w:t xml:space="preserve"> ，属于</w:t>
      </w:r>
      <w:r>
        <w:rPr>
          <w:rFonts w:hint="eastAsia" w:ascii="宋体" w:hAnsi="宋体" w:cs="宋体"/>
          <w:color w:val="auto"/>
          <w:sz w:val="24"/>
          <w:szCs w:val="16"/>
          <w:highlight w:val="none"/>
          <w:u w:val="single"/>
        </w:rPr>
        <w:t>（采购文件中明确的所属行业）</w:t>
      </w:r>
      <w:r>
        <w:rPr>
          <w:rFonts w:hint="eastAsia" w:ascii="宋体" w:hAnsi="宋体" w:cs="宋体"/>
          <w:color w:val="auto"/>
          <w:sz w:val="24"/>
          <w:szCs w:val="16"/>
          <w:highlight w:val="none"/>
        </w:rPr>
        <w:t>；承建（承接）企业为</w:t>
      </w:r>
      <w:r>
        <w:rPr>
          <w:rFonts w:hint="eastAsia" w:ascii="宋体" w:hAnsi="宋体" w:cs="宋体"/>
          <w:color w:val="auto"/>
          <w:sz w:val="24"/>
          <w:szCs w:val="16"/>
          <w:highlight w:val="none"/>
          <w:u w:val="single"/>
        </w:rPr>
        <w:t>（企业名称）</w:t>
      </w:r>
      <w:r>
        <w:rPr>
          <w:rFonts w:hint="eastAsia" w:ascii="宋体" w:hAnsi="宋体" w:cs="宋体"/>
          <w:color w:val="auto"/>
          <w:sz w:val="24"/>
          <w:szCs w:val="16"/>
          <w:highlight w:val="none"/>
        </w:rPr>
        <w:t>，从业人员人，营业收入为万元，资产总额为万元，属于</w:t>
      </w:r>
      <w:r>
        <w:rPr>
          <w:rFonts w:hint="eastAsia" w:ascii="宋体" w:hAnsi="宋体" w:cs="宋体"/>
          <w:color w:val="auto"/>
          <w:sz w:val="24"/>
          <w:szCs w:val="16"/>
          <w:highlight w:val="none"/>
          <w:u w:val="single"/>
        </w:rPr>
        <w:t>（中型企业、小型企业、微型企业）</w:t>
      </w:r>
      <w:r>
        <w:rPr>
          <w:rFonts w:hint="eastAsia" w:ascii="宋体" w:hAnsi="宋体" w:cs="宋体"/>
          <w:color w:val="auto"/>
          <w:sz w:val="24"/>
          <w:szCs w:val="16"/>
          <w:highlight w:val="none"/>
        </w:rPr>
        <w:t>；</w:t>
      </w:r>
    </w:p>
    <w:p w14:paraId="3E0FDA98">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2.</w:t>
      </w:r>
      <w:r>
        <w:rPr>
          <w:rFonts w:hint="eastAsia" w:ascii="宋体" w:hAnsi="宋体" w:cs="宋体"/>
          <w:color w:val="auto"/>
          <w:sz w:val="24"/>
          <w:szCs w:val="16"/>
          <w:highlight w:val="none"/>
          <w:u w:val="single"/>
        </w:rPr>
        <w:t>（标的名称）</w:t>
      </w:r>
      <w:r>
        <w:rPr>
          <w:rFonts w:hint="eastAsia" w:ascii="宋体" w:hAnsi="宋体" w:cs="宋体"/>
          <w:color w:val="auto"/>
          <w:sz w:val="24"/>
          <w:szCs w:val="16"/>
          <w:highlight w:val="none"/>
        </w:rPr>
        <w:t xml:space="preserve"> ，属于</w:t>
      </w:r>
      <w:r>
        <w:rPr>
          <w:rFonts w:hint="eastAsia" w:ascii="宋体" w:hAnsi="宋体" w:cs="宋体"/>
          <w:color w:val="auto"/>
          <w:sz w:val="24"/>
          <w:szCs w:val="16"/>
          <w:highlight w:val="none"/>
          <w:u w:val="single"/>
        </w:rPr>
        <w:t>（采购文件中明确的所属行业）</w:t>
      </w:r>
      <w:r>
        <w:rPr>
          <w:rFonts w:hint="eastAsia" w:ascii="宋体" w:hAnsi="宋体" w:cs="宋体"/>
          <w:color w:val="auto"/>
          <w:sz w:val="24"/>
          <w:szCs w:val="16"/>
          <w:highlight w:val="none"/>
        </w:rPr>
        <w:t>；承建（承接）企业为</w:t>
      </w:r>
      <w:r>
        <w:rPr>
          <w:rFonts w:hint="eastAsia" w:ascii="宋体" w:hAnsi="宋体" w:cs="宋体"/>
          <w:color w:val="auto"/>
          <w:sz w:val="24"/>
          <w:szCs w:val="16"/>
          <w:highlight w:val="none"/>
          <w:u w:val="single"/>
        </w:rPr>
        <w:t>（企业名称）</w:t>
      </w:r>
      <w:r>
        <w:rPr>
          <w:rFonts w:hint="eastAsia" w:ascii="宋体" w:hAnsi="宋体" w:cs="宋体"/>
          <w:color w:val="auto"/>
          <w:sz w:val="24"/>
          <w:szCs w:val="16"/>
          <w:highlight w:val="none"/>
        </w:rPr>
        <w:t>，从业人员人，营业收入为万元，资产总额为万元，属于</w:t>
      </w:r>
      <w:r>
        <w:rPr>
          <w:rFonts w:hint="eastAsia" w:ascii="宋体" w:hAnsi="宋体" w:cs="宋体"/>
          <w:color w:val="auto"/>
          <w:sz w:val="24"/>
          <w:szCs w:val="16"/>
          <w:highlight w:val="none"/>
          <w:u w:val="single"/>
        </w:rPr>
        <w:t>（中型企业、小型企业、微型企业）</w:t>
      </w:r>
      <w:r>
        <w:rPr>
          <w:rFonts w:hint="eastAsia" w:ascii="宋体" w:hAnsi="宋体" w:cs="宋体"/>
          <w:color w:val="auto"/>
          <w:sz w:val="24"/>
          <w:szCs w:val="16"/>
          <w:highlight w:val="none"/>
        </w:rPr>
        <w:t>；</w:t>
      </w:r>
    </w:p>
    <w:p w14:paraId="2EBC766C">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w:t>
      </w:r>
    </w:p>
    <w:p w14:paraId="10895396">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以上企业，不属于大企业的分支机构，不存在控股股东为大企业的情形，也不存在与大企业的负责人为同一人的情形。</w:t>
      </w:r>
    </w:p>
    <w:p w14:paraId="0013541F">
      <w:pPr>
        <w:widowControl/>
        <w:spacing w:line="360" w:lineRule="auto"/>
        <w:ind w:firstLine="480" w:firstLineChars="200"/>
        <w:jc w:val="left"/>
        <w:rPr>
          <w:rFonts w:ascii="宋体" w:hAnsi="宋体" w:cs="宋体"/>
          <w:color w:val="auto"/>
          <w:sz w:val="24"/>
          <w:szCs w:val="16"/>
          <w:highlight w:val="none"/>
        </w:rPr>
      </w:pPr>
      <w:r>
        <w:rPr>
          <w:rFonts w:hint="eastAsia" w:ascii="宋体" w:hAnsi="宋体" w:cs="宋体"/>
          <w:color w:val="auto"/>
          <w:sz w:val="24"/>
          <w:szCs w:val="16"/>
          <w:highlight w:val="none"/>
        </w:rPr>
        <w:t>本企业对上述声明内容的真实性负责。如有虚假，将依法承担相应责任。</w:t>
      </w:r>
    </w:p>
    <w:p w14:paraId="46DECC73">
      <w:pPr>
        <w:widowControl/>
        <w:spacing w:line="360" w:lineRule="auto"/>
        <w:ind w:firstLine="480" w:firstLineChars="200"/>
        <w:jc w:val="center"/>
        <w:rPr>
          <w:rFonts w:ascii="宋体" w:hAnsi="宋体" w:cs="宋体"/>
          <w:color w:val="auto"/>
          <w:sz w:val="24"/>
          <w:szCs w:val="16"/>
          <w:highlight w:val="none"/>
        </w:rPr>
      </w:pPr>
      <w:r>
        <w:rPr>
          <w:rFonts w:hint="eastAsia" w:ascii="宋体" w:hAnsi="宋体" w:cs="宋体"/>
          <w:color w:val="auto"/>
          <w:sz w:val="24"/>
          <w:szCs w:val="16"/>
          <w:highlight w:val="none"/>
        </w:rPr>
        <w:t xml:space="preserve">                         企业名称（盖章）：</w:t>
      </w:r>
    </w:p>
    <w:p w14:paraId="412DF7E2">
      <w:pPr>
        <w:adjustRightInd w:val="0"/>
        <w:spacing w:line="360" w:lineRule="auto"/>
        <w:jc w:val="center"/>
        <w:textAlignment w:val="baseline"/>
        <w:rPr>
          <w:color w:val="auto"/>
          <w:sz w:val="20"/>
          <w:szCs w:val="21"/>
          <w:highlight w:val="none"/>
        </w:rPr>
      </w:pPr>
      <w:r>
        <w:rPr>
          <w:rFonts w:hint="eastAsia" w:ascii="宋体" w:hAnsi="宋体" w:cs="宋体"/>
          <w:color w:val="auto"/>
          <w:sz w:val="24"/>
          <w:szCs w:val="16"/>
          <w:highlight w:val="none"/>
        </w:rPr>
        <w:t xml:space="preserve">                                         日期：</w:t>
      </w:r>
    </w:p>
    <w:p w14:paraId="60481184">
      <w:pPr>
        <w:pStyle w:val="10"/>
        <w:spacing w:line="360" w:lineRule="auto"/>
        <w:ind w:firstLine="400" w:firstLineChars="200"/>
        <w:rPr>
          <w:rFonts w:hAnsi="宋体" w:cs="宋体"/>
          <w:color w:val="auto"/>
          <w:sz w:val="20"/>
          <w:szCs w:val="20"/>
          <w:highlight w:val="none"/>
        </w:rPr>
      </w:pPr>
      <w:r>
        <w:rPr>
          <w:rFonts w:hint="eastAsia" w:hAnsi="宋体" w:cs="宋体"/>
          <w:color w:val="auto"/>
          <w:sz w:val="20"/>
          <w:szCs w:val="20"/>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6ACF3E67">
      <w:pPr>
        <w:rPr>
          <w:rFonts w:ascii="宋体" w:hAnsi="宋体"/>
          <w:color w:val="auto"/>
          <w:sz w:val="18"/>
          <w:highlight w:val="none"/>
        </w:rPr>
      </w:pPr>
      <w:r>
        <w:rPr>
          <w:rFonts w:hint="eastAsia" w:hAnsi="宋体" w:cs="宋体"/>
          <w:color w:val="auto"/>
          <w:sz w:val="20"/>
          <w:szCs w:val="20"/>
          <w:highlight w:val="none"/>
        </w:rPr>
        <w:t xml:space="preserve">    2.从业人员、营业收入、资产总额填报上一年度数据，无上一年度数据的新成立企业可不填报。</w:t>
      </w:r>
    </w:p>
    <w:p w14:paraId="53CE3867">
      <w:pPr>
        <w:widowControl/>
        <w:spacing w:beforeLines="187" w:afterLines="125" w:line="540" w:lineRule="atLeast"/>
        <w:jc w:val="center"/>
        <w:textAlignment w:val="baseline"/>
        <w:rPr>
          <w:rFonts w:ascii="微软雅黑" w:hAnsi="微软雅黑" w:eastAsia="微软雅黑" w:cs="微软雅黑"/>
          <w:color w:val="auto"/>
          <w:sz w:val="39"/>
          <w:szCs w:val="39"/>
          <w:highlight w:val="none"/>
        </w:rPr>
      </w:pPr>
      <w:r>
        <w:rPr>
          <w:rFonts w:ascii="微软雅黑" w:hAnsi="微软雅黑" w:eastAsia="微软雅黑" w:cs="微软雅黑"/>
          <w:color w:val="auto"/>
          <w:sz w:val="39"/>
          <w:szCs w:val="39"/>
          <w:highlight w:val="none"/>
          <w:shd w:val="clear" w:color="auto" w:fill="FFFFFF"/>
        </w:rPr>
        <w:t>关于印发中小企业划型标准规定的通知</w:t>
      </w:r>
    </w:p>
    <w:p w14:paraId="368A63B1">
      <w:pPr>
        <w:pStyle w:val="43"/>
        <w:spacing w:before="130" w:after="130" w:line="360" w:lineRule="auto"/>
        <w:rPr>
          <w:color w:val="auto"/>
          <w:highlight w:val="none"/>
          <w:shd w:val="clear" w:color="auto" w:fill="FFFFFF"/>
        </w:rPr>
      </w:pPr>
      <w:r>
        <w:rPr>
          <w:color w:val="auto"/>
          <w:highlight w:val="none"/>
          <w:shd w:val="clear" w:color="auto" w:fill="FFFFFF"/>
        </w:rPr>
        <w:t>各省、自治区、直辖市人民政府，国务院各部委、各直属机构及有关单位：</w:t>
      </w:r>
    </w:p>
    <w:p w14:paraId="34E8BE74">
      <w:pPr>
        <w:pStyle w:val="43"/>
        <w:spacing w:before="130" w:after="130" w:line="360" w:lineRule="auto"/>
        <w:rPr>
          <w:color w:val="auto"/>
          <w:highlight w:val="none"/>
          <w:shd w:val="clear" w:color="auto" w:fill="FFFFFF"/>
        </w:rPr>
      </w:pPr>
      <w:r>
        <w:rPr>
          <w:color w:val="auto"/>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B610799">
      <w:pPr>
        <w:pStyle w:val="43"/>
        <w:spacing w:before="130" w:after="130" w:line="360" w:lineRule="auto"/>
        <w:rPr>
          <w:color w:val="auto"/>
          <w:highlight w:val="none"/>
          <w:shd w:val="clear" w:color="auto" w:fill="FFFFFF"/>
        </w:rPr>
      </w:pPr>
      <w:r>
        <w:rPr>
          <w:color w:val="auto"/>
          <w:highlight w:val="none"/>
          <w:shd w:val="clear" w:color="auto" w:fill="FFFFFF"/>
        </w:rPr>
        <w:t>　　　　　　　　　　　　　　　　　　　　　工业和信息化部　国家统计局</w:t>
      </w:r>
    </w:p>
    <w:p w14:paraId="444510DD">
      <w:pPr>
        <w:pStyle w:val="43"/>
        <w:spacing w:before="130" w:after="130" w:line="360" w:lineRule="auto"/>
        <w:rPr>
          <w:color w:val="auto"/>
          <w:highlight w:val="none"/>
          <w:shd w:val="clear" w:color="auto" w:fill="FFFFFF"/>
        </w:rPr>
      </w:pPr>
      <w:r>
        <w:rPr>
          <w:color w:val="auto"/>
          <w:highlight w:val="none"/>
          <w:shd w:val="clear" w:color="auto" w:fill="FFFFFF"/>
        </w:rPr>
        <w:t>　　　　　　　　　　　　　　　　　　　　国家发展和改革委员会　财政部</w:t>
      </w:r>
    </w:p>
    <w:p w14:paraId="7A48092E">
      <w:pPr>
        <w:pStyle w:val="43"/>
        <w:spacing w:before="130" w:after="130" w:line="360" w:lineRule="auto"/>
        <w:rPr>
          <w:color w:val="auto"/>
          <w:highlight w:val="none"/>
        </w:rPr>
      </w:pPr>
      <w:r>
        <w:rPr>
          <w:color w:val="auto"/>
          <w:highlight w:val="none"/>
          <w:shd w:val="clear" w:color="auto" w:fill="FFFFFF"/>
        </w:rPr>
        <w:t>　　　　　　　　　　　　　　　　　　　　　　　　二○一一年六月十八日</w:t>
      </w:r>
    </w:p>
    <w:p w14:paraId="554D5BC6">
      <w:pPr>
        <w:pStyle w:val="43"/>
        <w:spacing w:before="130" w:after="130"/>
        <w:rPr>
          <w:color w:val="auto"/>
          <w:highlight w:val="none"/>
        </w:rPr>
      </w:pPr>
      <w:r>
        <w:rPr>
          <w:color w:val="auto"/>
          <w:highlight w:val="none"/>
          <w:shd w:val="clear" w:color="auto" w:fill="FFFFFF"/>
        </w:rPr>
        <w:t> </w:t>
      </w:r>
    </w:p>
    <w:p w14:paraId="2E4DBC8D">
      <w:pPr>
        <w:pStyle w:val="43"/>
        <w:spacing w:before="130" w:after="130"/>
        <w:jc w:val="center"/>
        <w:rPr>
          <w:rStyle w:val="37"/>
          <w:color w:val="auto"/>
          <w:sz w:val="36"/>
          <w:szCs w:val="36"/>
          <w:highlight w:val="none"/>
          <w:shd w:val="clear" w:color="auto" w:fill="FFFFFF"/>
        </w:rPr>
      </w:pPr>
      <w:r>
        <w:rPr>
          <w:rStyle w:val="37"/>
          <w:color w:val="auto"/>
          <w:sz w:val="36"/>
          <w:szCs w:val="36"/>
          <w:highlight w:val="none"/>
          <w:shd w:val="clear" w:color="auto" w:fill="FFFFFF"/>
        </w:rPr>
        <w:t>中小企业划型标准规定</w:t>
      </w:r>
    </w:p>
    <w:p w14:paraId="327AAA0D">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一、根据《中华人民共和国中小企业促进法》和《国务院关于进一步促进中小企业发展的若干意见》(国发〔2009〕36号)，制定本规定。</w:t>
      </w:r>
    </w:p>
    <w:p w14:paraId="2D5361E0">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二、中小企业划分为中型、小型、微型三种类型，具体标准根据企业从业人员、营业收入、资产总额等指标，结合行业特点制定。</w:t>
      </w:r>
    </w:p>
    <w:p w14:paraId="18AB73AC">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3D820C5">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四、各行业划型标准为：</w:t>
      </w:r>
    </w:p>
    <w:p w14:paraId="7C3ACE61">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2D3C16AC">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314E14F">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3097A96">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BD26D24">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D44043E">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4B9F3C">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1C305CB">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294334C">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2DB51E">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62C79E">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5077F27">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317C027">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6732386">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6F65563">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860BFDA">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7CEA6B16">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五、企业类型的划分以统计部门的统计数据为依据。</w:t>
      </w:r>
    </w:p>
    <w:p w14:paraId="4C3C7764">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68958F93">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300410E0">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八、本规定由工业和信息化部、国家统计局会同有关部门根据《国民经济行业分类》修订情况和企业发展变化情况适时修订。</w:t>
      </w:r>
    </w:p>
    <w:p w14:paraId="37383648">
      <w:pPr>
        <w:spacing w:line="360" w:lineRule="auto"/>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九、本规定由工业和信息化部、国家统计局会同有关部门负责解释。</w:t>
      </w:r>
    </w:p>
    <w:p w14:paraId="41D37C12">
      <w:pPr>
        <w:spacing w:line="360" w:lineRule="auto"/>
        <w:rPr>
          <w:rFonts w:ascii="宋体" w:hAnsi="宋体" w:cs="宋体"/>
          <w:color w:val="auto"/>
          <w:sz w:val="24"/>
          <w:szCs w:val="24"/>
          <w:highlight w:val="none"/>
          <w:shd w:val="clear" w:color="auto" w:fill="FFFFFF"/>
        </w:rPr>
        <w:sectPr>
          <w:headerReference r:id="rId38" w:type="default"/>
          <w:footerReference r:id="rId39"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color w:val="auto"/>
          <w:sz w:val="24"/>
          <w:szCs w:val="24"/>
          <w:highlight w:val="none"/>
          <w:shd w:val="clear" w:color="auto" w:fill="FFFFFF"/>
        </w:rPr>
        <w:t>　　十、本规定自发布之日起执行，原国家经贸委、原国家计委、财政部和国家统计局2003年颁布的《中小企业标准暂行规定》同时废止。</w:t>
      </w:r>
    </w:p>
    <w:p w14:paraId="777413FB">
      <w:pPr>
        <w:pStyle w:val="3"/>
        <w:rPr>
          <w:rFonts w:ascii="宋体" w:hAnsi="宋体" w:cs="宋体"/>
          <w:color w:val="auto"/>
          <w:highlight w:val="none"/>
        </w:rPr>
      </w:pPr>
      <w:bookmarkStart w:id="75" w:name="_Toc5342"/>
      <w:bookmarkStart w:id="76" w:name="_Toc28240"/>
      <w:bookmarkStart w:id="77" w:name="_Toc6220"/>
      <w:r>
        <w:rPr>
          <w:rFonts w:ascii="宋体" w:hAnsi="宋体" w:cs="宋体"/>
          <w:color w:val="auto"/>
          <w:highlight w:val="none"/>
        </w:rPr>
        <w:t>附件</w:t>
      </w:r>
      <w:r>
        <w:rPr>
          <w:rFonts w:hint="eastAsia" w:ascii="宋体" w:hAnsi="宋体" w:cs="宋体"/>
          <w:color w:val="auto"/>
          <w:highlight w:val="none"/>
        </w:rPr>
        <w:t>二</w:t>
      </w:r>
      <w:r>
        <w:rPr>
          <w:rFonts w:ascii="宋体" w:hAnsi="宋体" w:cs="宋体"/>
          <w:color w:val="auto"/>
          <w:highlight w:val="none"/>
        </w:rPr>
        <w:t>、残疾人福利性单位声明</w:t>
      </w:r>
      <w:bookmarkEnd w:id="75"/>
      <w:bookmarkEnd w:id="76"/>
      <w:bookmarkEnd w:id="77"/>
    </w:p>
    <w:p w14:paraId="2C3603F6">
      <w:pPr>
        <w:spacing w:line="588" w:lineRule="exact"/>
        <w:rPr>
          <w:rFonts w:ascii="宋体" w:hAnsi="宋体" w:cs="宋体"/>
          <w:color w:val="auto"/>
          <w:spacing w:val="6"/>
          <w:sz w:val="24"/>
          <w:highlight w:val="none"/>
        </w:rPr>
      </w:pPr>
      <w:r>
        <w:rPr>
          <w:rFonts w:ascii="宋体" w:hAnsi="宋体" w:cs="宋体"/>
          <w:color w:val="auto"/>
          <w:spacing w:val="6"/>
          <w:sz w:val="24"/>
          <w:highlight w:val="none"/>
        </w:rPr>
        <w:t>根据《三部门联合发布关于促进残疾人就业政府采购政策的通知》（财库〔2018〕141号）的规定，由供应商自行申明，并对申明真实性负责。如有虚假，将依法承担相应责任。</w:t>
      </w:r>
    </w:p>
    <w:p w14:paraId="2876BC46">
      <w:pPr>
        <w:pStyle w:val="3"/>
        <w:rPr>
          <w:rFonts w:ascii="宋体" w:hAnsi="宋体" w:cs="宋体"/>
          <w:color w:val="auto"/>
          <w:highlight w:val="none"/>
        </w:rPr>
      </w:pPr>
      <w:bookmarkStart w:id="78" w:name="_Toc14114"/>
      <w:bookmarkStart w:id="79" w:name="_Toc5717"/>
      <w:bookmarkStart w:id="80" w:name="_Toc2195"/>
      <w:r>
        <w:rPr>
          <w:rFonts w:ascii="宋体" w:hAnsi="宋体" w:cs="宋体"/>
          <w:color w:val="auto"/>
          <w:highlight w:val="none"/>
        </w:rPr>
        <w:t>附件</w:t>
      </w:r>
      <w:r>
        <w:rPr>
          <w:rFonts w:hint="eastAsia" w:ascii="宋体" w:hAnsi="宋体" w:cs="宋体"/>
          <w:color w:val="auto"/>
          <w:highlight w:val="none"/>
        </w:rPr>
        <w:t>三</w:t>
      </w:r>
      <w:r>
        <w:rPr>
          <w:rFonts w:ascii="宋体" w:hAnsi="宋体" w:cs="宋体"/>
          <w:color w:val="auto"/>
          <w:highlight w:val="none"/>
        </w:rPr>
        <w:t>、监狱企业证明文件</w:t>
      </w:r>
      <w:bookmarkEnd w:id="78"/>
      <w:bookmarkEnd w:id="79"/>
      <w:bookmarkEnd w:id="80"/>
    </w:p>
    <w:p w14:paraId="5318396E">
      <w:pPr>
        <w:rPr>
          <w:rFonts w:ascii="宋体" w:hAnsi="宋体" w:cs="宋体"/>
          <w:color w:val="auto"/>
          <w:highlight w:val="none"/>
        </w:rPr>
      </w:pPr>
    </w:p>
    <w:p w14:paraId="674D13B8">
      <w:pPr>
        <w:snapToGrid w:val="0"/>
        <w:spacing w:line="360" w:lineRule="auto"/>
        <w:jc w:val="left"/>
        <w:rPr>
          <w:rFonts w:ascii="宋体" w:hAnsi="宋体" w:cs="宋体"/>
          <w:b/>
          <w:bCs/>
          <w:color w:val="auto"/>
          <w:spacing w:val="48"/>
          <w:sz w:val="72"/>
          <w:szCs w:val="72"/>
          <w:highlight w:val="none"/>
        </w:rPr>
      </w:pPr>
      <w:r>
        <w:rPr>
          <w:rFonts w:ascii="宋体" w:hAnsi="宋体" w:cs="宋体"/>
          <w:color w:val="auto"/>
          <w:spacing w:val="6"/>
          <w:sz w:val="24"/>
          <w:szCs w:val="24"/>
          <w:highlight w:val="none"/>
        </w:rPr>
        <w:t>说明：根据</w:t>
      </w:r>
      <w:r>
        <w:rPr>
          <w:rFonts w:ascii="宋体" w:hAnsi="宋体" w:cs="宋体"/>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5E878183">
      <w:pPr>
        <w:spacing w:line="416" w:lineRule="atLeast"/>
        <w:textAlignment w:val="baseline"/>
        <w:rPr>
          <w:rFonts w:ascii="宋体" w:hAnsi="宋体" w:cs="宋体"/>
          <w:b/>
          <w:bCs/>
          <w:color w:val="auto"/>
          <w:spacing w:val="6"/>
          <w:sz w:val="24"/>
          <w:szCs w:val="72"/>
          <w:highlight w:val="none"/>
        </w:rPr>
      </w:pPr>
    </w:p>
    <w:p w14:paraId="7922AB38">
      <w:pPr>
        <w:pStyle w:val="3"/>
        <w:spacing w:line="416" w:lineRule="atLeast"/>
        <w:textAlignment w:val="baseline"/>
        <w:rPr>
          <w:rFonts w:ascii="宋体" w:hAnsi="宋体" w:cs="宋体"/>
          <w:color w:val="auto"/>
          <w:highlight w:val="none"/>
        </w:rPr>
      </w:pPr>
      <w:bookmarkStart w:id="81" w:name="_Toc12031"/>
      <w:bookmarkStart w:id="82" w:name="_Toc13443"/>
      <w:bookmarkStart w:id="83" w:name="_Toc9087"/>
      <w:r>
        <w:rPr>
          <w:rFonts w:ascii="宋体" w:hAnsi="宋体" w:cs="宋体"/>
          <w:color w:val="auto"/>
          <w:highlight w:val="none"/>
        </w:rPr>
        <w:t>附件</w:t>
      </w:r>
      <w:r>
        <w:rPr>
          <w:rFonts w:hint="eastAsia" w:ascii="宋体" w:hAnsi="宋体" w:cs="宋体"/>
          <w:color w:val="auto"/>
          <w:highlight w:val="none"/>
        </w:rPr>
        <w:t>四</w:t>
      </w:r>
      <w:r>
        <w:rPr>
          <w:rFonts w:ascii="宋体" w:hAnsi="宋体" w:cs="宋体"/>
          <w:color w:val="auto"/>
          <w:highlight w:val="none"/>
        </w:rPr>
        <w:t>、“节能产品”，“环境标志产品”证明材料</w:t>
      </w:r>
      <w:bookmarkEnd w:id="81"/>
      <w:bookmarkEnd w:id="82"/>
      <w:bookmarkEnd w:id="83"/>
    </w:p>
    <w:p w14:paraId="659898D3">
      <w:pPr>
        <w:widowControl/>
        <w:spacing w:line="360" w:lineRule="auto"/>
        <w:rPr>
          <w:rFonts w:ascii="宋体" w:hAnsi="宋体" w:cs="宋体"/>
          <w:bCs/>
          <w:color w:val="auto"/>
          <w:spacing w:val="6"/>
          <w:sz w:val="24"/>
          <w:szCs w:val="24"/>
          <w:highlight w:val="none"/>
        </w:rPr>
        <w:sectPr>
          <w:headerReference r:id="rId40" w:type="default"/>
          <w:footerReference r:id="rId41" w:type="default"/>
          <w:pgSz w:w="11906" w:h="16838"/>
          <w:pgMar w:top="1440" w:right="1803" w:bottom="1440" w:left="1803" w:header="851" w:footer="992" w:gutter="0"/>
          <w:pgNumType w:fmt="decimal"/>
          <w:cols w:space="720" w:num="1"/>
          <w:formProt w:val="0"/>
          <w:docGrid w:type="lines" w:linePitch="319" w:charSpace="0"/>
        </w:sectPr>
      </w:pPr>
      <w:r>
        <w:rPr>
          <w:rFonts w:ascii="宋体" w:hAnsi="宋体" w:cs="宋体"/>
          <w:bCs/>
          <w:color w:val="auto"/>
          <w:spacing w:val="6"/>
          <w:sz w:val="24"/>
          <w:szCs w:val="24"/>
          <w:highlight w:val="none"/>
        </w:rPr>
        <w:t>1、供应商提供的产品属于“节能产品”，“环境标志产品”，应提供产品列入“节能产品”，“环境标志产品”相应产品的国家确定的认证机构出具的、处于有效期内的节能产品、环境标志产品认证证书。</w:t>
      </w:r>
    </w:p>
    <w:p w14:paraId="61C915A1">
      <w:pPr>
        <w:pStyle w:val="3"/>
        <w:spacing w:line="416" w:lineRule="atLeast"/>
        <w:textAlignment w:val="baseline"/>
        <w:rPr>
          <w:rFonts w:ascii="宋体" w:hAnsi="宋体" w:cs="宋体"/>
          <w:color w:val="auto"/>
          <w:highlight w:val="none"/>
        </w:rPr>
      </w:pPr>
      <w:bookmarkStart w:id="84" w:name="_Toc957"/>
      <w:bookmarkStart w:id="85" w:name="_Toc1598"/>
      <w:bookmarkStart w:id="86" w:name="_Toc12548"/>
      <w:r>
        <w:rPr>
          <w:rFonts w:ascii="宋体" w:hAnsi="宋体" w:cs="宋体"/>
          <w:color w:val="auto"/>
          <w:highlight w:val="none"/>
        </w:rPr>
        <w:t>附件</w:t>
      </w:r>
      <w:r>
        <w:rPr>
          <w:rFonts w:hint="eastAsia" w:ascii="宋体" w:hAnsi="宋体" w:cs="宋体"/>
          <w:color w:val="auto"/>
          <w:highlight w:val="none"/>
        </w:rPr>
        <w:t>五</w:t>
      </w:r>
      <w:r>
        <w:rPr>
          <w:rFonts w:ascii="宋体" w:hAnsi="宋体" w:cs="宋体"/>
          <w:color w:val="auto"/>
          <w:highlight w:val="none"/>
        </w:rPr>
        <w:t>、质疑函范本</w:t>
      </w:r>
      <w:bookmarkEnd w:id="84"/>
      <w:bookmarkEnd w:id="85"/>
      <w:bookmarkEnd w:id="86"/>
    </w:p>
    <w:p w14:paraId="7126CE2B">
      <w:pPr>
        <w:snapToGrid w:val="0"/>
        <w:spacing w:beforeLines="132" w:line="360" w:lineRule="auto"/>
        <w:rPr>
          <w:rFonts w:ascii="宋体" w:hAnsi="宋体" w:cs="宋体"/>
          <w:bCs/>
          <w:color w:val="auto"/>
          <w:sz w:val="24"/>
          <w:szCs w:val="24"/>
          <w:highlight w:val="none"/>
        </w:rPr>
      </w:pPr>
      <w:r>
        <w:rPr>
          <w:rFonts w:ascii="宋体" w:hAnsi="宋体" w:cs="宋体"/>
          <w:bCs/>
          <w:color w:val="auto"/>
          <w:sz w:val="24"/>
          <w:szCs w:val="24"/>
          <w:highlight w:val="none"/>
        </w:rPr>
        <w:t>一、质疑供应商基本信息</w:t>
      </w:r>
    </w:p>
    <w:p w14:paraId="20B4AE17">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质疑供应商：</w:t>
      </w:r>
    </w:p>
    <w:p w14:paraId="04222C3F">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地址：邮编：</w:t>
      </w:r>
    </w:p>
    <w:p w14:paraId="66C26284">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联系人：联系电话：</w:t>
      </w:r>
    </w:p>
    <w:p w14:paraId="16752F5C">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授权代表：</w:t>
      </w:r>
    </w:p>
    <w:p w14:paraId="5938A436">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联系电话：</w:t>
      </w:r>
    </w:p>
    <w:p w14:paraId="2E062A83">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地址：邮编：</w:t>
      </w:r>
    </w:p>
    <w:p w14:paraId="528321B0">
      <w:pPr>
        <w:snapToGrid w:val="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二、质疑项目基本情况</w:t>
      </w:r>
    </w:p>
    <w:p w14:paraId="6E319982">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质疑项目的名称： 包号：</w:t>
      </w:r>
    </w:p>
    <w:p w14:paraId="015430C6">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质疑项目的编号：</w:t>
      </w:r>
    </w:p>
    <w:p w14:paraId="18030B87">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采购人名称：</w:t>
      </w:r>
    </w:p>
    <w:p w14:paraId="6C71312A">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采购文件获取日期：</w:t>
      </w:r>
    </w:p>
    <w:p w14:paraId="5A9A281A">
      <w:pPr>
        <w:snapToGrid w:val="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三、质疑事项具体内容</w:t>
      </w:r>
    </w:p>
    <w:p w14:paraId="1E0EAE15">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质疑事项1：</w:t>
      </w:r>
    </w:p>
    <w:p w14:paraId="09AC4F1A">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事实依据：</w:t>
      </w:r>
    </w:p>
    <w:p w14:paraId="2DBD287B">
      <w:pPr>
        <w:snapToGrid w:val="0"/>
        <w:spacing w:line="360" w:lineRule="auto"/>
        <w:rPr>
          <w:rFonts w:ascii="宋体" w:hAnsi="宋体" w:cs="宋体"/>
          <w:color w:val="auto"/>
          <w:sz w:val="24"/>
          <w:szCs w:val="24"/>
          <w:highlight w:val="none"/>
          <w:u w:val="dotted"/>
        </w:rPr>
      </w:pPr>
    </w:p>
    <w:p w14:paraId="0EE39E36">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法律依据：</w:t>
      </w:r>
    </w:p>
    <w:p w14:paraId="701474E5">
      <w:pPr>
        <w:snapToGrid w:val="0"/>
        <w:spacing w:line="360" w:lineRule="auto"/>
        <w:rPr>
          <w:rFonts w:ascii="宋体" w:hAnsi="宋体" w:cs="宋体"/>
          <w:color w:val="auto"/>
          <w:sz w:val="24"/>
          <w:szCs w:val="24"/>
          <w:highlight w:val="none"/>
          <w:u w:val="dotted"/>
        </w:rPr>
      </w:pPr>
    </w:p>
    <w:p w14:paraId="3D6B3213">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质疑事项2</w:t>
      </w:r>
    </w:p>
    <w:p w14:paraId="1F99AF34">
      <w:pPr>
        <w:snapToGrid w:val="0"/>
        <w:spacing w:line="360" w:lineRule="auto"/>
        <w:rPr>
          <w:rFonts w:ascii="宋体" w:hAnsi="宋体" w:cs="宋体"/>
          <w:color w:val="auto"/>
          <w:sz w:val="24"/>
          <w:szCs w:val="24"/>
          <w:highlight w:val="none"/>
        </w:rPr>
      </w:pPr>
      <w:r>
        <w:rPr>
          <w:rFonts w:ascii="宋体" w:hAnsi="宋体" w:cs="宋体"/>
          <w:color w:val="auto"/>
          <w:sz w:val="24"/>
          <w:szCs w:val="24"/>
          <w:highlight w:val="none"/>
        </w:rPr>
        <w:t>……</w:t>
      </w:r>
    </w:p>
    <w:p w14:paraId="6C83AFE4">
      <w:pPr>
        <w:snapToGrid w:val="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四、与质疑事项相关的质疑请求</w:t>
      </w:r>
    </w:p>
    <w:p w14:paraId="21043AC0">
      <w:pPr>
        <w:snapToGrid w:val="0"/>
        <w:spacing w:line="360" w:lineRule="auto"/>
        <w:rPr>
          <w:rFonts w:ascii="宋体" w:hAnsi="宋体" w:cs="宋体"/>
          <w:color w:val="auto"/>
          <w:sz w:val="24"/>
          <w:szCs w:val="24"/>
          <w:highlight w:val="none"/>
          <w:u w:val="dotted"/>
        </w:rPr>
      </w:pPr>
      <w:r>
        <w:rPr>
          <w:rFonts w:ascii="宋体" w:hAnsi="宋体" w:cs="宋体"/>
          <w:color w:val="auto"/>
          <w:sz w:val="24"/>
          <w:szCs w:val="24"/>
          <w:highlight w:val="none"/>
        </w:rPr>
        <w:t>请求：</w:t>
      </w:r>
    </w:p>
    <w:p w14:paraId="4986C860">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签字(签章)：                   公章：                      </w:t>
      </w:r>
    </w:p>
    <w:p w14:paraId="29F1ACF6">
      <w:pPr>
        <w:spacing w:line="360" w:lineRule="auto"/>
        <w:rPr>
          <w:rFonts w:ascii="宋体" w:hAnsi="宋体" w:cs="宋体"/>
          <w:b/>
          <w:color w:val="auto"/>
          <w:sz w:val="24"/>
          <w:szCs w:val="24"/>
          <w:highlight w:val="none"/>
        </w:rPr>
      </w:pPr>
      <w:r>
        <w:rPr>
          <w:rFonts w:ascii="宋体" w:hAnsi="宋体" w:cs="宋体"/>
          <w:color w:val="auto"/>
          <w:sz w:val="24"/>
          <w:szCs w:val="24"/>
          <w:highlight w:val="none"/>
        </w:rPr>
        <w:t xml:space="preserve">日期：    </w:t>
      </w:r>
    </w:p>
    <w:p w14:paraId="70BFDF6F">
      <w:pPr>
        <w:spacing w:line="360" w:lineRule="auto"/>
        <w:rPr>
          <w:rFonts w:ascii="宋体" w:hAnsi="宋体" w:cs="宋体"/>
          <w:b/>
          <w:color w:val="auto"/>
          <w:sz w:val="24"/>
          <w:szCs w:val="24"/>
          <w:highlight w:val="none"/>
        </w:rPr>
      </w:pPr>
    </w:p>
    <w:p w14:paraId="2BA9DD57">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t>质疑函制作说明：</w:t>
      </w:r>
    </w:p>
    <w:p w14:paraId="20C7E9E0">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1.供应商提出质疑时，应提交质疑函和必要的证明材料。</w:t>
      </w:r>
    </w:p>
    <w:p w14:paraId="55FEB5D5">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2.质疑供应商若委托代理人进行质疑的，质疑函应按要求列明“授权代表”的有关内容，并在附件中提交由质疑</w:t>
      </w:r>
      <w:r>
        <w:rPr>
          <w:rFonts w:ascii="宋体" w:hAnsi="宋体" w:cs="宋体"/>
          <w:color w:val="auto"/>
          <w:kern w:val="0"/>
          <w:sz w:val="24"/>
          <w:szCs w:val="24"/>
          <w:highlight w:val="none"/>
        </w:rPr>
        <w:t>供应商签署的授权委托书。授权委托书应载明代理人的姓名或者名称、代理事项、具体权限、期限和相关事项。</w:t>
      </w:r>
    </w:p>
    <w:p w14:paraId="58CF3E12">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3.质疑供应商若对项目的某一分包进行质疑，质疑函中应列明具体分包号。</w:t>
      </w:r>
    </w:p>
    <w:p w14:paraId="0DD3D27D">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4.质疑函的质疑事项应具体、明确，并有必要的事实依据和法律依据。</w:t>
      </w:r>
    </w:p>
    <w:p w14:paraId="00205BC9">
      <w:pPr>
        <w:widowControl/>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5.质疑函的质疑请求应与质疑事项相关。</w:t>
      </w:r>
    </w:p>
    <w:p w14:paraId="31B0E746">
      <w:pPr>
        <w:spacing w:line="360" w:lineRule="auto"/>
        <w:jc w:val="left"/>
        <w:rPr>
          <w:rFonts w:ascii="宋体" w:hAnsi="宋体" w:cs="宋体"/>
          <w:color w:val="auto"/>
          <w:sz w:val="24"/>
          <w:szCs w:val="24"/>
          <w:highlight w:val="none"/>
        </w:rPr>
      </w:pPr>
      <w:r>
        <w:rPr>
          <w:rFonts w:ascii="宋体" w:hAnsi="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35CC01BB">
      <w:pPr>
        <w:rPr>
          <w:rFonts w:ascii="宋体" w:hAnsi="宋体" w:cs="宋体"/>
          <w:color w:val="auto"/>
          <w:sz w:val="24"/>
          <w:szCs w:val="24"/>
          <w:highlight w:val="none"/>
        </w:rPr>
      </w:pPr>
      <w:r>
        <w:rPr>
          <w:rFonts w:ascii="宋体" w:hAnsi="宋体" w:cs="宋体"/>
          <w:color w:val="auto"/>
          <w:sz w:val="24"/>
          <w:szCs w:val="24"/>
          <w:highlight w:val="none"/>
        </w:rPr>
        <w:br w:type="page"/>
      </w:r>
    </w:p>
    <w:p w14:paraId="6885EFFC">
      <w:pPr>
        <w:spacing w:line="360" w:lineRule="auto"/>
        <w:rPr>
          <w:rFonts w:ascii="宋体" w:hAnsi="宋体" w:cs="宋体"/>
          <w:b/>
          <w:bCs/>
          <w:color w:val="auto"/>
          <w:kern w:val="0"/>
          <w:sz w:val="32"/>
          <w:szCs w:val="32"/>
          <w:highlight w:val="none"/>
        </w:rPr>
      </w:pPr>
    </w:p>
    <w:p w14:paraId="3AD09FE3">
      <w:pPr>
        <w:rPr>
          <w:rFonts w:ascii="宋体" w:hAnsi="宋体" w:cs="宋体"/>
          <w:b/>
          <w:color w:val="auto"/>
          <w:spacing w:val="48"/>
          <w:sz w:val="24"/>
          <w:szCs w:val="24"/>
          <w:highlight w:val="none"/>
        </w:rPr>
      </w:pPr>
    </w:p>
    <w:p w14:paraId="3A201919">
      <w:pPr>
        <w:rPr>
          <w:rFonts w:ascii="宋体" w:hAnsi="宋体" w:cs="宋体"/>
          <w:b/>
          <w:color w:val="auto"/>
          <w:spacing w:val="48"/>
          <w:sz w:val="24"/>
          <w:szCs w:val="24"/>
          <w:highlight w:val="none"/>
        </w:rPr>
      </w:pPr>
    </w:p>
    <w:p w14:paraId="064BF3E6">
      <w:pPr>
        <w:jc w:val="left"/>
        <w:rPr>
          <w:rFonts w:ascii="宋体" w:hAnsi="宋体" w:cs="宋体"/>
          <w:b/>
          <w:color w:val="auto"/>
          <w:spacing w:val="48"/>
          <w:sz w:val="72"/>
          <w:szCs w:val="72"/>
          <w:highlight w:val="none"/>
        </w:rPr>
      </w:pPr>
    </w:p>
    <w:p w14:paraId="46B765A5">
      <w:pPr>
        <w:jc w:val="center"/>
        <w:rPr>
          <w:rFonts w:ascii="宋体" w:hAnsi="宋体" w:cs="宋体"/>
          <w:b/>
          <w:color w:val="auto"/>
          <w:spacing w:val="48"/>
          <w:sz w:val="72"/>
          <w:szCs w:val="72"/>
          <w:highlight w:val="none"/>
        </w:rPr>
      </w:pPr>
      <w:r>
        <w:rPr>
          <w:rFonts w:ascii="宋体" w:hAnsi="宋体" w:cs="宋体"/>
          <w:b/>
          <w:color w:val="auto"/>
          <w:spacing w:val="48"/>
          <w:sz w:val="72"/>
          <w:szCs w:val="72"/>
          <w:highlight w:val="none"/>
        </w:rPr>
        <w:t>公平       公正</w:t>
      </w:r>
    </w:p>
    <w:p w14:paraId="320E5BFC">
      <w:pPr>
        <w:tabs>
          <w:tab w:val="left" w:pos="0"/>
        </w:tabs>
        <w:jc w:val="center"/>
        <w:rPr>
          <w:rFonts w:ascii="宋体" w:hAnsi="宋体" w:cs="宋体"/>
          <w:color w:val="auto"/>
          <w:spacing w:val="48"/>
          <w:sz w:val="72"/>
          <w:szCs w:val="72"/>
          <w:highlight w:val="none"/>
        </w:rPr>
      </w:pPr>
    </w:p>
    <w:p w14:paraId="199A7AB9">
      <w:pPr>
        <w:jc w:val="center"/>
        <w:rPr>
          <w:rFonts w:ascii="宋体" w:hAnsi="宋体" w:cs="宋体"/>
          <w:color w:val="auto"/>
          <w:spacing w:val="48"/>
          <w:sz w:val="72"/>
          <w:szCs w:val="72"/>
          <w:highlight w:val="none"/>
        </w:rPr>
      </w:pPr>
    </w:p>
    <w:p w14:paraId="7136818E">
      <w:pPr>
        <w:jc w:val="center"/>
        <w:rPr>
          <w:rFonts w:ascii="宋体" w:hAnsi="宋体" w:cs="宋体"/>
          <w:b/>
          <w:color w:val="auto"/>
          <w:spacing w:val="48"/>
          <w:sz w:val="72"/>
          <w:szCs w:val="72"/>
          <w:highlight w:val="none"/>
        </w:rPr>
      </w:pPr>
      <w:r>
        <w:rPr>
          <w:rFonts w:ascii="宋体" w:hAnsi="宋体" w:cs="宋体"/>
          <w:b/>
          <w:color w:val="auto"/>
          <w:spacing w:val="48"/>
          <w:sz w:val="72"/>
          <w:szCs w:val="72"/>
          <w:highlight w:val="none"/>
        </w:rPr>
        <w:t>专业       高效</w:t>
      </w:r>
    </w:p>
    <w:p w14:paraId="1D4AAFFC">
      <w:pPr>
        <w:tabs>
          <w:tab w:val="left" w:pos="0"/>
        </w:tabs>
        <w:rPr>
          <w:rFonts w:ascii="宋体" w:hAnsi="宋体" w:cs="宋体"/>
          <w:color w:val="auto"/>
          <w:spacing w:val="48"/>
          <w:sz w:val="72"/>
          <w:szCs w:val="72"/>
          <w:highlight w:val="none"/>
        </w:rPr>
      </w:pPr>
    </w:p>
    <w:p w14:paraId="6E01B0F6">
      <w:pPr>
        <w:rPr>
          <w:rFonts w:ascii="宋体" w:hAnsi="宋体" w:cs="宋体"/>
          <w:b/>
          <w:color w:val="auto"/>
          <w:spacing w:val="48"/>
          <w:sz w:val="72"/>
          <w:szCs w:val="72"/>
          <w:highlight w:val="none"/>
        </w:rPr>
      </w:pPr>
    </w:p>
    <w:p w14:paraId="5770D3E0">
      <w:pPr>
        <w:rPr>
          <w:rFonts w:ascii="宋体" w:hAnsi="宋体" w:cs="宋体"/>
          <w:b/>
          <w:color w:val="auto"/>
          <w:spacing w:val="48"/>
          <w:sz w:val="72"/>
          <w:szCs w:val="72"/>
          <w:highlight w:val="none"/>
        </w:rPr>
      </w:pPr>
    </w:p>
    <w:p w14:paraId="4554705B">
      <w:pPr>
        <w:tabs>
          <w:tab w:val="left" w:pos="0"/>
        </w:tabs>
        <w:rPr>
          <w:rFonts w:ascii="宋体" w:hAnsi="宋体" w:cs="宋体"/>
          <w:color w:val="auto"/>
          <w:spacing w:val="48"/>
          <w:sz w:val="72"/>
          <w:szCs w:val="72"/>
          <w:highlight w:val="none"/>
        </w:rPr>
      </w:pPr>
    </w:p>
    <w:p w14:paraId="185B97A8">
      <w:pPr>
        <w:rPr>
          <w:rFonts w:ascii="宋体" w:hAnsi="宋体" w:cs="宋体"/>
          <w:color w:val="auto"/>
          <w:spacing w:val="48"/>
          <w:sz w:val="72"/>
          <w:szCs w:val="72"/>
          <w:highlight w:val="none"/>
        </w:rPr>
      </w:pPr>
    </w:p>
    <w:p w14:paraId="06649F71">
      <w:pPr>
        <w:rPr>
          <w:rFonts w:ascii="宋体" w:hAnsi="宋体" w:cs="宋体"/>
          <w:b/>
          <w:color w:val="auto"/>
          <w:sz w:val="30"/>
          <w:szCs w:val="30"/>
          <w:highlight w:val="none"/>
        </w:rPr>
      </w:pPr>
      <w:bookmarkStart w:id="87" w:name="OLE_LINK9"/>
      <w:bookmarkEnd w:id="87"/>
      <w:r>
        <w:rPr>
          <w:rFonts w:ascii="宋体" w:hAnsi="宋体" w:cs="宋体"/>
          <w:b/>
          <w:color w:val="auto"/>
          <w:sz w:val="30"/>
          <w:szCs w:val="30"/>
          <w:highlight w:val="none"/>
        </w:rPr>
        <w:t>企业名称：陕西卓佲项目管理有限公司</w:t>
      </w:r>
    </w:p>
    <w:p w14:paraId="17D6B5FB">
      <w:pPr>
        <w:rPr>
          <w:rFonts w:ascii="宋体" w:hAnsi="宋体" w:cs="宋体"/>
          <w:b/>
          <w:color w:val="auto"/>
          <w:sz w:val="30"/>
          <w:szCs w:val="30"/>
          <w:highlight w:val="none"/>
        </w:rPr>
      </w:pPr>
      <w:r>
        <w:rPr>
          <w:rFonts w:ascii="宋体" w:hAnsi="宋体" w:cs="宋体"/>
          <w:b/>
          <w:color w:val="auto"/>
          <w:sz w:val="30"/>
          <w:szCs w:val="30"/>
          <w:highlight w:val="none"/>
        </w:rPr>
        <w:t>地址：西安市雁塔区科技路30号合力紫郡B座21层</w:t>
      </w:r>
    </w:p>
    <w:p w14:paraId="29DCB20C">
      <w:pPr>
        <w:rPr>
          <w:rFonts w:ascii="宋体" w:hAnsi="宋体" w:cs="宋体"/>
          <w:b/>
          <w:color w:val="auto"/>
          <w:sz w:val="30"/>
          <w:szCs w:val="30"/>
          <w:highlight w:val="none"/>
        </w:rPr>
      </w:pPr>
      <w:r>
        <w:rPr>
          <w:rFonts w:ascii="宋体" w:hAnsi="宋体" w:cs="宋体"/>
          <w:b/>
          <w:color w:val="auto"/>
          <w:sz w:val="30"/>
          <w:szCs w:val="30"/>
          <w:highlight w:val="none"/>
        </w:rPr>
        <w:t>邮政编码：710065</w:t>
      </w:r>
    </w:p>
    <w:p w14:paraId="64AC3C9B">
      <w:pPr>
        <w:rPr>
          <w:rFonts w:ascii="宋体" w:hAnsi="宋体" w:cs="宋体"/>
          <w:b/>
          <w:color w:val="auto"/>
          <w:sz w:val="30"/>
          <w:szCs w:val="30"/>
          <w:highlight w:val="none"/>
        </w:rPr>
      </w:pPr>
      <w:r>
        <w:rPr>
          <w:rFonts w:ascii="宋体" w:hAnsi="宋体" w:cs="宋体"/>
          <w:b/>
          <w:color w:val="auto"/>
          <w:sz w:val="30"/>
          <w:szCs w:val="30"/>
          <w:highlight w:val="none"/>
        </w:rPr>
        <w:t>电话：029-81875979</w:t>
      </w:r>
    </w:p>
    <w:p w14:paraId="12188212">
      <w:pPr>
        <w:rPr>
          <w:rFonts w:ascii="宋体" w:hAnsi="宋体" w:cs="宋体"/>
          <w:color w:val="auto"/>
          <w:highlight w:val="none"/>
        </w:rPr>
      </w:pPr>
      <w:r>
        <w:rPr>
          <w:rFonts w:ascii="宋体" w:hAnsi="宋体" w:cs="宋体"/>
          <w:b/>
          <w:color w:val="auto"/>
          <w:sz w:val="30"/>
          <w:szCs w:val="30"/>
          <w:highlight w:val="none"/>
        </w:rPr>
        <w:t>传真：029-81875979</w:t>
      </w:r>
    </w:p>
    <w:sectPr>
      <w:headerReference r:id="rId42" w:type="default"/>
      <w:footerReference r:id="rId43" w:type="default"/>
      <w:pgSz w:w="11906" w:h="16838"/>
      <w:pgMar w:top="1440" w:right="1803" w:bottom="1440" w:left="1803" w:header="851" w:footer="992" w:gutter="0"/>
      <w:pgNumType w:fmt="decimal"/>
      <w:cols w:space="720" w:num="1"/>
      <w:formProt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楷体_GB2312">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F716D">
    <w:pPr>
      <w:pStyle w:val="12"/>
      <w:jc w:val="right"/>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847F3">
    <w:pPr>
      <w:pStyle w:val="12"/>
      <w:tabs>
        <w:tab w:val="right" w:pos="8426"/>
      </w:tabs>
    </w:pPr>
    <w:r>
      <w:rPr>
        <w:rFonts w:ascii="宋体" w:hAnsi="宋体" w:cs="宋体"/>
      </w:rPr>
      <w:tab/>
    </w:r>
    <w:r>
      <w:rPr>
        <w:rFonts w:ascii="宋体" w:hAnsi="宋体" w:cs="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13200">
    <w:pPr>
      <w:pStyle w:val="12"/>
      <w:jc w:val="right"/>
      <w:rPr>
        <w:rFonts w:ascii="宋体" w:hAnsi="宋体" w:cs="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C98E4">
    <w:pPr>
      <w:pStyle w:val="12"/>
      <w:jc w:val="right"/>
      <w:rPr>
        <w:rFonts w:ascii="宋体" w:hAnsi="宋体" w:cs="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67D67">
                          <w:pPr>
                            <w:pStyle w:val="1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767D67">
                    <w:pPr>
                      <w:pStyle w:val="1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5D7B3">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CF3F4">
                          <w:pPr>
                            <w:pStyle w:val="1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5FCF3F4">
                    <w:pPr>
                      <w:pStyle w:val="1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92992">
    <w:pPr>
      <w:pStyle w:val="12"/>
      <w:jc w:val="right"/>
      <w:rPr>
        <w:rFonts w:ascii="宋体" w:hAnsi="宋体" w:cs="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8A1E76">
                          <w:pPr>
                            <w:pStyle w:val="12"/>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18A1E76">
                    <w:pPr>
                      <w:pStyle w:val="12"/>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EF4C9">
    <w:pPr>
      <w:pStyle w:val="12"/>
      <w:jc w:val="right"/>
      <w:rPr>
        <w:rFonts w:ascii="宋体" w:hAnsi="宋体" w:cs="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BBB0A2">
                          <w:pPr>
                            <w:pStyle w:val="1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CBBB0A2">
                    <w:pPr>
                      <w:pStyle w:val="1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4B966">
    <w:pPr>
      <w:pStyle w:val="12"/>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870B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7C870BE">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60A8B">
    <w:pPr>
      <w:pStyle w:val="12"/>
      <w:jc w:val="right"/>
      <w:rPr>
        <w:rFonts w:ascii="宋体" w:hAnsi="宋体" w:cs="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F77A4">
                          <w:pPr>
                            <w:pStyle w:val="1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28F77A4">
                    <w:pPr>
                      <w:pStyle w:val="1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6621E">
    <w:pPr>
      <w:pStyle w:val="12"/>
      <w:jc w:val="right"/>
      <w:rPr>
        <w:rFonts w:ascii="宋体" w:hAnsi="宋体"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2CFAD">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922CFAD">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C5CD">
    <w:pPr>
      <w:pStyle w:val="12"/>
      <w:jc w:val="right"/>
      <w:rPr>
        <w:rFonts w:ascii="宋体" w:hAnsi="宋体" w:cs="宋体"/>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26169">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C526169">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F03EB">
    <w:pPr>
      <w:pStyle w:val="12"/>
      <w:jc w:val="right"/>
      <w:rPr>
        <w:rFonts w:ascii="宋体" w:hAnsi="宋体" w:cs="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141A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CC141A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DB6F3">
    <w:pPr>
      <w:pStyle w:val="12"/>
      <w:jc w:val="right"/>
      <w:rPr>
        <w:rFonts w:ascii="宋体" w:hAnsi="宋体" w:cs="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105AAC">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3105AAC">
                    <w:pPr>
                      <w:pStyle w:val="1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436D4">
    <w:pPr>
      <w:pStyle w:val="12"/>
      <w:jc w:val="right"/>
      <w:rPr>
        <w:rFonts w:ascii="宋体" w:hAnsi="宋体"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16FDA">
                          <w:pPr>
                            <w:pStyle w:val="1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7916FDA">
                    <w:pPr>
                      <w:pStyle w:val="1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4009D">
    <w:pPr>
      <w:pStyle w:val="12"/>
      <w:tabs>
        <w:tab w:val="center" w:pos="4150"/>
        <w:tab w:val="right" w:pos="8420"/>
        <w:tab w:val="clear" w:pos="4153"/>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83782">
                          <w:pPr>
                            <w:pStyle w:val="1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2D83782">
                    <w:pPr>
                      <w:pStyle w:val="12"/>
                    </w:pPr>
                    <w:r>
                      <w:fldChar w:fldCharType="begin"/>
                    </w:r>
                    <w:r>
                      <w:instrText xml:space="preserve"> PAGE  \* MERGEFORMAT </w:instrText>
                    </w:r>
                    <w:r>
                      <w:fldChar w:fldCharType="separate"/>
                    </w:r>
                    <w:r>
                      <w:t>52</w:t>
                    </w:r>
                    <w:r>
                      <w:fldChar w:fldCharType="end"/>
                    </w:r>
                  </w:p>
                </w:txbxContent>
              </v:textbox>
            </v:shape>
          </w:pict>
        </mc:Fallback>
      </mc:AlternateContent>
    </w:r>
    <w:r>
      <w:rPr>
        <w:rFonts w:ascii="宋体" w:hAnsi="宋体"/>
      </w:rPr>
      <w:tab/>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6FFB3">
    <w:pPr>
      <w:pStyle w:val="12"/>
      <w:tabs>
        <w:tab w:val="center" w:pos="4150"/>
        <w:tab w:val="right" w:pos="8420"/>
        <w:tab w:val="clear" w:pos="4153"/>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1F269">
                          <w:pPr>
                            <w:pStyle w:val="1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5C1F269">
                    <w:pPr>
                      <w:pStyle w:val="12"/>
                    </w:pPr>
                    <w:r>
                      <w:fldChar w:fldCharType="begin"/>
                    </w:r>
                    <w:r>
                      <w:instrText xml:space="preserve"> PAGE  \* MERGEFORMAT </w:instrText>
                    </w:r>
                    <w:r>
                      <w:fldChar w:fldCharType="separate"/>
                    </w:r>
                    <w:r>
                      <w:t>53</w:t>
                    </w:r>
                    <w:r>
                      <w:fldChar w:fldCharType="end"/>
                    </w:r>
                  </w:p>
                </w:txbxContent>
              </v:textbox>
            </v:shape>
          </w:pict>
        </mc:Fallback>
      </mc:AlternateContent>
    </w:r>
    <w:r>
      <w:rPr>
        <w:rFonts w:ascii="宋体" w:hAnsi="宋体"/>
      </w:rPr>
      <w:tab/>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871CC">
    <w:pPr>
      <w:pStyle w:val="12"/>
      <w:tabs>
        <w:tab w:val="center" w:pos="4150"/>
        <w:tab w:val="right" w:pos="8420"/>
        <w:tab w:val="clear" w:pos="4153"/>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76316">
                          <w:pPr>
                            <w:pStyle w:val="1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E676316">
                    <w:pPr>
                      <w:pStyle w:val="12"/>
                    </w:pPr>
                    <w:r>
                      <w:fldChar w:fldCharType="begin"/>
                    </w:r>
                    <w:r>
                      <w:instrText xml:space="preserve"> PAGE  \* MERGEFORMAT </w:instrText>
                    </w:r>
                    <w:r>
                      <w:fldChar w:fldCharType="separate"/>
                    </w:r>
                    <w:r>
                      <w:t>56</w:t>
                    </w:r>
                    <w:r>
                      <w:fldChar w:fldCharType="end"/>
                    </w:r>
                  </w:p>
                </w:txbxContent>
              </v:textbox>
            </v:shape>
          </w:pict>
        </mc:Fallback>
      </mc:AlternateContent>
    </w:r>
    <w:r>
      <w:rPr>
        <w:rFonts w:ascii="宋体" w:hAnsi="宋体"/>
      </w:rPr>
      <w:tab/>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AD2E9">
    <w:pPr>
      <w:pStyle w:val="12"/>
      <w:tabs>
        <w:tab w:val="center" w:pos="4150"/>
        <w:tab w:val="right" w:pos="8420"/>
        <w:tab w:val="clear" w:pos="4153"/>
      </w:tabs>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C68018">
                          <w:pPr>
                            <w:pStyle w:val="1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0C68018">
                    <w:pPr>
                      <w:pStyle w:val="12"/>
                    </w:pPr>
                    <w:r>
                      <w:fldChar w:fldCharType="begin"/>
                    </w:r>
                    <w:r>
                      <w:instrText xml:space="preserve"> PAGE  \* MERGEFORMAT </w:instrText>
                    </w:r>
                    <w:r>
                      <w:fldChar w:fldCharType="separate"/>
                    </w:r>
                    <w:r>
                      <w:t>57</w:t>
                    </w:r>
                    <w:r>
                      <w:fldChar w:fldCharType="end"/>
                    </w:r>
                  </w:p>
                </w:txbxContent>
              </v:textbox>
            </v:shape>
          </w:pict>
        </mc:Fallback>
      </mc:AlternateContent>
    </w:r>
    <w:r>
      <w:rPr>
        <w:rFonts w:ascii="宋体" w:hAnsi="宋体"/>
      </w:rPr>
      <w:tab/>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71C31">
    <w:pPr>
      <w:pStyle w:val="12"/>
      <w:tabs>
        <w:tab w:val="center" w:pos="4150"/>
        <w:tab w:val="right" w:pos="8420"/>
        <w:tab w:val="clear" w:pos="4153"/>
      </w:tabs>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479E">
                          <w:pPr>
                            <w:pStyle w:val="1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A5E479E">
                    <w:pPr>
                      <w:pStyle w:val="12"/>
                    </w:pPr>
                    <w:r>
                      <w:fldChar w:fldCharType="begin"/>
                    </w:r>
                    <w:r>
                      <w:instrText xml:space="preserve"> PAGE  \* MERGEFORMAT </w:instrText>
                    </w:r>
                    <w:r>
                      <w:fldChar w:fldCharType="separate"/>
                    </w:r>
                    <w:r>
                      <w:t>60</w:t>
                    </w:r>
                    <w:r>
                      <w:fldChar w:fldCharType="end"/>
                    </w:r>
                  </w:p>
                </w:txbxContent>
              </v:textbox>
            </v:shape>
          </w:pict>
        </mc:Fallback>
      </mc:AlternateContent>
    </w:r>
    <w:r>
      <w:rPr>
        <w:rFonts w:ascii="宋体" w:hAnsi="宋体" w:cs="宋体"/>
      </w:rPr>
      <w:tab/>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D4882">
    <w:pPr>
      <w:pStyle w:val="12"/>
      <w:tabs>
        <w:tab w:val="center" w:pos="4150"/>
        <w:tab w:val="right" w:pos="8420"/>
        <w:tab w:val="clear" w:pos="4153"/>
      </w:tabs>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C5CD9">
                          <w:pPr>
                            <w:pStyle w:val="12"/>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87C5CD9">
                    <w:pPr>
                      <w:pStyle w:val="12"/>
                    </w:pPr>
                    <w:r>
                      <w:fldChar w:fldCharType="begin"/>
                    </w:r>
                    <w:r>
                      <w:instrText xml:space="preserve"> PAGE  \* MERGEFORMAT </w:instrText>
                    </w:r>
                    <w:r>
                      <w:fldChar w:fldCharType="separate"/>
                    </w:r>
                    <w:r>
                      <w:t>66</w:t>
                    </w:r>
                    <w:r>
                      <w:fldChar w:fldCharType="end"/>
                    </w:r>
                  </w:p>
                </w:txbxContent>
              </v:textbox>
            </v:shape>
          </w:pict>
        </mc:Fallback>
      </mc:AlternateContent>
    </w:r>
    <w:r>
      <w:rPr>
        <w:rFonts w:ascii="宋体" w:hAnsi="宋体"/>
      </w:rPr>
      <w:tab/>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385B8">
    <w:pPr>
      <w:pStyle w:val="12"/>
      <w:tabs>
        <w:tab w:val="center" w:pos="4150"/>
        <w:tab w:val="right" w:pos="8420"/>
        <w:tab w:val="clear" w:pos="4153"/>
      </w:tabs>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935360">
                          <w:pPr>
                            <w:pStyle w:val="1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1935360">
                    <w:pPr>
                      <w:pStyle w:val="12"/>
                    </w:pPr>
                    <w:r>
                      <w:fldChar w:fldCharType="begin"/>
                    </w:r>
                    <w:r>
                      <w:instrText xml:space="preserve"> PAGE  \* MERGEFORMAT </w:instrText>
                    </w:r>
                    <w:r>
                      <w:fldChar w:fldCharType="separate"/>
                    </w:r>
                    <w:r>
                      <w:t>67</w:t>
                    </w:r>
                    <w:r>
                      <w:fldChar w:fldCharType="end"/>
                    </w:r>
                  </w:p>
                </w:txbxContent>
              </v:textbox>
            </v:shape>
          </w:pict>
        </mc:Fallback>
      </mc:AlternateContent>
    </w:r>
    <w:r>
      <w:rPr>
        <w:rFonts w:ascii="宋体" w:hAnsi="宋体"/>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85B91">
    <w:pPr>
      <w:pStyle w:val="13"/>
      <w:pBdr>
        <w:bottom w:val="none" w:color="auto" w:sz="0" w:space="0"/>
      </w:pBdr>
      <w:jc w:val="left"/>
      <w:rPr>
        <w:rFonts w:eastAsia="Calibri"/>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9961B">
    <w:pPr>
      <w:pStyle w:val="13"/>
      <w:pBdr>
        <w:bottom w:val="none" w:color="auto" w:sz="0" w:space="0"/>
      </w:pBdr>
      <w:jc w:val="left"/>
      <w:rPr>
        <w:rFonts w:eastAsia="Calibri"/>
        <w:sz w:val="15"/>
        <w:szCs w:val="1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727A9">
    <w:pPr>
      <w:pStyle w:val="13"/>
      <w:pBdr>
        <w:bottom w:val="none" w:color="auto" w:sz="0" w:space="0"/>
      </w:pBdr>
      <w:jc w:val="left"/>
      <w:rPr>
        <w:rFonts w:eastAsia="Calibri"/>
        <w:sz w:val="15"/>
        <w:szCs w:val="15"/>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B4069">
    <w:pPr>
      <w:pStyle w:val="13"/>
      <w:pBdr>
        <w:bottom w:val="none" w:color="auto" w:sz="0" w:space="0"/>
      </w:pBdr>
      <w:jc w:val="left"/>
      <w:rPr>
        <w:rFonts w:eastAsia="Calibri"/>
        <w:sz w:val="15"/>
        <w:szCs w:val="15"/>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6C974">
    <w:pPr>
      <w:snapToGrid w:val="0"/>
      <w:spacing w:line="360" w:lineRule="auto"/>
      <w:jc w:val="left"/>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39262">
    <w:pPr>
      <w:snapToGrid w:val="0"/>
      <w:spacing w:line="360" w:lineRule="auto"/>
      <w:jc w:val="left"/>
      <w:rPr>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59B4A">
    <w:pPr>
      <w:snapToGrid w:val="0"/>
      <w:spacing w:line="360" w:lineRule="auto"/>
      <w:jc w:val="left"/>
      <w:rPr>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DB85">
    <w:pPr>
      <w:snapToGrid w:val="0"/>
      <w:spacing w:line="360" w:lineRule="auto"/>
      <w:jc w:val="left"/>
      <w:rPr>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B9D50">
    <w:pPr>
      <w:snapToGrid w:val="0"/>
      <w:spacing w:line="360" w:lineRule="auto"/>
      <w:jc w:val="left"/>
      <w:rPr>
        <w:u w:val="single"/>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DD539">
    <w:pPr>
      <w:snapToGrid w:val="0"/>
      <w:spacing w:line="360" w:lineRule="auto"/>
      <w:jc w:val="left"/>
      <w:rPr>
        <w:u w:val="single"/>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411A">
    <w:pPr>
      <w:snapToGrid w:val="0"/>
      <w:spacing w:line="360" w:lineRule="auto"/>
      <w:jc w:val="left"/>
      <w:rPr>
        <w:u w:val="single"/>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41B9A">
    <w:pPr>
      <w:pStyle w:val="13"/>
      <w:pBdr>
        <w:bottom w:val="none" w:color="auto" w:sz="0" w:space="1"/>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52EF">
    <w:pPr>
      <w:snapToGrid w:val="0"/>
      <w:spacing w:line="360" w:lineRule="auto"/>
      <w:jc w:val="left"/>
      <w:rPr>
        <w:u w:val="single"/>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DEA3A">
    <w:pPr>
      <w:snapToGrid w:val="0"/>
      <w:spacing w:line="360" w:lineRule="auto"/>
      <w:jc w:val="left"/>
      <w:rPr>
        <w:u w:val="single"/>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D821">
    <w:pPr>
      <w:snapToGrid w:val="0"/>
      <w:spacing w:line="360" w:lineRule="auto"/>
      <w:jc w:val="left"/>
      <w:rPr>
        <w:u w:val="single"/>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1410A">
    <w:pPr>
      <w:snapToGrid w:val="0"/>
      <w:spacing w:line="360" w:lineRule="auto"/>
      <w:jc w:val="left"/>
      <w:rPr>
        <w:u w:val="single"/>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B052F">
    <w:pPr>
      <w:snapToGrid w:val="0"/>
      <w:spacing w:line="360" w:lineRule="auto"/>
      <w:jc w:val="left"/>
      <w:rPr>
        <w:u w:val="single"/>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0B3C2">
    <w:pPr>
      <w:snapToGrid w:val="0"/>
      <w:spacing w:line="360" w:lineRule="aut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12833">
    <w:pPr>
      <w:snapToGrid w:val="0"/>
      <w:spacing w:line="360" w:lineRule="auto"/>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94DF0">
    <w:pPr>
      <w:snapToGrid w:val="0"/>
      <w:spacing w:line="36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1FF42"/>
    <w:multiLevelType w:val="singleLevel"/>
    <w:tmpl w:val="8821FF42"/>
    <w:lvl w:ilvl="0" w:tentative="0">
      <w:start w:val="1"/>
      <w:numFmt w:val="decimal"/>
      <w:suff w:val="nothing"/>
      <w:lvlText w:val="%1、"/>
      <w:lvlJc w:val="left"/>
      <w:pPr>
        <w:tabs>
          <w:tab w:val="left" w:pos="0"/>
        </w:tabs>
        <w:ind w:left="0" w:firstLine="420"/>
      </w:pPr>
      <w:rPr>
        <w:rFonts w:cs="Times New Roman"/>
      </w:rPr>
    </w:lvl>
  </w:abstractNum>
  <w:abstractNum w:abstractNumId="1">
    <w:nsid w:val="A4ABCD25"/>
    <w:multiLevelType w:val="singleLevel"/>
    <w:tmpl w:val="A4ABCD25"/>
    <w:lvl w:ilvl="0" w:tentative="0">
      <w:start w:val="1"/>
      <w:numFmt w:val="decimal"/>
      <w:suff w:val="nothing"/>
      <w:lvlText w:val="（%1）"/>
      <w:lvlJc w:val="left"/>
      <w:pPr>
        <w:tabs>
          <w:tab w:val="left" w:pos="0"/>
        </w:tabs>
        <w:ind w:left="0" w:firstLine="400"/>
      </w:pPr>
      <w:rPr>
        <w:rFonts w:cs="Times New Roman"/>
      </w:rPr>
    </w:lvl>
  </w:abstractNum>
  <w:abstractNum w:abstractNumId="2">
    <w:nsid w:val="A6294A33"/>
    <w:multiLevelType w:val="singleLevel"/>
    <w:tmpl w:val="A6294A33"/>
    <w:lvl w:ilvl="0" w:tentative="0">
      <w:start w:val="5"/>
      <w:numFmt w:val="chineseCountingThousand"/>
      <w:suff w:val="space"/>
      <w:lvlText w:val="第%1部分"/>
      <w:lvlJc w:val="left"/>
      <w:pPr>
        <w:tabs>
          <w:tab w:val="left" w:pos="0"/>
        </w:tabs>
        <w:ind w:left="0" w:firstLine="0"/>
      </w:pPr>
    </w:lvl>
  </w:abstractNum>
  <w:abstractNum w:abstractNumId="3">
    <w:nsid w:val="A775F673"/>
    <w:multiLevelType w:val="singleLevel"/>
    <w:tmpl w:val="A775F673"/>
    <w:lvl w:ilvl="0" w:tentative="0">
      <w:start w:val="1"/>
      <w:numFmt w:val="decimal"/>
      <w:lvlText w:val="%1."/>
      <w:lvlJc w:val="left"/>
      <w:pPr>
        <w:tabs>
          <w:tab w:val="left" w:pos="312"/>
        </w:tabs>
      </w:pPr>
    </w:lvl>
  </w:abstractNum>
  <w:abstractNum w:abstractNumId="4">
    <w:nsid w:val="B1F3FFDF"/>
    <w:multiLevelType w:val="singleLevel"/>
    <w:tmpl w:val="B1F3FFDF"/>
    <w:lvl w:ilvl="0" w:tentative="0">
      <w:start w:val="1"/>
      <w:numFmt w:val="decimal"/>
      <w:suff w:val="nothing"/>
      <w:lvlText w:val="%1、"/>
      <w:lvlJc w:val="left"/>
      <w:pPr>
        <w:tabs>
          <w:tab w:val="left" w:pos="0"/>
        </w:tabs>
        <w:ind w:left="0" w:firstLine="420"/>
      </w:pPr>
      <w:rPr>
        <w:rFonts w:cs="Times New Roman"/>
      </w:rPr>
    </w:lvl>
  </w:abstractNum>
  <w:abstractNum w:abstractNumId="5">
    <w:nsid w:val="D3FF5746"/>
    <w:multiLevelType w:val="singleLevel"/>
    <w:tmpl w:val="D3FF5746"/>
    <w:lvl w:ilvl="0" w:tentative="0">
      <w:start w:val="1"/>
      <w:numFmt w:val="decimal"/>
      <w:suff w:val="nothing"/>
      <w:lvlText w:val="%1、"/>
      <w:lvlJc w:val="left"/>
      <w:pPr>
        <w:tabs>
          <w:tab w:val="left" w:pos="0"/>
        </w:tabs>
        <w:ind w:left="0" w:firstLine="420"/>
      </w:pPr>
      <w:rPr>
        <w:rFonts w:cs="Times New Roman"/>
      </w:rPr>
    </w:lvl>
  </w:abstractNum>
  <w:abstractNum w:abstractNumId="6">
    <w:nsid w:val="DBB8E47A"/>
    <w:multiLevelType w:val="singleLevel"/>
    <w:tmpl w:val="DBB8E47A"/>
    <w:lvl w:ilvl="0" w:tentative="0">
      <w:start w:val="1"/>
      <w:numFmt w:val="decimal"/>
      <w:suff w:val="nothing"/>
      <w:lvlText w:val="%1、"/>
      <w:lvlJc w:val="left"/>
    </w:lvl>
  </w:abstractNum>
  <w:abstractNum w:abstractNumId="7">
    <w:nsid w:val="E4B0BCC7"/>
    <w:multiLevelType w:val="singleLevel"/>
    <w:tmpl w:val="E4B0BCC7"/>
    <w:lvl w:ilvl="0" w:tentative="0">
      <w:start w:val="1"/>
      <w:numFmt w:val="decimal"/>
      <w:suff w:val="nothing"/>
      <w:lvlText w:val="%1、"/>
      <w:lvlJc w:val="left"/>
      <w:pPr>
        <w:tabs>
          <w:tab w:val="left" w:pos="0"/>
        </w:tabs>
        <w:ind w:left="0" w:firstLine="420"/>
      </w:pPr>
      <w:rPr>
        <w:rFonts w:cs="Times New Roman"/>
      </w:rPr>
    </w:lvl>
  </w:abstractNum>
  <w:abstractNum w:abstractNumId="8">
    <w:nsid w:val="E6AB8CBF"/>
    <w:multiLevelType w:val="singleLevel"/>
    <w:tmpl w:val="E6AB8CBF"/>
    <w:lvl w:ilvl="0" w:tentative="0">
      <w:start w:val="1"/>
      <w:numFmt w:val="decimal"/>
      <w:suff w:val="nothing"/>
      <w:lvlText w:val="（%1）"/>
      <w:lvlJc w:val="left"/>
      <w:pPr>
        <w:tabs>
          <w:tab w:val="left" w:pos="0"/>
        </w:tabs>
        <w:ind w:left="0" w:firstLine="420"/>
      </w:pPr>
      <w:rPr>
        <w:rFonts w:cs="Times New Roman"/>
      </w:rPr>
    </w:lvl>
  </w:abstractNum>
  <w:abstractNum w:abstractNumId="9">
    <w:nsid w:val="0053208E"/>
    <w:multiLevelType w:val="multilevel"/>
    <w:tmpl w:val="0053208E"/>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0">
    <w:nsid w:val="12402395"/>
    <w:multiLevelType w:val="singleLevel"/>
    <w:tmpl w:val="12402395"/>
    <w:lvl w:ilvl="0" w:tentative="0">
      <w:start w:val="1"/>
      <w:numFmt w:val="decimal"/>
      <w:suff w:val="nothing"/>
      <w:lvlText w:val="%1、"/>
      <w:lvlJc w:val="left"/>
      <w:pPr>
        <w:tabs>
          <w:tab w:val="left" w:pos="0"/>
        </w:tabs>
        <w:ind w:left="140" w:firstLine="0"/>
      </w:pPr>
    </w:lvl>
  </w:abstractNum>
  <w:abstractNum w:abstractNumId="11">
    <w:nsid w:val="1FDC4FEE"/>
    <w:multiLevelType w:val="singleLevel"/>
    <w:tmpl w:val="1FDC4FEE"/>
    <w:lvl w:ilvl="0" w:tentative="0">
      <w:start w:val="1"/>
      <w:numFmt w:val="decimal"/>
      <w:suff w:val="nothing"/>
      <w:lvlText w:val="（%1）"/>
      <w:lvlJc w:val="left"/>
    </w:lvl>
  </w:abstractNum>
  <w:abstractNum w:abstractNumId="12">
    <w:nsid w:val="34497D41"/>
    <w:multiLevelType w:val="singleLevel"/>
    <w:tmpl w:val="34497D41"/>
    <w:lvl w:ilvl="0" w:tentative="0">
      <w:start w:val="1"/>
      <w:numFmt w:val="chineseCounting"/>
      <w:suff w:val="nothing"/>
      <w:lvlText w:val="%1、"/>
      <w:lvlJc w:val="left"/>
      <w:rPr>
        <w:rFonts w:hint="eastAsia"/>
      </w:rPr>
    </w:lvl>
  </w:abstractNum>
  <w:abstractNum w:abstractNumId="13">
    <w:nsid w:val="36722BEB"/>
    <w:multiLevelType w:val="singleLevel"/>
    <w:tmpl w:val="36722BEB"/>
    <w:lvl w:ilvl="0" w:tentative="0">
      <w:start w:val="1"/>
      <w:numFmt w:val="decimal"/>
      <w:suff w:val="nothing"/>
      <w:lvlText w:val="%1、"/>
      <w:lvlJc w:val="left"/>
      <w:pPr>
        <w:tabs>
          <w:tab w:val="left" w:pos="0"/>
        </w:tabs>
        <w:ind w:left="0" w:firstLine="420"/>
      </w:pPr>
      <w:rPr>
        <w:rFonts w:cs="Times New Roman"/>
      </w:rPr>
    </w:lvl>
  </w:abstractNum>
  <w:abstractNum w:abstractNumId="14">
    <w:nsid w:val="3E05F265"/>
    <w:multiLevelType w:val="singleLevel"/>
    <w:tmpl w:val="3E05F265"/>
    <w:lvl w:ilvl="0" w:tentative="0">
      <w:start w:val="1"/>
      <w:numFmt w:val="decimal"/>
      <w:suff w:val="nothing"/>
      <w:lvlText w:val="（%1）"/>
      <w:lvlJc w:val="left"/>
    </w:lvl>
  </w:abstractNum>
  <w:abstractNum w:abstractNumId="15">
    <w:nsid w:val="5EF2844D"/>
    <w:multiLevelType w:val="singleLevel"/>
    <w:tmpl w:val="5EF2844D"/>
    <w:lvl w:ilvl="0" w:tentative="0">
      <w:start w:val="1"/>
      <w:numFmt w:val="decimal"/>
      <w:lvlText w:val="%1."/>
      <w:lvlJc w:val="left"/>
      <w:pPr>
        <w:tabs>
          <w:tab w:val="left" w:pos="312"/>
        </w:tabs>
      </w:pPr>
    </w:lvl>
  </w:abstractNum>
  <w:abstractNum w:abstractNumId="16">
    <w:nsid w:val="5FC6A1E6"/>
    <w:multiLevelType w:val="singleLevel"/>
    <w:tmpl w:val="5FC6A1E6"/>
    <w:lvl w:ilvl="0" w:tentative="0">
      <w:start w:val="1"/>
      <w:numFmt w:val="decimal"/>
      <w:suff w:val="nothing"/>
      <w:lvlText w:val="（%1）"/>
      <w:lvlJc w:val="left"/>
    </w:lvl>
  </w:abstractNum>
  <w:abstractNum w:abstractNumId="17">
    <w:nsid w:val="6B59FB3A"/>
    <w:multiLevelType w:val="singleLevel"/>
    <w:tmpl w:val="6B59FB3A"/>
    <w:lvl w:ilvl="0" w:tentative="0">
      <w:start w:val="1"/>
      <w:numFmt w:val="chineseCountingThousand"/>
      <w:suff w:val="nothing"/>
      <w:lvlText w:val="%1、"/>
      <w:lvlJc w:val="left"/>
      <w:pPr>
        <w:tabs>
          <w:tab w:val="left" w:pos="0"/>
        </w:tabs>
        <w:ind w:left="0" w:firstLine="420"/>
      </w:pPr>
      <w:rPr>
        <w:rFonts w:cs="Times New Roman"/>
      </w:rPr>
    </w:lvl>
  </w:abstractNum>
  <w:abstractNum w:abstractNumId="18">
    <w:nsid w:val="6B6B29F0"/>
    <w:multiLevelType w:val="singleLevel"/>
    <w:tmpl w:val="6B6B29F0"/>
    <w:lvl w:ilvl="0" w:tentative="0">
      <w:start w:val="2"/>
      <w:numFmt w:val="chineseCountingThousand"/>
      <w:suff w:val="space"/>
      <w:lvlText w:val="第%1部分"/>
      <w:lvlJc w:val="left"/>
      <w:pPr>
        <w:tabs>
          <w:tab w:val="left" w:pos="0"/>
        </w:tabs>
        <w:ind w:left="0" w:firstLine="0"/>
      </w:pPr>
    </w:lvl>
  </w:abstractNum>
  <w:abstractNum w:abstractNumId="19">
    <w:nsid w:val="785FAD96"/>
    <w:multiLevelType w:val="singleLevel"/>
    <w:tmpl w:val="785FAD96"/>
    <w:lvl w:ilvl="0" w:tentative="0">
      <w:start w:val="1"/>
      <w:numFmt w:val="decimal"/>
      <w:suff w:val="nothing"/>
      <w:lvlText w:val="%1、"/>
      <w:lvlJc w:val="left"/>
    </w:lvl>
  </w:abstractNum>
  <w:num w:numId="1">
    <w:abstractNumId w:val="9"/>
  </w:num>
  <w:num w:numId="2">
    <w:abstractNumId w:val="12"/>
  </w:num>
  <w:num w:numId="3">
    <w:abstractNumId w:val="19"/>
  </w:num>
  <w:num w:numId="4">
    <w:abstractNumId w:val="6"/>
  </w:num>
  <w:num w:numId="5">
    <w:abstractNumId w:val="3"/>
  </w:num>
  <w:num w:numId="6">
    <w:abstractNumId w:val="14"/>
  </w:num>
  <w:num w:numId="7">
    <w:abstractNumId w:val="15"/>
  </w:num>
  <w:num w:numId="8">
    <w:abstractNumId w:val="11"/>
  </w:num>
  <w:num w:numId="9">
    <w:abstractNumId w:val="16"/>
  </w:num>
  <w:num w:numId="10">
    <w:abstractNumId w:val="18"/>
  </w:num>
  <w:num w:numId="11">
    <w:abstractNumId w:val="17"/>
  </w:num>
  <w:num w:numId="12">
    <w:abstractNumId w:val="13"/>
  </w:num>
  <w:num w:numId="13">
    <w:abstractNumId w:val="1"/>
  </w:num>
  <w:num w:numId="14">
    <w:abstractNumId w:val="5"/>
  </w:num>
  <w:num w:numId="15">
    <w:abstractNumId w:val="8"/>
  </w:num>
  <w:num w:numId="16">
    <w:abstractNumId w:val="7"/>
  </w:num>
  <w:num w:numId="17">
    <w:abstractNumId w:val="4"/>
  </w:num>
  <w:num w:numId="18">
    <w:abstractNumId w:val="0"/>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documentProtection w:enforcement="0"/>
  <w:defaultTabStop w:val="420"/>
  <w:autoHyphenation/>
  <w:displayHorizontalDrawingGridEvery w:val="1"/>
  <w:displayVerticalDrawingGridEvery w:val="1"/>
  <w:noPunctuationKerning w:val="1"/>
  <w:characterSpacingControl w:val="doNotCompress"/>
  <w:hdrShapeDefaults>
    <o:shapelayout v:ext="edit">
      <o:idmap v:ext="edit" data="1,3"/>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82A"/>
    <w:rsid w:val="0001382A"/>
    <w:rsid w:val="000F33D5"/>
    <w:rsid w:val="00194111"/>
    <w:rsid w:val="00361629"/>
    <w:rsid w:val="007760CC"/>
    <w:rsid w:val="00811F6D"/>
    <w:rsid w:val="008713FD"/>
    <w:rsid w:val="00875B52"/>
    <w:rsid w:val="00945616"/>
    <w:rsid w:val="00B14BDE"/>
    <w:rsid w:val="00C5031B"/>
    <w:rsid w:val="00E92319"/>
    <w:rsid w:val="01585EDD"/>
    <w:rsid w:val="01894884"/>
    <w:rsid w:val="020967F0"/>
    <w:rsid w:val="02720839"/>
    <w:rsid w:val="028440C8"/>
    <w:rsid w:val="02885092"/>
    <w:rsid w:val="03343D40"/>
    <w:rsid w:val="03E07A24"/>
    <w:rsid w:val="059E20B0"/>
    <w:rsid w:val="05EC0902"/>
    <w:rsid w:val="06ED1E67"/>
    <w:rsid w:val="06EF1E1A"/>
    <w:rsid w:val="075A189C"/>
    <w:rsid w:val="0776186C"/>
    <w:rsid w:val="08C47BB7"/>
    <w:rsid w:val="08CC0577"/>
    <w:rsid w:val="096E59C3"/>
    <w:rsid w:val="0B381131"/>
    <w:rsid w:val="0B5111E3"/>
    <w:rsid w:val="0B9335CE"/>
    <w:rsid w:val="0BE916C8"/>
    <w:rsid w:val="0CDD4790"/>
    <w:rsid w:val="0CF85DDF"/>
    <w:rsid w:val="0E4329AA"/>
    <w:rsid w:val="0E681FD1"/>
    <w:rsid w:val="0F735D7C"/>
    <w:rsid w:val="0F8B4B9C"/>
    <w:rsid w:val="0F9B0579"/>
    <w:rsid w:val="105418E7"/>
    <w:rsid w:val="10944070"/>
    <w:rsid w:val="11B524F0"/>
    <w:rsid w:val="12582C27"/>
    <w:rsid w:val="136417B1"/>
    <w:rsid w:val="1380530B"/>
    <w:rsid w:val="13B95008"/>
    <w:rsid w:val="1407023D"/>
    <w:rsid w:val="14703E9C"/>
    <w:rsid w:val="149428F0"/>
    <w:rsid w:val="15B60A14"/>
    <w:rsid w:val="15C649B7"/>
    <w:rsid w:val="15FB00E0"/>
    <w:rsid w:val="16D84581"/>
    <w:rsid w:val="17013AE2"/>
    <w:rsid w:val="17AC04B0"/>
    <w:rsid w:val="18AF5EEB"/>
    <w:rsid w:val="194F6D87"/>
    <w:rsid w:val="19681D48"/>
    <w:rsid w:val="198D78AF"/>
    <w:rsid w:val="19B37294"/>
    <w:rsid w:val="19C35CDC"/>
    <w:rsid w:val="1B5C4D7B"/>
    <w:rsid w:val="1B79633D"/>
    <w:rsid w:val="1C1B0B9C"/>
    <w:rsid w:val="1CBA4E5F"/>
    <w:rsid w:val="1DD05511"/>
    <w:rsid w:val="1E546BED"/>
    <w:rsid w:val="1E8C5396"/>
    <w:rsid w:val="1EF503D0"/>
    <w:rsid w:val="1F0E1997"/>
    <w:rsid w:val="1F2F23EC"/>
    <w:rsid w:val="1F392D01"/>
    <w:rsid w:val="1F8654CC"/>
    <w:rsid w:val="203D2B70"/>
    <w:rsid w:val="204C44B5"/>
    <w:rsid w:val="20AA7A22"/>
    <w:rsid w:val="20CC5F0A"/>
    <w:rsid w:val="21890C1B"/>
    <w:rsid w:val="222C2718"/>
    <w:rsid w:val="226B7889"/>
    <w:rsid w:val="232C662D"/>
    <w:rsid w:val="23962E15"/>
    <w:rsid w:val="23A075B7"/>
    <w:rsid w:val="243F46F9"/>
    <w:rsid w:val="24641920"/>
    <w:rsid w:val="2478015A"/>
    <w:rsid w:val="24927599"/>
    <w:rsid w:val="24B677D2"/>
    <w:rsid w:val="25B72812"/>
    <w:rsid w:val="25C9527B"/>
    <w:rsid w:val="25DC085C"/>
    <w:rsid w:val="263A6B75"/>
    <w:rsid w:val="26F7280B"/>
    <w:rsid w:val="279571FA"/>
    <w:rsid w:val="280B3357"/>
    <w:rsid w:val="283C2BCC"/>
    <w:rsid w:val="28D21782"/>
    <w:rsid w:val="28ED3EC6"/>
    <w:rsid w:val="29AE0DD5"/>
    <w:rsid w:val="29B84231"/>
    <w:rsid w:val="2A0140CD"/>
    <w:rsid w:val="2B6132C2"/>
    <w:rsid w:val="2BAA42F0"/>
    <w:rsid w:val="2C215D81"/>
    <w:rsid w:val="2C2957A4"/>
    <w:rsid w:val="2CE31844"/>
    <w:rsid w:val="2D094ED1"/>
    <w:rsid w:val="2D3E1194"/>
    <w:rsid w:val="2D690E85"/>
    <w:rsid w:val="2D917516"/>
    <w:rsid w:val="2E07182D"/>
    <w:rsid w:val="2E083FE4"/>
    <w:rsid w:val="2E470425"/>
    <w:rsid w:val="2E56250D"/>
    <w:rsid w:val="2E910D10"/>
    <w:rsid w:val="2ED52252"/>
    <w:rsid w:val="2FAA0D63"/>
    <w:rsid w:val="2FC8743B"/>
    <w:rsid w:val="320C1861"/>
    <w:rsid w:val="327A247E"/>
    <w:rsid w:val="333A6A61"/>
    <w:rsid w:val="33701470"/>
    <w:rsid w:val="33ED56C2"/>
    <w:rsid w:val="343F7F5D"/>
    <w:rsid w:val="34401C96"/>
    <w:rsid w:val="34BD10D8"/>
    <w:rsid w:val="35192C56"/>
    <w:rsid w:val="354632DC"/>
    <w:rsid w:val="365809E7"/>
    <w:rsid w:val="374D6508"/>
    <w:rsid w:val="37623475"/>
    <w:rsid w:val="37A11690"/>
    <w:rsid w:val="37F25055"/>
    <w:rsid w:val="38E324D6"/>
    <w:rsid w:val="38E978E9"/>
    <w:rsid w:val="39A22AAB"/>
    <w:rsid w:val="39F41558"/>
    <w:rsid w:val="3B432B0E"/>
    <w:rsid w:val="3B722A05"/>
    <w:rsid w:val="3BE23308"/>
    <w:rsid w:val="3C8841DA"/>
    <w:rsid w:val="3C8A61A4"/>
    <w:rsid w:val="3D0A4BEF"/>
    <w:rsid w:val="3D4225DB"/>
    <w:rsid w:val="3DD60617"/>
    <w:rsid w:val="3DFE489D"/>
    <w:rsid w:val="3E906999"/>
    <w:rsid w:val="3ECD1E70"/>
    <w:rsid w:val="3FB37A82"/>
    <w:rsid w:val="3FDD6F27"/>
    <w:rsid w:val="3FE34A10"/>
    <w:rsid w:val="400110A8"/>
    <w:rsid w:val="40DC5CC5"/>
    <w:rsid w:val="415C7CE8"/>
    <w:rsid w:val="41BB001C"/>
    <w:rsid w:val="425A5D3E"/>
    <w:rsid w:val="426C3C56"/>
    <w:rsid w:val="4292190E"/>
    <w:rsid w:val="432F53AF"/>
    <w:rsid w:val="432F7E02"/>
    <w:rsid w:val="43E720AB"/>
    <w:rsid w:val="43F11DA2"/>
    <w:rsid w:val="440525B4"/>
    <w:rsid w:val="443B152B"/>
    <w:rsid w:val="44B32772"/>
    <w:rsid w:val="453E11C8"/>
    <w:rsid w:val="45901F42"/>
    <w:rsid w:val="461C5BC5"/>
    <w:rsid w:val="46F64735"/>
    <w:rsid w:val="4703102D"/>
    <w:rsid w:val="47627777"/>
    <w:rsid w:val="47CD33E9"/>
    <w:rsid w:val="47CF7503"/>
    <w:rsid w:val="4A680B85"/>
    <w:rsid w:val="4AA91EEB"/>
    <w:rsid w:val="4AFA2747"/>
    <w:rsid w:val="4B261E93"/>
    <w:rsid w:val="4B6B0329"/>
    <w:rsid w:val="4BE3142D"/>
    <w:rsid w:val="4C110220"/>
    <w:rsid w:val="4CE147A8"/>
    <w:rsid w:val="4D0B1AD9"/>
    <w:rsid w:val="4D5837D7"/>
    <w:rsid w:val="4D9B7A63"/>
    <w:rsid w:val="4DB94736"/>
    <w:rsid w:val="4DBB3B7C"/>
    <w:rsid w:val="4DE57109"/>
    <w:rsid w:val="4DF72F6D"/>
    <w:rsid w:val="50F46370"/>
    <w:rsid w:val="51281690"/>
    <w:rsid w:val="51E848B4"/>
    <w:rsid w:val="52170A19"/>
    <w:rsid w:val="529A1206"/>
    <w:rsid w:val="52C522E0"/>
    <w:rsid w:val="5327235A"/>
    <w:rsid w:val="5349426B"/>
    <w:rsid w:val="538265AF"/>
    <w:rsid w:val="54281234"/>
    <w:rsid w:val="54E72034"/>
    <w:rsid w:val="5625394A"/>
    <w:rsid w:val="562E4184"/>
    <w:rsid w:val="56794E67"/>
    <w:rsid w:val="56876E58"/>
    <w:rsid w:val="56A877FD"/>
    <w:rsid w:val="56B92A38"/>
    <w:rsid w:val="56D06411"/>
    <w:rsid w:val="574B36D5"/>
    <w:rsid w:val="57CC4722"/>
    <w:rsid w:val="57D76619"/>
    <w:rsid w:val="58353010"/>
    <w:rsid w:val="58FB775C"/>
    <w:rsid w:val="597D46EA"/>
    <w:rsid w:val="5A0E358C"/>
    <w:rsid w:val="5A250709"/>
    <w:rsid w:val="5A350563"/>
    <w:rsid w:val="5A517EA9"/>
    <w:rsid w:val="5B4517BC"/>
    <w:rsid w:val="5B7C0C5E"/>
    <w:rsid w:val="5BD668B8"/>
    <w:rsid w:val="5C221AFD"/>
    <w:rsid w:val="5C5E02AA"/>
    <w:rsid w:val="5C715103"/>
    <w:rsid w:val="5CEE01A7"/>
    <w:rsid w:val="5D790BDE"/>
    <w:rsid w:val="5DA0717E"/>
    <w:rsid w:val="5DAD52B1"/>
    <w:rsid w:val="5E9B238B"/>
    <w:rsid w:val="5F5024DD"/>
    <w:rsid w:val="60D42BCF"/>
    <w:rsid w:val="61025A59"/>
    <w:rsid w:val="619E0847"/>
    <w:rsid w:val="628F3B10"/>
    <w:rsid w:val="6369548B"/>
    <w:rsid w:val="63E31B72"/>
    <w:rsid w:val="64354398"/>
    <w:rsid w:val="648453C1"/>
    <w:rsid w:val="648D496C"/>
    <w:rsid w:val="649A4866"/>
    <w:rsid w:val="64C22BBF"/>
    <w:rsid w:val="654930A3"/>
    <w:rsid w:val="65890C8C"/>
    <w:rsid w:val="65E767ED"/>
    <w:rsid w:val="66620451"/>
    <w:rsid w:val="66794A0B"/>
    <w:rsid w:val="67137E04"/>
    <w:rsid w:val="67FB3202"/>
    <w:rsid w:val="6828542A"/>
    <w:rsid w:val="68B12AF2"/>
    <w:rsid w:val="68E21FF0"/>
    <w:rsid w:val="695F683E"/>
    <w:rsid w:val="696D1EDE"/>
    <w:rsid w:val="6A3D3FA6"/>
    <w:rsid w:val="6B83149A"/>
    <w:rsid w:val="6B995F18"/>
    <w:rsid w:val="6D7F676F"/>
    <w:rsid w:val="6DDD3AD6"/>
    <w:rsid w:val="6DF61051"/>
    <w:rsid w:val="6DFA18E3"/>
    <w:rsid w:val="6E670BFA"/>
    <w:rsid w:val="6E690C59"/>
    <w:rsid w:val="6EF966EE"/>
    <w:rsid w:val="6F266BA0"/>
    <w:rsid w:val="6FC47B4D"/>
    <w:rsid w:val="6FD82D06"/>
    <w:rsid w:val="6FF375E1"/>
    <w:rsid w:val="70096B08"/>
    <w:rsid w:val="701A3237"/>
    <w:rsid w:val="718761D2"/>
    <w:rsid w:val="7189721F"/>
    <w:rsid w:val="720A6611"/>
    <w:rsid w:val="726F7ACC"/>
    <w:rsid w:val="72B34E05"/>
    <w:rsid w:val="73927111"/>
    <w:rsid w:val="73BD5D3D"/>
    <w:rsid w:val="74303A15"/>
    <w:rsid w:val="7432171F"/>
    <w:rsid w:val="74597B9E"/>
    <w:rsid w:val="75031DCD"/>
    <w:rsid w:val="764125B7"/>
    <w:rsid w:val="7768203E"/>
    <w:rsid w:val="77EC6B7F"/>
    <w:rsid w:val="78653B07"/>
    <w:rsid w:val="7871518F"/>
    <w:rsid w:val="787E01BC"/>
    <w:rsid w:val="78CA06A5"/>
    <w:rsid w:val="79660FD7"/>
    <w:rsid w:val="7AEC00ED"/>
    <w:rsid w:val="7B01613B"/>
    <w:rsid w:val="7B1F5CAB"/>
    <w:rsid w:val="7B5759CB"/>
    <w:rsid w:val="7B58738A"/>
    <w:rsid w:val="7BD5403F"/>
    <w:rsid w:val="7C1558FD"/>
    <w:rsid w:val="7C1D7794"/>
    <w:rsid w:val="7C382E16"/>
    <w:rsid w:val="7CED360A"/>
    <w:rsid w:val="7D970E46"/>
    <w:rsid w:val="7D9D6DDE"/>
    <w:rsid w:val="7DBA7990"/>
    <w:rsid w:val="7E964DA9"/>
    <w:rsid w:val="7EAD3464"/>
    <w:rsid w:val="7ED21A3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line="576" w:lineRule="auto"/>
      <w:jc w:val="center"/>
      <w:outlineLvl w:val="0"/>
    </w:pPr>
    <w:rPr>
      <w:rFonts w:ascii="Calibri" w:hAnsi="Calibri" w:cs="Calibri"/>
      <w:b/>
      <w:bCs/>
      <w:sz w:val="44"/>
      <w:szCs w:val="44"/>
    </w:rPr>
  </w:style>
  <w:style w:type="paragraph" w:styleId="3">
    <w:name w:val="heading 2"/>
    <w:basedOn w:val="1"/>
    <w:next w:val="1"/>
    <w:qFormat/>
    <w:uiPriority w:val="0"/>
    <w:pPr>
      <w:keepNext/>
      <w:keepLines/>
      <w:numPr>
        <w:ilvl w:val="1"/>
        <w:numId w:val="1"/>
      </w:numPr>
      <w:spacing w:line="412" w:lineRule="auto"/>
      <w:jc w:val="center"/>
      <w:outlineLvl w:val="1"/>
    </w:pPr>
    <w:rPr>
      <w:rFonts w:ascii="Cambria" w:hAnsi="Cambria" w:cs="Cambria"/>
      <w:b/>
      <w:bCs/>
      <w:kern w:val="0"/>
      <w:sz w:val="32"/>
      <w:szCs w:val="32"/>
    </w:rPr>
  </w:style>
  <w:style w:type="paragraph" w:styleId="4">
    <w:name w:val="heading 3"/>
    <w:basedOn w:val="1"/>
    <w:next w:val="1"/>
    <w:qFormat/>
    <w:uiPriority w:val="0"/>
    <w:pPr>
      <w:keepNext/>
      <w:keepLines/>
      <w:numPr>
        <w:ilvl w:val="2"/>
        <w:numId w:val="1"/>
      </w:numPr>
      <w:spacing w:line="412" w:lineRule="auto"/>
      <w:outlineLvl w:val="2"/>
    </w:pPr>
    <w:rPr>
      <w:rFonts w:ascii="Calibri" w:hAnsi="Calibri" w:cs="Calibri"/>
      <w:b/>
      <w:bCs/>
      <w:kern w:val="0"/>
      <w:sz w:val="32"/>
      <w:szCs w:val="32"/>
    </w:rPr>
  </w:style>
  <w:style w:type="paragraph" w:styleId="5">
    <w:name w:val="heading 4"/>
    <w:basedOn w:val="1"/>
    <w:next w:val="1"/>
    <w:qFormat/>
    <w:uiPriority w:val="0"/>
    <w:pPr>
      <w:keepNext/>
      <w:keepLines/>
      <w:numPr>
        <w:ilvl w:val="3"/>
        <w:numId w:val="1"/>
      </w:numPr>
      <w:jc w:val="left"/>
      <w:outlineLvl w:val="3"/>
    </w:pPr>
    <w:rPr>
      <w:rFonts w:ascii="Cambria" w:hAnsi="Cambria" w:cs="Cambria"/>
      <w:b/>
      <w:bCs/>
      <w:kern w:val="0"/>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50"/>
    <w:qFormat/>
    <w:uiPriority w:val="0"/>
    <w:pPr>
      <w:jc w:val="left"/>
    </w:pPr>
  </w:style>
  <w:style w:type="paragraph" w:styleId="7">
    <w:name w:val="Body Text"/>
    <w:basedOn w:val="1"/>
    <w:qFormat/>
    <w:uiPriority w:val="0"/>
    <w:rPr>
      <w:rFonts w:ascii="Calibri" w:hAnsi="Calibri" w:cs="Calibri"/>
      <w:kern w:val="0"/>
      <w:sz w:val="20"/>
      <w:szCs w:val="20"/>
    </w:rPr>
  </w:style>
  <w:style w:type="paragraph" w:styleId="8">
    <w:name w:val="Body Text Indent"/>
    <w:basedOn w:val="1"/>
    <w:qFormat/>
    <w:uiPriority w:val="0"/>
    <w:rPr>
      <w:szCs w:val="20"/>
    </w:rPr>
  </w:style>
  <w:style w:type="paragraph" w:styleId="9">
    <w:name w:val="Block Text"/>
    <w:basedOn w:val="1"/>
    <w:unhideWhenUsed/>
    <w:qFormat/>
    <w:uiPriority w:val="0"/>
    <w:pPr>
      <w:spacing w:after="120"/>
      <w:ind w:left="1440" w:leftChars="700" w:right="1440" w:rightChars="700"/>
    </w:pPr>
  </w:style>
  <w:style w:type="paragraph" w:styleId="10">
    <w:name w:val="Plain Text"/>
    <w:basedOn w:val="1"/>
    <w:qFormat/>
    <w:uiPriority w:val="99"/>
    <w:pPr>
      <w:spacing w:line="324" w:lineRule="auto"/>
    </w:pPr>
    <w:rPr>
      <w:rFonts w:ascii="宋体" w:hAnsi="Courier New"/>
      <w:kern w:val="0"/>
      <w:szCs w:val="21"/>
    </w:rPr>
  </w:style>
  <w:style w:type="paragraph" w:styleId="11">
    <w:name w:val="Balloon Text"/>
    <w:basedOn w:val="1"/>
    <w:link w:val="66"/>
    <w:qFormat/>
    <w:uiPriority w:val="0"/>
    <w:rPr>
      <w:sz w:val="18"/>
      <w:szCs w:val="18"/>
    </w:rPr>
  </w:style>
  <w:style w:type="paragraph" w:styleId="12">
    <w:name w:val="footer"/>
    <w:basedOn w:val="1"/>
    <w:qFormat/>
    <w:uiPriority w:val="0"/>
    <w:pPr>
      <w:tabs>
        <w:tab w:val="center" w:pos="4153"/>
        <w:tab w:val="right" w:pos="8306"/>
      </w:tabs>
      <w:snapToGrid w:val="0"/>
      <w:jc w:val="left"/>
    </w:pPr>
    <w:rPr>
      <w:rFonts w:ascii="Calibri" w:hAnsi="Calibri" w:cs="Calibri"/>
      <w:kern w:val="0"/>
      <w:sz w:val="18"/>
      <w:szCs w:val="18"/>
    </w:rPr>
  </w:style>
  <w:style w:type="paragraph" w:styleId="13">
    <w:name w:val="header"/>
    <w:basedOn w:val="1"/>
    <w:qFormat/>
    <w:uiPriority w:val="0"/>
    <w:pPr>
      <w:pBdr>
        <w:bottom w:val="single" w:color="000000" w:sz="6" w:space="1"/>
      </w:pBdr>
      <w:tabs>
        <w:tab w:val="center" w:pos="4153"/>
        <w:tab w:val="right" w:pos="8306"/>
      </w:tabs>
      <w:snapToGrid w:val="0"/>
      <w:jc w:val="center"/>
    </w:pPr>
    <w:rPr>
      <w:rFonts w:ascii="Calibri" w:hAnsi="Calibri" w:cs="Calibri"/>
      <w:kern w:val="0"/>
      <w:sz w:val="18"/>
      <w:szCs w:val="18"/>
    </w:rPr>
  </w:style>
  <w:style w:type="paragraph" w:styleId="14">
    <w:name w:val="toc 1"/>
    <w:basedOn w:val="1"/>
    <w:next w:val="1"/>
    <w:qFormat/>
    <w:uiPriority w:val="0"/>
  </w:style>
  <w:style w:type="paragraph" w:styleId="15">
    <w:name w:val="toc 2"/>
    <w:basedOn w:val="1"/>
    <w:next w:val="1"/>
    <w:qFormat/>
    <w:uiPriority w:val="0"/>
    <w:pPr>
      <w:ind w:left="420"/>
    </w:pPr>
  </w:style>
  <w:style w:type="paragraph" w:styleId="1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17">
    <w:name w:val="annotation subject"/>
    <w:basedOn w:val="6"/>
    <w:next w:val="1"/>
    <w:link w:val="51"/>
    <w:qFormat/>
    <w:uiPriority w:val="0"/>
    <w:rPr>
      <w:b/>
      <w:bCs/>
    </w:rPr>
  </w:style>
  <w:style w:type="paragraph" w:styleId="18">
    <w:name w:val="Body Text First Indent"/>
    <w:basedOn w:val="7"/>
    <w:next w:val="1"/>
    <w:qFormat/>
    <w:uiPriority w:val="0"/>
    <w:pPr>
      <w:ind w:firstLine="420" w:firstLineChars="100"/>
    </w:pPr>
  </w:style>
  <w:style w:type="paragraph" w:styleId="19">
    <w:name w:val="Body Text First Indent 2"/>
    <w:basedOn w:val="8"/>
    <w:unhideWhenUsed/>
    <w:qFormat/>
    <w:uiPriority w:val="99"/>
    <w:pPr>
      <w:spacing w:after="120"/>
      <w:ind w:left="420" w:leftChars="200" w:firstLine="420"/>
    </w:p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bCs/>
    </w:rPr>
  </w:style>
  <w:style w:type="character" w:styleId="24">
    <w:name w:val="page number"/>
    <w:qFormat/>
    <w:uiPriority w:val="0"/>
  </w:style>
  <w:style w:type="character" w:styleId="25">
    <w:name w:val="FollowedHyperlink"/>
    <w:basedOn w:val="22"/>
    <w:qFormat/>
    <w:uiPriority w:val="0"/>
    <w:rPr>
      <w:color w:val="800080"/>
      <w:u w:val="none"/>
    </w:rPr>
  </w:style>
  <w:style w:type="character" w:styleId="26">
    <w:name w:val="Emphasis"/>
    <w:basedOn w:val="22"/>
    <w:qFormat/>
    <w:uiPriority w:val="0"/>
    <w:rPr>
      <w:rFonts w:ascii="微软雅黑" w:hAnsi="微软雅黑" w:eastAsia="微软雅黑" w:cs="微软雅黑"/>
      <w:b/>
      <w:bCs/>
      <w:sz w:val="19"/>
      <w:szCs w:val="19"/>
    </w:rPr>
  </w:style>
  <w:style w:type="character" w:styleId="27">
    <w:name w:val="HTML Definition"/>
    <w:basedOn w:val="22"/>
    <w:qFormat/>
    <w:uiPriority w:val="0"/>
  </w:style>
  <w:style w:type="character" w:styleId="28">
    <w:name w:val="HTML Typewriter"/>
    <w:basedOn w:val="22"/>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qFormat/>
    <w:uiPriority w:val="0"/>
    <w:rPr>
      <w:color w:val="0000FF"/>
      <w:u w:val="single"/>
    </w:rPr>
  </w:style>
  <w:style w:type="character" w:styleId="32">
    <w:name w:val="HTML Code"/>
    <w:basedOn w:val="22"/>
    <w:qFormat/>
    <w:uiPriority w:val="0"/>
    <w:rPr>
      <w:rFonts w:hint="default" w:ascii="monospace" w:hAnsi="monospace" w:eastAsia="monospace" w:cs="monospace"/>
      <w:sz w:val="20"/>
    </w:rPr>
  </w:style>
  <w:style w:type="character" w:styleId="33">
    <w:name w:val="annotation reference"/>
    <w:basedOn w:val="22"/>
    <w:qFormat/>
    <w:uiPriority w:val="0"/>
    <w:rPr>
      <w:sz w:val="21"/>
      <w:szCs w:val="21"/>
    </w:rPr>
  </w:style>
  <w:style w:type="character" w:styleId="34">
    <w:name w:val="HTML Cite"/>
    <w:basedOn w:val="22"/>
    <w:qFormat/>
    <w:uiPriority w:val="0"/>
  </w:style>
  <w:style w:type="character" w:styleId="35">
    <w:name w:val="HTML Keyboard"/>
    <w:basedOn w:val="22"/>
    <w:qFormat/>
    <w:uiPriority w:val="0"/>
    <w:rPr>
      <w:rFonts w:hint="default" w:ascii="monospace" w:hAnsi="monospace" w:eastAsia="monospace" w:cs="monospace"/>
      <w:sz w:val="20"/>
    </w:rPr>
  </w:style>
  <w:style w:type="character" w:styleId="36">
    <w:name w:val="HTML Sample"/>
    <w:basedOn w:val="22"/>
    <w:qFormat/>
    <w:uiPriority w:val="0"/>
    <w:rPr>
      <w:rFonts w:ascii="monospace" w:hAnsi="monospace" w:eastAsia="monospace" w:cs="monospace"/>
    </w:rPr>
  </w:style>
  <w:style w:type="character" w:customStyle="1" w:styleId="37">
    <w:name w:val="明显强调1"/>
    <w:qFormat/>
    <w:uiPriority w:val="0"/>
    <w:rPr>
      <w:rFonts w:cs="Times New Roman"/>
      <w:b/>
      <w:sz w:val="24"/>
      <w:szCs w:val="24"/>
    </w:rPr>
  </w:style>
  <w:style w:type="character" w:customStyle="1" w:styleId="38">
    <w:name w:val="Internet 链接"/>
    <w:qFormat/>
    <w:uiPriority w:val="0"/>
    <w:rPr>
      <w:rFonts w:cs="Times New Roman"/>
      <w:color w:val="0000FF"/>
      <w:u w:val="single"/>
    </w:rPr>
  </w:style>
  <w:style w:type="character" w:customStyle="1" w:styleId="39">
    <w:name w:val="批注引用1"/>
    <w:qFormat/>
    <w:uiPriority w:val="0"/>
    <w:rPr>
      <w:rFonts w:cs="Times New Roman"/>
      <w:sz w:val="21"/>
    </w:rPr>
  </w:style>
  <w:style w:type="paragraph" w:customStyle="1" w:styleId="40">
    <w:name w:val="批注文字1"/>
    <w:basedOn w:val="1"/>
    <w:qFormat/>
    <w:uiPriority w:val="0"/>
    <w:pPr>
      <w:jc w:val="left"/>
    </w:pPr>
    <w:rPr>
      <w:rFonts w:ascii="宋体" w:hAnsi="宋体" w:cs="Calibri"/>
      <w:kern w:val="0"/>
      <w:sz w:val="22"/>
    </w:rPr>
  </w:style>
  <w:style w:type="paragraph" w:customStyle="1" w:styleId="41">
    <w:name w:val="正文文本缩进1"/>
    <w:basedOn w:val="1"/>
    <w:qFormat/>
    <w:uiPriority w:val="0"/>
    <w:pPr>
      <w:ind w:left="420"/>
    </w:pPr>
    <w:rPr>
      <w:rFonts w:ascii="Calibri" w:hAnsi="Calibri" w:cs="Calibri"/>
      <w:kern w:val="0"/>
      <w:sz w:val="20"/>
      <w:szCs w:val="20"/>
    </w:rPr>
  </w:style>
  <w:style w:type="paragraph" w:customStyle="1" w:styleId="42">
    <w:name w:val="纯文本1"/>
    <w:basedOn w:val="1"/>
    <w:qFormat/>
    <w:uiPriority w:val="0"/>
    <w:pPr>
      <w:spacing w:line="324" w:lineRule="auto"/>
    </w:pPr>
    <w:rPr>
      <w:rFonts w:ascii="宋体" w:hAnsi="宋体" w:cs="Courier New"/>
      <w:kern w:val="0"/>
      <w:szCs w:val="21"/>
    </w:rPr>
  </w:style>
  <w:style w:type="paragraph" w:customStyle="1" w:styleId="43">
    <w:name w:val="普通(网站)1"/>
    <w:basedOn w:val="1"/>
    <w:qFormat/>
    <w:uiPriority w:val="0"/>
    <w:pPr>
      <w:widowControl/>
      <w:spacing w:beforeLines="41" w:afterLines="41"/>
      <w:jc w:val="left"/>
    </w:pPr>
    <w:rPr>
      <w:rFonts w:ascii="宋体" w:hAnsi="宋体" w:cs="宋体"/>
      <w:kern w:val="0"/>
      <w:sz w:val="24"/>
      <w:szCs w:val="24"/>
    </w:rPr>
  </w:style>
  <w:style w:type="paragraph" w:customStyle="1" w:styleId="44">
    <w:name w:val="正文首行缩进1"/>
    <w:basedOn w:val="7"/>
    <w:next w:val="1"/>
    <w:qFormat/>
    <w:uiPriority w:val="0"/>
    <w:rPr>
      <w:rFonts w:ascii="宋体" w:hAnsi="宋体" w:cs="Times New Roman"/>
    </w:rPr>
  </w:style>
  <w:style w:type="paragraph" w:customStyle="1" w:styleId="45">
    <w:name w:val="正文首行缩进 21"/>
    <w:basedOn w:val="41"/>
    <w:qFormat/>
    <w:uiPriority w:val="0"/>
  </w:style>
  <w:style w:type="paragraph" w:customStyle="1" w:styleId="46">
    <w:name w:val="Default"/>
    <w:next w:val="47"/>
    <w:qFormat/>
    <w:uiPriority w:val="0"/>
    <w:pPr>
      <w:widowControl w:val="0"/>
      <w:autoSpaceDE w:val="0"/>
    </w:pPr>
    <w:rPr>
      <w:rFonts w:ascii="Times New Roman" w:hAnsi="Times New Roman" w:eastAsia="宋体" w:cs="Times New Roman"/>
      <w:color w:val="000000"/>
      <w:sz w:val="24"/>
      <w:szCs w:val="24"/>
      <w:lang w:val="en-US" w:eastAsia="zh-CN" w:bidi="ar-SA"/>
    </w:rPr>
  </w:style>
  <w:style w:type="paragraph" w:customStyle="1" w:styleId="47">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48">
    <w:name w:val="AONormal"/>
    <w:qFormat/>
    <w:uiPriority w:val="0"/>
    <w:pPr>
      <w:autoSpaceDE w:val="0"/>
      <w:spacing w:line="400" w:lineRule="exact"/>
    </w:pPr>
    <w:rPr>
      <w:rFonts w:ascii="华文楷体;楷体_GB2312" w:hAnsi="华文楷体;楷体_GB2312" w:eastAsia="华文楷体;楷体_GB2312" w:cs="华文楷体;楷体_GB2312"/>
      <w:sz w:val="22"/>
      <w:szCs w:val="21"/>
      <w:lang w:val="en-US" w:eastAsia="zh-CN" w:bidi="ar-SA"/>
    </w:rPr>
  </w:style>
  <w:style w:type="paragraph" w:customStyle="1" w:styleId="49">
    <w:name w:val="样式"/>
    <w:qFormat/>
    <w:uiPriority w:val="0"/>
    <w:pPr>
      <w:widowControl w:val="0"/>
      <w:autoSpaceDE w:val="0"/>
    </w:pPr>
    <w:rPr>
      <w:rFonts w:ascii="宋体" w:hAnsi="宋体" w:eastAsia="宋体" w:cs="宋体"/>
      <w:sz w:val="24"/>
      <w:lang w:val="en-US" w:eastAsia="zh-CN" w:bidi="ar-SA"/>
    </w:rPr>
  </w:style>
  <w:style w:type="character" w:customStyle="1" w:styleId="50">
    <w:name w:val="批注文字 Char"/>
    <w:basedOn w:val="22"/>
    <w:link w:val="6"/>
    <w:qFormat/>
    <w:uiPriority w:val="0"/>
    <w:rPr>
      <w:kern w:val="2"/>
      <w:sz w:val="21"/>
      <w:szCs w:val="22"/>
    </w:rPr>
  </w:style>
  <w:style w:type="character" w:customStyle="1" w:styleId="51">
    <w:name w:val="批注主题 Char"/>
    <w:basedOn w:val="50"/>
    <w:link w:val="17"/>
    <w:qFormat/>
    <w:uiPriority w:val="0"/>
    <w:rPr>
      <w:b/>
      <w:bCs/>
      <w:kern w:val="2"/>
      <w:sz w:val="21"/>
      <w:szCs w:val="22"/>
    </w:rPr>
  </w:style>
  <w:style w:type="paragraph" w:customStyle="1" w:styleId="52">
    <w:name w:val="列出段落1"/>
    <w:basedOn w:val="1"/>
    <w:autoRedefine/>
    <w:qFormat/>
    <w:uiPriority w:val="99"/>
    <w:pPr>
      <w:ind w:firstLine="420" w:firstLineChars="200"/>
    </w:pPr>
  </w:style>
  <w:style w:type="paragraph" w:customStyle="1" w:styleId="53">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54">
    <w:name w:val="first-child"/>
    <w:basedOn w:val="22"/>
    <w:qFormat/>
    <w:uiPriority w:val="0"/>
  </w:style>
  <w:style w:type="character" w:customStyle="1" w:styleId="55">
    <w:name w:val="layui-layer-tabnow"/>
    <w:basedOn w:val="22"/>
    <w:qFormat/>
    <w:uiPriority w:val="0"/>
    <w:rPr>
      <w:bdr w:val="single" w:color="CCCCCC" w:sz="6" w:space="0"/>
      <w:shd w:val="clear" w:color="auto" w:fill="FFFFFF"/>
    </w:rPr>
  </w:style>
  <w:style w:type="paragraph" w:customStyle="1" w:styleId="56">
    <w:name w:val="null3"/>
    <w:hidden/>
    <w:qFormat/>
    <w:uiPriority w:val="0"/>
    <w:rPr>
      <w:rFonts w:hint="eastAsia" w:asciiTheme="minorHAnsi" w:hAnsiTheme="minorHAnsi" w:eastAsiaTheme="minorEastAsia" w:cstheme="minorBidi"/>
      <w:lang w:val="en-US" w:eastAsia="zh-CN" w:bidi="ar-SA"/>
    </w:rPr>
  </w:style>
  <w:style w:type="paragraph" w:customStyle="1" w:styleId="57">
    <w:name w:val="Table Text"/>
    <w:basedOn w:val="1"/>
    <w:semiHidden/>
    <w:qFormat/>
    <w:uiPriority w:val="0"/>
    <w:rPr>
      <w:rFonts w:ascii="宋体" w:hAnsi="宋体" w:cs="宋体"/>
      <w:sz w:val="24"/>
      <w:lang w:eastAsia="en-US"/>
    </w:rPr>
  </w:style>
  <w:style w:type="table" w:customStyle="1" w:styleId="58">
    <w:name w:val="Table Normal"/>
    <w:semiHidden/>
    <w:unhideWhenUsed/>
    <w:qFormat/>
    <w:uiPriority w:val="0"/>
    <w:tblPr>
      <w:tblCellMar>
        <w:top w:w="0" w:type="dxa"/>
        <w:left w:w="0" w:type="dxa"/>
        <w:bottom w:w="0" w:type="dxa"/>
        <w:right w:w="0" w:type="dxa"/>
      </w:tblCellMar>
    </w:tblPr>
  </w:style>
  <w:style w:type="paragraph" w:styleId="59">
    <w:name w:val="List Paragraph"/>
    <w:basedOn w:val="1"/>
    <w:autoRedefine/>
    <w:qFormat/>
    <w:uiPriority w:val="99"/>
    <w:pPr>
      <w:widowControl/>
      <w:ind w:firstLine="420" w:firstLineChars="200"/>
      <w:jc w:val="left"/>
    </w:pPr>
    <w:rPr>
      <w:rFonts w:ascii="宋体" w:hAnsi="宋体" w:cs="宋体"/>
      <w:kern w:val="0"/>
      <w:sz w:val="24"/>
      <w:szCs w:val="24"/>
    </w:rPr>
  </w:style>
  <w:style w:type="character" w:customStyle="1" w:styleId="60">
    <w:name w:val="font31"/>
    <w:basedOn w:val="22"/>
    <w:qFormat/>
    <w:uiPriority w:val="0"/>
    <w:rPr>
      <w:rFonts w:ascii="宋体" w:hAnsi="宋体" w:eastAsia="宋体" w:cs="宋体"/>
      <w:color w:val="000000"/>
      <w:sz w:val="22"/>
      <w:szCs w:val="22"/>
      <w:u w:val="none"/>
    </w:rPr>
  </w:style>
  <w:style w:type="character" w:customStyle="1" w:styleId="61">
    <w:name w:val="font11"/>
    <w:basedOn w:val="22"/>
    <w:qFormat/>
    <w:uiPriority w:val="0"/>
    <w:rPr>
      <w:rFonts w:hint="default" w:ascii="Arial" w:hAnsi="Arial" w:cs="Arial"/>
      <w:color w:val="000000"/>
      <w:sz w:val="22"/>
      <w:szCs w:val="22"/>
      <w:u w:val="none"/>
    </w:rPr>
  </w:style>
  <w:style w:type="character" w:customStyle="1" w:styleId="62">
    <w:name w:val="font41"/>
    <w:basedOn w:val="22"/>
    <w:qFormat/>
    <w:uiPriority w:val="0"/>
    <w:rPr>
      <w:rFonts w:hint="eastAsia" w:ascii="宋体" w:hAnsi="宋体" w:eastAsia="宋体" w:cs="宋体"/>
      <w:color w:val="000000"/>
      <w:sz w:val="22"/>
      <w:szCs w:val="22"/>
      <w:u w:val="none"/>
    </w:rPr>
  </w:style>
  <w:style w:type="character" w:customStyle="1" w:styleId="63">
    <w:name w:val="font51"/>
    <w:basedOn w:val="22"/>
    <w:qFormat/>
    <w:uiPriority w:val="0"/>
    <w:rPr>
      <w:rFonts w:ascii="宋体" w:hAnsi="宋体" w:eastAsia="宋体" w:cs="宋体"/>
      <w:b/>
      <w:bCs/>
      <w:color w:val="000000"/>
      <w:sz w:val="22"/>
      <w:szCs w:val="22"/>
      <w:u w:val="none"/>
    </w:rPr>
  </w:style>
  <w:style w:type="character" w:customStyle="1" w:styleId="64">
    <w:name w:val="font61"/>
    <w:basedOn w:val="22"/>
    <w:qFormat/>
    <w:uiPriority w:val="0"/>
    <w:rPr>
      <w:rFonts w:hint="default" w:ascii="Arial" w:hAnsi="Arial" w:cs="Arial"/>
      <w:color w:val="000000"/>
      <w:sz w:val="22"/>
      <w:szCs w:val="22"/>
      <w:u w:val="none"/>
    </w:rPr>
  </w:style>
  <w:style w:type="character" w:customStyle="1" w:styleId="65">
    <w:name w:val="font71"/>
    <w:basedOn w:val="22"/>
    <w:qFormat/>
    <w:uiPriority w:val="0"/>
    <w:rPr>
      <w:rFonts w:hint="eastAsia" w:ascii="宋体" w:hAnsi="宋体" w:eastAsia="宋体" w:cs="宋体"/>
      <w:color w:val="000000"/>
      <w:sz w:val="22"/>
      <w:szCs w:val="22"/>
      <w:u w:val="none"/>
    </w:rPr>
  </w:style>
  <w:style w:type="character" w:customStyle="1" w:styleId="66">
    <w:name w:val="批注框文本 Char"/>
    <w:basedOn w:val="22"/>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3" Type="http://schemas.openxmlformats.org/officeDocument/2006/relationships/fontTable" Target="fontTable.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6.png"/><Relationship Id="rId5" Type="http://schemas.openxmlformats.org/officeDocument/2006/relationships/header" Target="header2.xml"/><Relationship Id="rId49" Type="http://schemas.openxmlformats.org/officeDocument/2006/relationships/image" Target="media/image5.svg"/><Relationship Id="rId48" Type="http://schemas.openxmlformats.org/officeDocument/2006/relationships/image" Target="media/image4.png"/><Relationship Id="rId47" Type="http://schemas.openxmlformats.org/officeDocument/2006/relationships/image" Target="media/image3.svg"/><Relationship Id="rId46" Type="http://schemas.openxmlformats.org/officeDocument/2006/relationships/image" Target="media/image2.png"/><Relationship Id="rId45" Type="http://schemas.openxmlformats.org/officeDocument/2006/relationships/image" Target="media/image1.png"/><Relationship Id="rId44" Type="http://schemas.openxmlformats.org/officeDocument/2006/relationships/theme" Target="theme/theme1.xml"/><Relationship Id="rId43" Type="http://schemas.openxmlformats.org/officeDocument/2006/relationships/footer" Target="footer21.xml"/><Relationship Id="rId42" Type="http://schemas.openxmlformats.org/officeDocument/2006/relationships/header" Target="header20.xml"/><Relationship Id="rId41" Type="http://schemas.openxmlformats.org/officeDocument/2006/relationships/footer" Target="footer20.xml"/><Relationship Id="rId40" Type="http://schemas.openxmlformats.org/officeDocument/2006/relationships/header" Target="header19.xml"/><Relationship Id="rId4" Type="http://schemas.openxmlformats.org/officeDocument/2006/relationships/footer" Target="footer1.xml"/><Relationship Id="rId39" Type="http://schemas.openxmlformats.org/officeDocument/2006/relationships/footer" Target="footer19.xml"/><Relationship Id="rId38" Type="http://schemas.openxmlformats.org/officeDocument/2006/relationships/header" Target="header18.xml"/><Relationship Id="rId37" Type="http://schemas.openxmlformats.org/officeDocument/2006/relationships/footer" Target="foot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header" Target="header16.xml"/><Relationship Id="rId33" Type="http://schemas.openxmlformats.org/officeDocument/2006/relationships/footer" Target="footer16.xml"/><Relationship Id="rId32" Type="http://schemas.openxmlformats.org/officeDocument/2006/relationships/header" Target="header15.xml"/><Relationship Id="rId31" Type="http://schemas.openxmlformats.org/officeDocument/2006/relationships/footer" Target="footer15.xml"/><Relationship Id="rId30" Type="http://schemas.openxmlformats.org/officeDocument/2006/relationships/header" Target="header14.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header" Target="header13.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17033</Words>
  <Characters>18283</Characters>
  <Lines>274</Lines>
  <Paragraphs>77</Paragraphs>
  <TotalTime>38</TotalTime>
  <ScaleCrop>false</ScaleCrop>
  <LinksUpToDate>false</LinksUpToDate>
  <CharactersWithSpaces>18522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2026-05-12T11:45:00Z</dcterms:created>
  <dc:creator>Administrator</dc:creator>
  <cp:lastModifiedBy>趁早</cp:lastModifiedBy>
  <cp:lastPrinted>2026-07-09T00:00:00Z</cp:lastPrinted>
  <dcterms:modified xsi:type="dcterms:W3CDTF">2026-07-09T07:35:20Z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DDB91D2222C24AB38EA1752B2403814C_13</vt:lpwstr>
  </property>
  <property fmtid="{D5CDD505-2E9C-101B-9397-08002B2CF9AE}" pid="3" name="KSOProductBuildVer">
    <vt:lpwstr>2052-12.1.0.26895</vt:lpwstr>
  </property>
  <property fmtid="{D5CDD505-2E9C-101B-9397-08002B2CF9AE}" pid="4" name="KSOTemplateDocerSaveRecord">
    <vt:lpwstr>eyJoZGlkIjoiZGE3NGIyMjdiOTUyMzM5NDlmZDE3ZTcwNGFkOTdiYzAiLCJ1c2VySWQiOiIyNDE1Nzk0OTUifQ==</vt:lpwstr>
  </property>
  <property fmtid="{D5CDD505-2E9C-101B-9397-08002B2CF9AE}" pid="5" name="KSO_WPS_MARK_KEY">
    <vt:lpwstr>KSO_WPS_MARK_KEY</vt:lpwstr>
  </property>
  <property fmtid="{D5CDD505-2E9C-101B-9397-08002B2CF9AE}" pid="6" name="commondata">
    <vt:lpwstr>commondata</vt:lpwstr>
  </property>
</Properties>
</file>