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版本号：SXZCZB2026-ZCCS-051120260604003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通勤车服务项目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SXZCZB2026-ZCCS-0511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通勤车服务项目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通勤车服务项目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为满足医院工作人员（西门院区-经开院区）通勤及患者就医出行方便（元鼎地铁口-经开院区）摆渡车需求。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采购包1（通勤车服务项目）：属于专门面向中小企业采购。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10、非联合体承诺：本项目不接受联合体磋商（需提供承诺书）；</w:t>
      </w:r>
    </w:p>
    <w:p>
      <w:pPr>
        <w:pStyle w:val="null3"/>
      </w:pPr>
      <w:r>
        <w:rPr>
          <w:rFonts w:ascii="仿宋_GB2312" w:hAnsi="仿宋_GB2312" w:cs="仿宋_GB2312" w:eastAsia="仿宋_GB2312"/>
        </w:rPr>
        <w:t>11、特定资格条件：提供《道路运输经营许可证》或道路运输经营备案手续；</w:t>
      </w:r>
    </w:p>
    <w:p>
      <w:pPr>
        <w:pStyle w:val="null3"/>
      </w:pPr>
      <w:r>
        <w:rPr>
          <w:rFonts w:ascii="仿宋_GB2312" w:hAnsi="仿宋_GB2312" w:cs="仿宋_GB2312" w:eastAsia="仿宋_GB2312"/>
        </w:rPr>
        <w:t>12、中小企业声明函：本项目专门面向中小企业采购，供应商须提供中小企业声明函。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供应商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为满足医院工作人员（西门院区-经开院区）通勤及患者就医出行方便（元鼎路地铁口-经开院区）摆渡车需求。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通勤车服务项目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 xml:space="preserve">1. </w:t>
            </w:r>
            <w:r>
              <w:rPr>
                <w:rFonts w:ascii="仿宋_GB2312" w:hAnsi="仿宋_GB2312" w:cs="仿宋_GB2312" w:eastAsia="仿宋_GB2312"/>
                <w:sz w:val="24"/>
              </w:rPr>
              <w:t>采购项目概况</w:t>
            </w:r>
          </w:p>
          <w:p>
            <w:pPr>
              <w:pStyle w:val="null3"/>
            </w:pPr>
            <w:r>
              <w:rPr>
                <w:rFonts w:ascii="仿宋_GB2312" w:hAnsi="仿宋_GB2312" w:cs="仿宋_GB2312" w:eastAsia="仿宋_GB2312"/>
                <w:sz w:val="24"/>
              </w:rPr>
              <w:t>为满足医院工作人员（西门院区</w:t>
            </w:r>
            <w:r>
              <w:rPr>
                <w:rFonts w:ascii="仿宋_GB2312" w:hAnsi="仿宋_GB2312" w:cs="仿宋_GB2312" w:eastAsia="仿宋_GB2312"/>
                <w:sz w:val="24"/>
              </w:rPr>
              <w:t>-经开院区）通勤及患者就医出行方便（元鼎路地铁口-经开院区）摆渡车需求</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 xml:space="preserve">2. </w:t>
            </w:r>
            <w:r>
              <w:rPr>
                <w:rFonts w:ascii="仿宋_GB2312" w:hAnsi="仿宋_GB2312" w:cs="仿宋_GB2312" w:eastAsia="仿宋_GB2312"/>
                <w:sz w:val="24"/>
              </w:rPr>
              <w:t>服务内容及服务要求</w:t>
            </w:r>
          </w:p>
          <w:p>
            <w:pPr>
              <w:pStyle w:val="null3"/>
              <w:jc w:val="both"/>
            </w:pPr>
            <w:r>
              <w:rPr>
                <w:rFonts w:ascii="仿宋_GB2312" w:hAnsi="仿宋_GB2312" w:cs="仿宋_GB2312" w:eastAsia="仿宋_GB2312"/>
                <w:sz w:val="24"/>
                <w:b/>
              </w:rPr>
              <w:t xml:space="preserve">2.1 </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项目名称：通勤车服务</w:t>
            </w:r>
          </w:p>
          <w:p>
            <w:pPr>
              <w:pStyle w:val="null3"/>
              <w:ind w:firstLine="480"/>
              <w:jc w:val="both"/>
            </w:pPr>
            <w:r>
              <w:rPr>
                <w:rFonts w:ascii="仿宋_GB2312" w:hAnsi="仿宋_GB2312" w:cs="仿宋_GB2312" w:eastAsia="仿宋_GB2312"/>
                <w:sz w:val="24"/>
              </w:rPr>
              <w:t>项目编号：</w:t>
            </w:r>
            <w:r>
              <w:rPr>
                <w:rFonts w:ascii="仿宋_GB2312" w:hAnsi="仿宋_GB2312" w:cs="仿宋_GB2312" w:eastAsia="仿宋_GB2312"/>
                <w:sz w:val="24"/>
              </w:rPr>
              <w:t>SXZCZB2026-ZCCS-0511</w:t>
            </w:r>
          </w:p>
          <w:p>
            <w:pPr>
              <w:pStyle w:val="null3"/>
              <w:ind w:firstLine="480"/>
              <w:jc w:val="both"/>
            </w:pPr>
            <w:r>
              <w:rPr>
                <w:rFonts w:ascii="仿宋_GB2312" w:hAnsi="仿宋_GB2312" w:cs="仿宋_GB2312" w:eastAsia="仿宋_GB2312"/>
                <w:sz w:val="24"/>
              </w:rPr>
              <w:t>采购包预算金额（元）</w:t>
            </w:r>
            <w:r>
              <w:rPr>
                <w:rFonts w:ascii="仿宋_GB2312" w:hAnsi="仿宋_GB2312" w:cs="仿宋_GB2312" w:eastAsia="仿宋_GB2312"/>
                <w:sz w:val="24"/>
              </w:rPr>
              <w:t xml:space="preserve">: </w:t>
            </w:r>
            <w:r>
              <w:rPr>
                <w:rFonts w:ascii="仿宋_GB2312" w:hAnsi="仿宋_GB2312" w:cs="仿宋_GB2312" w:eastAsia="仿宋_GB2312"/>
                <w:sz w:val="24"/>
              </w:rPr>
              <w:t>1,500,000.00</w:t>
            </w:r>
          </w:p>
          <w:p>
            <w:pPr>
              <w:pStyle w:val="null3"/>
              <w:ind w:firstLine="480"/>
              <w:jc w:val="both"/>
            </w:pPr>
            <w:r>
              <w:rPr>
                <w:rFonts w:ascii="仿宋_GB2312" w:hAnsi="仿宋_GB2312" w:cs="仿宋_GB2312" w:eastAsia="仿宋_GB2312"/>
                <w:sz w:val="24"/>
              </w:rPr>
              <w:t>采购包单项最高限价（元）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15-21座客车服务费最高限价520元/日</w:t>
            </w:r>
          </w:p>
          <w:p>
            <w:pPr>
              <w:pStyle w:val="null3"/>
              <w:ind w:firstLine="480"/>
              <w:jc w:val="both"/>
            </w:pPr>
            <w:r>
              <w:rPr>
                <w:rFonts w:ascii="仿宋_GB2312" w:hAnsi="仿宋_GB2312" w:cs="仿宋_GB2312" w:eastAsia="仿宋_GB2312"/>
                <w:sz w:val="24"/>
              </w:rPr>
              <w:t>35-39座客车服务费最高限价700元/日</w:t>
            </w:r>
          </w:p>
          <w:p>
            <w:pPr>
              <w:pStyle w:val="null3"/>
              <w:ind w:firstLine="480"/>
              <w:jc w:val="both"/>
            </w:pPr>
            <w:r>
              <w:rPr>
                <w:rFonts w:ascii="仿宋_GB2312" w:hAnsi="仿宋_GB2312" w:cs="仿宋_GB2312" w:eastAsia="仿宋_GB2312"/>
                <w:sz w:val="24"/>
              </w:rPr>
              <w:t>50-54座客车服务费最高限价850元/日</w:t>
            </w:r>
          </w:p>
          <w:p>
            <w:pPr>
              <w:pStyle w:val="null3"/>
              <w:ind w:firstLine="480"/>
              <w:jc w:val="both"/>
            </w:pPr>
            <w:r>
              <w:rPr>
                <w:rFonts w:ascii="仿宋_GB2312" w:hAnsi="仿宋_GB2312" w:cs="仿宋_GB2312" w:eastAsia="仿宋_GB2312"/>
                <w:sz w:val="24"/>
              </w:rPr>
              <w:t>供应商报价单价不允许超过标的最高单项限价金额</w:t>
            </w:r>
          </w:p>
          <w:p>
            <w:pPr>
              <w:pStyle w:val="null3"/>
              <w:jc w:val="both"/>
            </w:pPr>
            <w:r>
              <w:rPr>
                <w:rFonts w:ascii="仿宋_GB2312" w:hAnsi="仿宋_GB2312" w:cs="仿宋_GB2312" w:eastAsia="仿宋_GB2312"/>
                <w:sz w:val="24"/>
                <w:b/>
              </w:rPr>
              <w:t xml:space="preserve">2.2 </w:t>
            </w:r>
            <w:r>
              <w:rPr>
                <w:rFonts w:ascii="仿宋_GB2312" w:hAnsi="仿宋_GB2312" w:cs="仿宋_GB2312" w:eastAsia="仿宋_GB2312"/>
                <w:sz w:val="24"/>
              </w:rPr>
              <w:t>服务要求</w:t>
            </w:r>
          </w:p>
          <w:p>
            <w:pPr>
              <w:pStyle w:val="null3"/>
              <w:ind w:firstLine="482"/>
              <w:jc w:val="both"/>
            </w:pPr>
            <w:r>
              <w:rPr>
                <w:rFonts w:ascii="仿宋_GB2312" w:hAnsi="仿宋_GB2312" w:cs="仿宋_GB2312" w:eastAsia="仿宋_GB2312"/>
                <w:sz w:val="24"/>
                <w:b/>
              </w:rPr>
              <w:t xml:space="preserve">2.2.1 </w:t>
            </w:r>
            <w:r>
              <w:rPr>
                <w:rFonts w:ascii="仿宋_GB2312" w:hAnsi="仿宋_GB2312" w:cs="仿宋_GB2312" w:eastAsia="仿宋_GB2312"/>
                <w:sz w:val="24"/>
              </w:rPr>
              <w:t>服务内容、要求、质量：</w:t>
            </w:r>
          </w:p>
          <w:p>
            <w:pPr>
              <w:pStyle w:val="null3"/>
              <w:ind w:firstLine="482"/>
              <w:jc w:val="both"/>
            </w:pPr>
            <w:r>
              <w:rPr>
                <w:rFonts w:ascii="仿宋_GB2312" w:hAnsi="仿宋_GB2312" w:cs="仿宋_GB2312" w:eastAsia="仿宋_GB2312"/>
                <w:sz w:val="24"/>
                <w:b/>
              </w:rPr>
              <w:t>2.2.1.1</w:t>
            </w:r>
            <w:r>
              <w:rPr>
                <w:rFonts w:ascii="仿宋_GB2312" w:hAnsi="仿宋_GB2312" w:cs="仿宋_GB2312" w:eastAsia="仿宋_GB2312"/>
                <w:sz w:val="24"/>
              </w:rPr>
              <w:t>员工通勤班车及患者就诊摆渡车服务，单车每天行驶</w:t>
            </w:r>
            <w:r>
              <w:rPr>
                <w:rFonts w:ascii="仿宋_GB2312" w:hAnsi="仿宋_GB2312" w:cs="仿宋_GB2312" w:eastAsia="仿宋_GB2312"/>
                <w:sz w:val="24"/>
              </w:rPr>
              <w:t>至少</w:t>
            </w:r>
            <w:r>
              <w:rPr>
                <w:rFonts w:ascii="仿宋_GB2312" w:hAnsi="仿宋_GB2312" w:cs="仿宋_GB2312" w:eastAsia="仿宋_GB2312"/>
                <w:sz w:val="24"/>
              </w:rPr>
              <w:t>90公里。</w:t>
            </w:r>
          </w:p>
          <w:p>
            <w:pPr>
              <w:pStyle w:val="null3"/>
              <w:ind w:firstLine="482"/>
              <w:jc w:val="both"/>
            </w:pPr>
            <w:r>
              <w:rPr>
                <w:rFonts w:ascii="仿宋_GB2312" w:hAnsi="仿宋_GB2312" w:cs="仿宋_GB2312" w:eastAsia="仿宋_GB2312"/>
                <w:sz w:val="24"/>
                <w:b/>
              </w:rPr>
              <w:t>2.2.1.2</w:t>
            </w:r>
            <w:r>
              <w:rPr>
                <w:rFonts w:ascii="仿宋_GB2312" w:hAnsi="仿宋_GB2312" w:cs="仿宋_GB2312" w:eastAsia="仿宋_GB2312"/>
                <w:sz w:val="24"/>
              </w:rPr>
              <w:t>为满足医院工作人员（西门院区</w:t>
            </w:r>
            <w:r>
              <w:rPr>
                <w:rFonts w:ascii="仿宋_GB2312" w:hAnsi="仿宋_GB2312" w:cs="仿宋_GB2312" w:eastAsia="仿宋_GB2312"/>
                <w:sz w:val="24"/>
              </w:rPr>
              <w:t>-经开院区</w:t>
            </w:r>
            <w:r>
              <w:rPr>
                <w:rFonts w:ascii="仿宋_GB2312" w:hAnsi="仿宋_GB2312" w:cs="仿宋_GB2312" w:eastAsia="仿宋_GB2312"/>
                <w:sz w:val="24"/>
              </w:rPr>
              <w:t>）</w:t>
            </w:r>
            <w:r>
              <w:rPr>
                <w:rFonts w:ascii="仿宋_GB2312" w:hAnsi="仿宋_GB2312" w:cs="仿宋_GB2312" w:eastAsia="仿宋_GB2312"/>
                <w:sz w:val="24"/>
              </w:rPr>
              <w:t>通勤及患者就医出行方便（元</w:t>
            </w:r>
            <w:r>
              <w:rPr>
                <w:rFonts w:ascii="仿宋_GB2312" w:hAnsi="仿宋_GB2312" w:cs="仿宋_GB2312" w:eastAsia="仿宋_GB2312"/>
                <w:sz w:val="24"/>
              </w:rPr>
              <w:t>鼎路</w:t>
            </w:r>
            <w:r>
              <w:rPr>
                <w:rFonts w:ascii="仿宋_GB2312" w:hAnsi="仿宋_GB2312" w:cs="仿宋_GB2312" w:eastAsia="仿宋_GB2312"/>
                <w:sz w:val="24"/>
              </w:rPr>
              <w:t>地铁口</w:t>
            </w:r>
            <w:r>
              <w:rPr>
                <w:rFonts w:ascii="仿宋_GB2312" w:hAnsi="仿宋_GB2312" w:cs="仿宋_GB2312" w:eastAsia="仿宋_GB2312"/>
                <w:sz w:val="24"/>
              </w:rPr>
              <w:t>-经开院区）每天不少于10个往返的用车需求。）以及院方一切临时用车的需求，上下车地点由医院指定。</w:t>
            </w:r>
          </w:p>
          <w:p>
            <w:pPr>
              <w:pStyle w:val="null3"/>
              <w:ind w:firstLine="482"/>
              <w:jc w:val="both"/>
            </w:pPr>
            <w:r>
              <w:rPr>
                <w:rFonts w:ascii="仿宋_GB2312" w:hAnsi="仿宋_GB2312" w:cs="仿宋_GB2312" w:eastAsia="仿宋_GB2312"/>
                <w:sz w:val="24"/>
                <w:b/>
              </w:rPr>
              <w:t>2.2.1.3</w:t>
            </w:r>
            <w:r>
              <w:rPr>
                <w:rFonts w:ascii="仿宋_GB2312" w:hAnsi="仿宋_GB2312" w:cs="仿宋_GB2312" w:eastAsia="仿宋_GB2312"/>
                <w:sz w:val="24"/>
              </w:rPr>
              <w:t>具有中华人民共和国道路运输经营许可证。</w:t>
            </w:r>
          </w:p>
          <w:p>
            <w:pPr>
              <w:pStyle w:val="null3"/>
              <w:ind w:firstLine="482"/>
              <w:jc w:val="both"/>
            </w:pPr>
            <w:r>
              <w:rPr>
                <w:rFonts w:ascii="仿宋_GB2312" w:hAnsi="仿宋_GB2312" w:cs="仿宋_GB2312" w:eastAsia="仿宋_GB2312"/>
                <w:sz w:val="24"/>
                <w:b/>
              </w:rPr>
              <w:t xml:space="preserve">2.2.2 </w:t>
            </w:r>
            <w:r>
              <w:rPr>
                <w:rFonts w:ascii="仿宋_GB2312" w:hAnsi="仿宋_GB2312" w:cs="仿宋_GB2312" w:eastAsia="仿宋_GB2312"/>
                <w:sz w:val="24"/>
              </w:rPr>
              <w:t>交付成果：</w:t>
            </w:r>
          </w:p>
          <w:p>
            <w:pPr>
              <w:pStyle w:val="null3"/>
              <w:ind w:firstLine="482"/>
              <w:jc w:val="both"/>
            </w:pPr>
            <w:r>
              <w:rPr>
                <w:rFonts w:ascii="仿宋_GB2312" w:hAnsi="仿宋_GB2312" w:cs="仿宋_GB2312" w:eastAsia="仿宋_GB2312"/>
                <w:sz w:val="24"/>
                <w:b/>
              </w:rPr>
              <w:t xml:space="preserve">2.2.2.1  </w:t>
            </w:r>
            <w:r>
              <w:rPr>
                <w:rFonts w:ascii="仿宋_GB2312" w:hAnsi="仿宋_GB2312" w:cs="仿宋_GB2312" w:eastAsia="仿宋_GB2312"/>
                <w:sz w:val="24"/>
              </w:rPr>
              <w:t>五年内营运车辆（以车辆行驶证注册之日起计算，不得超过五年）</w:t>
            </w:r>
          </w:p>
          <w:p>
            <w:pPr>
              <w:pStyle w:val="null3"/>
              <w:ind w:firstLine="482"/>
              <w:jc w:val="both"/>
            </w:pPr>
            <w:r>
              <w:rPr>
                <w:rFonts w:ascii="仿宋_GB2312" w:hAnsi="仿宋_GB2312" w:cs="仿宋_GB2312" w:eastAsia="仿宋_GB2312"/>
                <w:sz w:val="24"/>
                <w:b/>
              </w:rPr>
              <w:t xml:space="preserve">2.2.2.2  </w:t>
            </w:r>
            <w:r>
              <w:rPr>
                <w:rFonts w:ascii="仿宋_GB2312" w:hAnsi="仿宋_GB2312" w:cs="仿宋_GB2312" w:eastAsia="仿宋_GB2312"/>
                <w:sz w:val="24"/>
              </w:rPr>
              <w:t>15-21座客车、35-39座客车以及50-54座客车</w:t>
            </w:r>
          </w:p>
          <w:p>
            <w:pPr>
              <w:pStyle w:val="null3"/>
              <w:ind w:firstLine="482"/>
              <w:jc w:val="both"/>
            </w:pPr>
            <w:r>
              <w:rPr>
                <w:rFonts w:ascii="仿宋_GB2312" w:hAnsi="仿宋_GB2312" w:cs="仿宋_GB2312" w:eastAsia="仿宋_GB2312"/>
                <w:sz w:val="24"/>
                <w:b/>
              </w:rPr>
              <w:t>2.2.3</w:t>
            </w:r>
            <w:r>
              <w:rPr>
                <w:rFonts w:ascii="仿宋_GB2312" w:hAnsi="仿宋_GB2312" w:cs="仿宋_GB2312" w:eastAsia="仿宋_GB2312"/>
                <w:sz w:val="24"/>
              </w:rPr>
              <w:t>具有道路运输从业人员从业资格证的驾驶员以及三年内无重大交通事故或同等以上责任事故的</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color w:val="000000"/>
              </w:rPr>
              <w:t xml:space="preserve">3. </w:t>
            </w:r>
            <w:r>
              <w:rPr>
                <w:rFonts w:ascii="仿宋_GB2312" w:hAnsi="仿宋_GB2312" w:cs="仿宋_GB2312" w:eastAsia="仿宋_GB2312"/>
                <w:sz w:val="24"/>
                <w:color w:val="000000"/>
              </w:rPr>
              <w:t>项目商务要求：</w:t>
            </w:r>
          </w:p>
          <w:p>
            <w:pPr>
              <w:pStyle w:val="null3"/>
              <w:ind w:firstLine="482"/>
              <w:jc w:val="both"/>
            </w:pPr>
            <w:r>
              <w:rPr>
                <w:rFonts w:ascii="仿宋_GB2312" w:hAnsi="仿宋_GB2312" w:cs="仿宋_GB2312" w:eastAsia="仿宋_GB2312"/>
                <w:sz w:val="24"/>
                <w:b/>
                <w:color w:val="000000"/>
              </w:rPr>
              <w:t>3.1</w:t>
            </w:r>
            <w:r>
              <w:rPr>
                <w:rFonts w:ascii="仿宋_GB2312" w:hAnsi="仿宋_GB2312" w:cs="仿宋_GB2312" w:eastAsia="仿宋_GB2312"/>
                <w:sz w:val="24"/>
                <w:color w:val="000000"/>
              </w:rPr>
              <w:t>服务期及地点：服务期限</w:t>
            </w:r>
            <w:r>
              <w:rPr>
                <w:rFonts w:ascii="仿宋_GB2312" w:hAnsi="仿宋_GB2312" w:cs="仿宋_GB2312" w:eastAsia="仿宋_GB2312"/>
                <w:sz w:val="24"/>
                <w:color w:val="000000"/>
              </w:rPr>
              <w:t>1年。服务地点：医院工作人员通勤和摆渡（西门院区-经开院区；元鼎</w:t>
            </w:r>
            <w:r>
              <w:rPr>
                <w:rFonts w:ascii="仿宋_GB2312" w:hAnsi="仿宋_GB2312" w:cs="仿宋_GB2312" w:eastAsia="仿宋_GB2312"/>
                <w:sz w:val="24"/>
                <w:color w:val="000000"/>
              </w:rPr>
              <w:t>路</w:t>
            </w:r>
            <w:r>
              <w:rPr>
                <w:rFonts w:ascii="仿宋_GB2312" w:hAnsi="仿宋_GB2312" w:cs="仿宋_GB2312" w:eastAsia="仿宋_GB2312"/>
                <w:sz w:val="24"/>
                <w:color w:val="000000"/>
              </w:rPr>
              <w:t>地铁口</w:t>
            </w:r>
            <w:r>
              <w:rPr>
                <w:rFonts w:ascii="仿宋_GB2312" w:hAnsi="仿宋_GB2312" w:cs="仿宋_GB2312" w:eastAsia="仿宋_GB2312"/>
                <w:sz w:val="24"/>
                <w:color w:val="000000"/>
              </w:rPr>
              <w:t>-经开院区）用车需求。</w:t>
            </w:r>
            <w:r>
              <w:rPr>
                <w:rFonts w:ascii="仿宋_GB2312" w:hAnsi="仿宋_GB2312" w:cs="仿宋_GB2312" w:eastAsia="仿宋_GB2312"/>
                <w:sz w:val="24"/>
              </w:rPr>
              <w:t>供应商需免费提供车身广告或电子滚动屏幕，车身及滚动屏幕内容由</w:t>
            </w:r>
            <w:r>
              <w:rPr>
                <w:rFonts w:ascii="仿宋_GB2312" w:hAnsi="仿宋_GB2312" w:cs="仿宋_GB2312" w:eastAsia="仿宋_GB2312"/>
                <w:sz w:val="24"/>
              </w:rPr>
              <w:t>采购人</w:t>
            </w:r>
            <w:r>
              <w:rPr>
                <w:rFonts w:ascii="仿宋_GB2312" w:hAnsi="仿宋_GB2312" w:cs="仿宋_GB2312" w:eastAsia="仿宋_GB2312"/>
                <w:sz w:val="24"/>
              </w:rPr>
              <w:t>确定。</w:t>
            </w:r>
          </w:p>
          <w:p>
            <w:pPr>
              <w:pStyle w:val="null3"/>
              <w:ind w:firstLine="482"/>
              <w:jc w:val="both"/>
            </w:pPr>
            <w:r>
              <w:rPr>
                <w:rFonts w:ascii="仿宋_GB2312" w:hAnsi="仿宋_GB2312" w:cs="仿宋_GB2312" w:eastAsia="仿宋_GB2312"/>
                <w:sz w:val="24"/>
                <w:b/>
                <w:color w:val="000000"/>
              </w:rPr>
              <w:t xml:space="preserve">3.2 </w:t>
            </w:r>
            <w:r>
              <w:rPr>
                <w:rFonts w:ascii="仿宋_GB2312" w:hAnsi="仿宋_GB2312" w:cs="仿宋_GB2312" w:eastAsia="仿宋_GB2312"/>
                <w:sz w:val="24"/>
                <w:color w:val="000000"/>
              </w:rPr>
              <w:t>付款方式：以实际出车日，按月据实结算。</w:t>
            </w:r>
          </w:p>
          <w:p>
            <w:pPr>
              <w:pStyle w:val="null3"/>
              <w:ind w:firstLine="482"/>
              <w:jc w:val="both"/>
            </w:pPr>
            <w:r>
              <w:rPr>
                <w:rFonts w:ascii="仿宋_GB2312" w:hAnsi="仿宋_GB2312" w:cs="仿宋_GB2312" w:eastAsia="仿宋_GB2312"/>
                <w:sz w:val="24"/>
                <w:b/>
                <w:color w:val="000000"/>
              </w:rPr>
              <w:t xml:space="preserve">3.3 </w:t>
            </w:r>
            <w:r>
              <w:rPr>
                <w:rFonts w:ascii="仿宋_GB2312" w:hAnsi="仿宋_GB2312" w:cs="仿宋_GB2312" w:eastAsia="仿宋_GB2312"/>
                <w:sz w:val="24"/>
                <w:color w:val="000000"/>
              </w:rPr>
              <w:t>验收依据：以合同及出车单、考核表为准。</w:t>
            </w:r>
          </w:p>
          <w:p>
            <w:pPr>
              <w:pStyle w:val="null3"/>
              <w:ind w:firstLine="482"/>
              <w:jc w:val="both"/>
            </w:pPr>
            <w:r>
              <w:rPr>
                <w:rFonts w:ascii="仿宋_GB2312" w:hAnsi="仿宋_GB2312" w:cs="仿宋_GB2312" w:eastAsia="仿宋_GB2312"/>
                <w:sz w:val="24"/>
                <w:b/>
                <w:color w:val="000000"/>
              </w:rPr>
              <w:t xml:space="preserve">3.4 </w:t>
            </w:r>
            <w:r>
              <w:rPr>
                <w:rFonts w:ascii="仿宋_GB2312" w:hAnsi="仿宋_GB2312" w:cs="仿宋_GB2312" w:eastAsia="仿宋_GB2312"/>
                <w:sz w:val="24"/>
                <w:color w:val="000000"/>
              </w:rPr>
              <w:t>售后服务要求：车辆出现故障或不可预见的情况，及时调换备用车辆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其他要求</w:t>
            </w:r>
          </w:p>
          <w:p>
            <w:pPr>
              <w:pStyle w:val="null3"/>
            </w:pPr>
            <w:r>
              <w:rPr>
                <w:rFonts w:ascii="仿宋_GB2312" w:hAnsi="仿宋_GB2312" w:cs="仿宋_GB2312" w:eastAsia="仿宋_GB2312"/>
                <w:sz w:val="24"/>
                <w:color w:val="000000"/>
              </w:rPr>
              <w:t>为顺利推进政府采购电子化交易平台试点应用工作，供应商需要在线提交所有通过电子化交易平台实施的政府采购项目的响应文件，同时，</w:t>
            </w:r>
            <w:r>
              <w:rPr>
                <w:rFonts w:ascii="仿宋_GB2312" w:hAnsi="仿宋_GB2312" w:cs="仿宋_GB2312" w:eastAsia="仿宋_GB2312"/>
                <w:sz w:val="24"/>
                <w:color w:val="000000"/>
              </w:rPr>
              <w:t>成交供应商须在成交结果发布后</w:t>
            </w:r>
            <w:r>
              <w:rPr>
                <w:rFonts w:ascii="仿宋_GB2312" w:hAnsi="仿宋_GB2312" w:cs="仿宋_GB2312" w:eastAsia="仿宋_GB2312"/>
                <w:sz w:val="24"/>
                <w:color w:val="000000"/>
              </w:rPr>
              <w:t>线下提交响应文件正本一份、副本一份、电子版</w:t>
            </w:r>
            <w:r>
              <w:rPr>
                <w:rFonts w:ascii="仿宋_GB2312" w:hAnsi="仿宋_GB2312" w:cs="仿宋_GB2312" w:eastAsia="仿宋_GB2312"/>
                <w:sz w:val="24"/>
                <w:color w:val="000000"/>
              </w:rPr>
              <w:t>U盘一份（电子版需包括正本扫描件、U盘标明供应商名称）。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驾驶员具有道路运输从业人员从业资格证的驾驶员以及三年内无重大交通事故或同等以上责任事故的。</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五年内营运车辆（以车辆行驶证注册之日起计算，不得超过五年），15-21座客车、35-39座客车、50-54座客车。</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车辆营运证明材料及相关手续齐全。（包括但不限于《道路运输经营许可证》或道路运输经营备案手续、行驶证、保险及其他车辆必备的证照）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医院工作人员（西门院区-经开院区）通勤和（元鼎路地铁口-经开院区）摆渡用车需求，上下车地点由医院指定。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以合同及出车单、考核表为准。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进度款，以实际出车日，按月据实结算（因系统原因，每月支付合同总金额为当月据实结算金额），达到付款条件起30个工作日内，支付合同总金额的100.0%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同时，成交供应商须在成交结果发布后线下提交响应文件正本一份、副本一份、电子版U盘一份（电子版需包括正本扫描件、U盘标明供应商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提供《道路运输经营许可证》或道路运输经营备案手续；</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报价表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响应文件格式、语言、计量单位、报价货币</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一、评审内容供应商结合本项目实际情况提供总体服务方案，至少包含：① 项目组织机构设置方案；② 车辆配置、调度及安全运营方案；③ 日常通勤摆渡与应急保障方案；④ 服务质量管控、考核方案。二、评审标准1. 完整性：方案必须全面，对评审内容中的各项要求有详细描述；2. 可实施性：切合本项目实际情况，提出步骤清晰、合理的方案；3. 针对性：方案能够紧扣项目实际情况，内容科学合理。三、赋分标准（满分 12 分）① 项目组织机构设置方案：每完全满足一个评审标准得 1 分，满分 3 分；② 车辆配置、调度及安全运营方案：每完全满足一个评审标准得 1 分，满分 3 分 分；③ 日常通勤摆渡与应急保障方案：每完全满足一个评审标准得 1 分，满分 3 分；④ 服务质量管控、考核方案：每完全满足一个评审标准得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车辆维保方案</w:t>
            </w:r>
          </w:p>
        </w:tc>
        <w:tc>
          <w:tcPr>
            <w:tcW w:type="dxa" w:w="2492"/>
          </w:tcPr>
          <w:p>
            <w:pPr>
              <w:pStyle w:val="null3"/>
            </w:pPr>
            <w:r>
              <w:rPr>
                <w:rFonts w:ascii="仿宋_GB2312" w:hAnsi="仿宋_GB2312" w:cs="仿宋_GB2312" w:eastAsia="仿宋_GB2312"/>
              </w:rPr>
              <w:t>一、评审内容供应商结合本项目实际情况提供车辆维保方案，至少包含：① 日常维护保养方案；② 月度全面维护检测和常规保养方案；③ 半年全面维护检测与常规保养方案；④ 年度全面维护检测与常规保养方案。二、评审标准1. 完整性：方案必须全面，对评审内容中的各项要求有详细描述；2. 可实施性：切合本项目实际情况，提出步骤清晰、合理的方案；3. 针对性：方案能够紧扣项目实际情况，内容科学合理。三、赋分标准（满分 12 分）① 日常维护保养方案：每完全满足一个评审标准得 1 分，满分 3 分；② 月度全面维护检测和常规保养方案：每完全满足一个评审标准得 1 分，满分 3 分；③ 半年全面维护检测与常规保养方案：每完全满足一个评审标准得 1 分，满分 3 分；④ 年度全面维护检测与常规保养方案：每完全满足一个评审标准得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一、评审内容结合本项目要求，配备满足采购需求的项目服务团队，至少包含：① 团队人员整体配置；② 团队人员管理制度；③ 团队人员考核。二、评审标准1. 完整性：方案必须全面，对评审内容中的各项要求有详细描述；2. 可实施性：切合本项目实际情况，提出步骤清晰、合理的方案；3. 针对性：方案能够紧扣项目实际情况，内容科学合理。三、赋分标准（满分 9 分）① 团队人员整体配置：每完全满足一个评审标准得 1 分，满分 3 分；② 团队人员管理制度：每完全满足一个评审标准得 1 分，满分 3 分；③ 团队人员考核：每完全满足一个评审标准得 1 分，满分 3 分；未提供相关内容不得分。所有驾驶员需提供驾驶证、道路运输从业人员从业资格证、近三年内无重大交通事故及同等以上责任事故证明材料，证明材料不齐全、不完整不得分。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服务人员培训方案</w:t>
            </w:r>
          </w:p>
        </w:tc>
        <w:tc>
          <w:tcPr>
            <w:tcW w:type="dxa" w:w="2492"/>
          </w:tcPr>
          <w:p>
            <w:pPr>
              <w:pStyle w:val="null3"/>
            </w:pPr>
            <w:r>
              <w:rPr>
                <w:rFonts w:ascii="仿宋_GB2312" w:hAnsi="仿宋_GB2312" w:cs="仿宋_GB2312" w:eastAsia="仿宋_GB2312"/>
              </w:rPr>
              <w:t>一、评审内容供应商提供针对本项目的服务人员培训方案，至少包含：① 培训计划与进度；② 培训内容；③ 培训专业能力与形式。二、评审标准1. 完整性：方案必须全面，对评审内容中的各项要求有详细描述；2. 可实施性：切合本项目实际情况，提出步骤清晰、合理的方案；3. 针对性：方案能够紧扣项目实际情况，内容科学合理。三、赋分标准（满分 9 分）① 培训计划与进度：每完全满足一个评审标准得 1 分，满分 3 分；② 培训内容：每完全满足一个评审标准得 1 分，满分 3 分；③ 培训专业能力与形式：每完全满足一个评审标准得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一、评审内容供应商提供针对本项目的服务质量保证措施，至少包括：① 服务质量管理制度措施；② 质量保证措施。二、评审标准1. 完整性：方案必须全面，对评审内容中的各项要求有详细描述；2. 可实施性：切合本项目实际情况，提出步骤清晰、合理的方案；3. 针对性：方案能够紧扣项目实际情况，内容科学合理。三、赋分标准（满分 6 分）① 服务质量管理制度措施：每完全满足一个评审标准得 1 分，满分 3 分；② 质量保证措施：每完全满足一个评审标准得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一、评审内容供应商针对本项目提供应急预案，至少包括：① 可能发生的应急事故情况分析；② 应急响应时间；③ 紧急安全保障措施。二、评审标准1. 完整性：方案必须全面，对评审内容中的各项要求有详细描述；2. 可实施性：切合本项目实际情况，提出步骤清晰、合理的方案；3. 针对性：方案能够紧扣项目实际情况，内容科学合理。三、赋分标准（满分 9 分）① 可能发生的应急事故情况分析：每完全满足一个评审标准得 1 分，满分 3 分；② 应急响应时间：每完全满足一个评审标准得 1 分，满分 3 分；③ 紧急安全保障措施：每完全满足一个评审标准得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一、评审内容供应商针对本项目提供具体可行的服务承诺，至少包括：① 服务质量承诺；② 按时做好车辆运营、安全、结算等资料建档及台账更新承诺；③ 服务响应时限、人员到位、安全保障与备用车保障。二、评审标准1. 完整性：方案必须全面，对评审内容中的各项要求有详细描述；2. 可实施性：切合本项目实际情况，提出步骤清晰、合理的方案；3. 针对性：方案能够紧扣项目实际情况，内容科学合理。三、赋分标准（满分 9 分）① 服务质量承诺：每完全满足一个评审标准得 1 分，满分 3 分；② 台账资料建档与更新承诺：每完全满足一个评审标准得 1 分，满分 3 分；③ 服务响应时限、人员到位、安全保障：每完全满足一个评审标准得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一、评审内容供应商提供有利于本项目实施的合理化建议，至少包括：① 合理化建议内容；② 优化措施；③ 创新思路。二、评审标准1. 完整性：方案必须全面，对评审内容中的各项要求有详细描述；2. 可实施性：切合本项目实际情况，提出步骤清晰、合理的方案；3. 针对性：方案能够紧扣项目实际情况，内容科学合理。三、赋分标准（满分 9 分）① 合理化建议内容：每完全满足一个评审标准得 1 分，满分 3 分；② 优化措施：每完全满足一个评审标准得 1 分，满分 3 分；③ 创新思路：每完全满足一个评审标准得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1 月 1 日至今类似通勤车 / 客运服务项目合同（以合同签订日期为准），每提供 1 个业绩得 2 分，最高得 10 分。注：响应文件中提供合同复印件或扫描件为计分依据。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详见附件：无重大违纪承诺函.docx</w:t>
      </w:r>
    </w:p>
    <w:p>
      <w:pPr>
        <w:pStyle w:val="null3"/>
        <w:ind w:firstLine="960"/>
      </w:pPr>
      <w:r>
        <w:rPr>
          <w:rFonts w:ascii="仿宋_GB2312" w:hAnsi="仿宋_GB2312" w:cs="仿宋_GB2312" w:eastAsia="仿宋_GB2312"/>
        </w:rPr>
        <w:t>详见附件：资格要求.docx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