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CCB865">
      <w:pPr>
        <w:spacing w:before="94" w:line="231" w:lineRule="auto"/>
        <w:ind w:firstLine="562"/>
        <w:jc w:val="center"/>
        <w:outlineLvl w:val="0"/>
        <w:rPr>
          <w:rFonts w:hint="eastAsia" w:ascii="微软雅黑" w:hAnsi="微软雅黑" w:eastAsia="微软雅黑" w:cs="微软雅黑"/>
          <w:spacing w:val="11"/>
          <w:sz w:val="43"/>
          <w:szCs w:val="43"/>
          <w:lang w:val="en-US" w:eastAsia="zh-CN"/>
        </w:rPr>
      </w:pPr>
      <w:r>
        <w:rPr>
          <w:rFonts w:hint="eastAsia" w:ascii="微软雅黑" w:hAnsi="微软雅黑" w:eastAsia="微软雅黑" w:cs="微软雅黑"/>
          <w:spacing w:val="11"/>
          <w:sz w:val="43"/>
          <w:szCs w:val="43"/>
          <w:lang w:val="en-US" w:eastAsia="zh-CN"/>
        </w:rPr>
        <w:t>西安市未央区2026年庭院燃气管道老化更新改造项目施工图设计采购需求</w:t>
      </w:r>
    </w:p>
    <w:p w14:paraId="4AD9CFA6">
      <w:pPr>
        <w:keepNext w:val="0"/>
        <w:keepLines w:val="0"/>
        <w:pageBreakBefore w:val="0"/>
        <w:widowControl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rPr>
          <w:rFonts w:hint="eastAsia" w:asciiTheme="minorEastAsia" w:hAnsiTheme="minorEastAsia" w:eastAsiaTheme="minorEastAsia" w:cstheme="minorEastAsia"/>
          <w:b/>
          <w:bCs/>
          <w:spacing w:val="7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pacing w:val="8"/>
          <w:sz w:val="24"/>
          <w:szCs w:val="24"/>
        </w:rPr>
        <w:t>一、项目概</w:t>
      </w:r>
      <w:r>
        <w:rPr>
          <w:rFonts w:hint="eastAsia" w:asciiTheme="minorEastAsia" w:hAnsiTheme="minorEastAsia" w:eastAsiaTheme="minorEastAsia" w:cstheme="minorEastAsia"/>
          <w:b/>
          <w:bCs/>
          <w:spacing w:val="7"/>
          <w:sz w:val="24"/>
          <w:szCs w:val="24"/>
        </w:rPr>
        <w:t>况</w:t>
      </w:r>
    </w:p>
    <w:p w14:paraId="6099A1CF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本项目建设规模为丰源美佳、碧云天等21个小区燃气管道更新改造。</w:t>
      </w:r>
    </w:p>
    <w:p w14:paraId="532F598F">
      <w:pPr>
        <w:keepNext w:val="0"/>
        <w:keepLines w:val="0"/>
        <w:pageBreakBefore w:val="0"/>
        <w:widowControl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rPr>
          <w:rFonts w:hint="eastAsia" w:asciiTheme="minorEastAsia" w:hAnsiTheme="minorEastAsia" w:eastAsiaTheme="minorEastAsia" w:cstheme="minorEastAsia"/>
          <w:b/>
          <w:bCs/>
          <w:spacing w:val="8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pacing w:val="8"/>
          <w:sz w:val="24"/>
          <w:szCs w:val="24"/>
        </w:rPr>
        <w:t>二、服务内容（包括工作区域、工作内容等）</w:t>
      </w:r>
    </w:p>
    <w:p w14:paraId="76C0452C">
      <w:pPr>
        <w:keepNext w:val="0"/>
        <w:keepLines w:val="0"/>
        <w:pageBreakBefore w:val="0"/>
        <w:widowControl/>
        <w:suppressLineNumbers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CN"/>
        </w:rPr>
        <w:t>改造庭院燃气管网约28601米、立管约26886米、户内设施8841户。（庭院改造采用的管材有PE管、无缝钢管、焊接钢管、环氧涂覆管；其中PE管管径为DE32~DE160，长度约为10937米；无缝钢管管径为DN80~DN150，长度约为450米；焊接钢管管径为DN50~DN300，长度约为1692米；环氧涂覆管管径为DN15~DN80，长度约为15522米。）更新改造立管约26886米（立管管材选用环氧涂覆管，环氧涂覆管管径为DN15~DN50，长度约为26886米），更新改造调压设施52个，更新改造埋地阀门20个，更换及加装户内设施8841户（包括更换镀锌管、新型自闭阀、智能物联网表，加装燃气用具连接用不锈钢波纹软管，加装电磁切断阀及燃气泄漏报警器）。</w:t>
      </w:r>
    </w:p>
    <w:p w14:paraId="0015C304">
      <w:pPr>
        <w:keepNext w:val="0"/>
        <w:keepLines w:val="0"/>
        <w:pageBreakBefore w:val="0"/>
        <w:widowControl/>
        <w:suppressLineNumbers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CN"/>
        </w:rPr>
        <w:t>具体各小区建设内容如下：</w:t>
      </w:r>
    </w:p>
    <w:p w14:paraId="5E7BD06C">
      <w:pPr>
        <w:keepNext w:val="0"/>
        <w:keepLines w:val="0"/>
        <w:pageBreakBefore w:val="0"/>
        <w:widowControl/>
        <w:suppressLineNumbers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CN"/>
        </w:rPr>
        <w:t>1.未央区东元路299号军干所，改造庭院管道684米，其中中低压埋地聚乙烯(PE）管260米，无缝钢管4米，环氧防腐漆涂覆钢管420米；立管306米，调压设施2台，用户设施102户；</w:t>
      </w:r>
    </w:p>
    <w:p w14:paraId="710E25AC">
      <w:pPr>
        <w:keepNext w:val="0"/>
        <w:keepLines w:val="0"/>
        <w:pageBreakBefore w:val="0"/>
        <w:widowControl/>
        <w:suppressLineNumbers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CN"/>
        </w:rPr>
        <w:t>2.未央区御井路221号东方雅苑，改造庭院管道3294米，其中中低压埋地聚乙烯(PE）管512米，无缝钢管87米，焊接钢管271米，环氧防腐漆涂覆钢管2424米；立管3012米，调压设施1台，用户设施1004户；</w:t>
      </w:r>
    </w:p>
    <w:p w14:paraId="73BC3319">
      <w:pPr>
        <w:keepNext w:val="0"/>
        <w:keepLines w:val="0"/>
        <w:pageBreakBefore w:val="0"/>
        <w:widowControl/>
        <w:suppressLineNumbers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CN"/>
        </w:rPr>
        <w:t>3.未央区重光路168号东方名苑，改造庭院管道1334米，其中中低压埋地聚乙烯(PE）管312米，焊接钢管272米，环氧防腐漆涂覆钢管750米；立管2625米，调压设施1台，用户设施875户；</w:t>
      </w:r>
    </w:p>
    <w:p w14:paraId="5A2FED99">
      <w:pPr>
        <w:keepNext w:val="0"/>
        <w:keepLines w:val="0"/>
        <w:pageBreakBefore w:val="0"/>
        <w:widowControl/>
        <w:suppressLineNumbers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CN"/>
        </w:rPr>
        <w:t>4.湖滨路丰源美佳，改造庭院管道3178米，其中中低压埋地聚乙烯(PE）管2736米，焊接钢管40米，环氧防腐漆涂覆钢管402米；立管402米，调压设施6台，用户设施134户；</w:t>
      </w:r>
    </w:p>
    <w:p w14:paraId="43B364BB">
      <w:pPr>
        <w:keepNext w:val="0"/>
        <w:keepLines w:val="0"/>
        <w:pageBreakBefore w:val="0"/>
        <w:widowControl/>
        <w:suppressLineNumbers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CN"/>
        </w:rPr>
        <w:t>5.未央湖碧云天，改造庭院管道2892米，其中中低压埋地聚乙烯(PE）管1970米，无缝钢管6米，焊接钢管6米，环氧防腐漆涂覆钢管910米；立管615米，调压设施3台，用户设施205户；</w:t>
      </w:r>
    </w:p>
    <w:p w14:paraId="693CD277">
      <w:pPr>
        <w:keepNext w:val="0"/>
        <w:keepLines w:val="0"/>
        <w:pageBreakBefore w:val="0"/>
        <w:widowControl/>
        <w:suppressLineNumbers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CN"/>
        </w:rPr>
        <w:t>6.凤城三路新苑新居(风苑龙居），改造庭院管道1684米，其中中低压埋地聚乙烯(PE）管810米，无缝钢管4米，焊接钢管0米，环氧防腐漆涂覆钢管870米；立管1368米，调压设施1台，用户设施456户；</w:t>
      </w:r>
    </w:p>
    <w:p w14:paraId="5691584A">
      <w:pPr>
        <w:keepNext w:val="0"/>
        <w:keepLines w:val="0"/>
        <w:pageBreakBefore w:val="0"/>
        <w:widowControl/>
        <w:suppressLineNumbers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CN"/>
        </w:rPr>
        <w:t>7.凤城三路油龙房地产，改造庭院管道382米，其中中低压埋地聚乙烯(PE）管80米，无缝钢管2米，环氧防腐漆涂覆钢管300米；立管864米，调压设施1台，用户设施288户；</w:t>
      </w:r>
    </w:p>
    <w:p w14:paraId="75F28040">
      <w:pPr>
        <w:keepNext w:val="0"/>
        <w:keepLines w:val="0"/>
        <w:pageBreakBefore w:val="0"/>
        <w:widowControl/>
        <w:suppressLineNumbers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CN"/>
        </w:rPr>
        <w:t>8.北二环亚冠房地产，改造庭院管道584米，其中中低压埋地聚乙烯(PE）管182米，无缝钢管2米，环氧防腐漆涂覆钢管400米；立管840米，调压设施1台，用户设施280户；</w:t>
      </w:r>
    </w:p>
    <w:p w14:paraId="08179A72">
      <w:pPr>
        <w:keepNext w:val="0"/>
        <w:keepLines w:val="0"/>
        <w:pageBreakBefore w:val="0"/>
        <w:widowControl/>
        <w:suppressLineNumbers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CN"/>
        </w:rPr>
        <w:t>9.凤城一路雅荷花园，改造庭院管道2402米，其中中低压埋地聚乙烯(PE）管1066米，无缝钢管29米，焊接钢管40米，环氧防腐漆涂覆钢管1267米；立管1428米，调压设施2台，用户设施357户；</w:t>
      </w:r>
    </w:p>
    <w:p w14:paraId="715A1867">
      <w:pPr>
        <w:keepNext w:val="0"/>
        <w:keepLines w:val="0"/>
        <w:pageBreakBefore w:val="0"/>
        <w:widowControl/>
        <w:suppressLineNumbers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CN"/>
        </w:rPr>
        <w:t>10.凤城一路鼎新花园，改造庭院管道2125米，其中中低压埋地聚乙烯(PE）管624米，无缝钢管22米，焊接钢管22米，环氧防腐漆涂覆钢管1457米；立管2160米，调压设施11台，用户设施720户；</w:t>
      </w:r>
    </w:p>
    <w:p w14:paraId="56DC954B">
      <w:pPr>
        <w:keepNext w:val="0"/>
        <w:keepLines w:val="0"/>
        <w:pageBreakBefore w:val="0"/>
        <w:widowControl/>
        <w:suppressLineNumbers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CN"/>
        </w:rPr>
        <w:t>11.未央路兰天大厦，改造庭院管道433米，其中中低压埋地聚乙烯(PE）管80米，焊接钢管173米，环氧防腐漆涂覆钢管180米；立管720米，调压设施1台，用户设施240户；</w:t>
      </w:r>
    </w:p>
    <w:p w14:paraId="44AE0E36">
      <w:pPr>
        <w:keepNext w:val="0"/>
        <w:keepLines w:val="0"/>
        <w:pageBreakBefore w:val="0"/>
        <w:widowControl/>
        <w:suppressLineNumbers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CN"/>
        </w:rPr>
        <w:t>12.未央路兰天大厦，改造庭院管道71米，其中焊接钢管36米，环氧防腐漆涂覆钢管35米；立管72米，用户设施24户；</w:t>
      </w:r>
    </w:p>
    <w:p w14:paraId="3D7BBC3F">
      <w:pPr>
        <w:keepNext w:val="0"/>
        <w:keepLines w:val="0"/>
        <w:pageBreakBefore w:val="0"/>
        <w:widowControl/>
        <w:suppressLineNumbers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CN"/>
        </w:rPr>
        <w:t>13.未央路中国农行，改造庭院管道101米，其中无缝钢管13米，焊接钢管1米，环氧防腐漆涂覆钢管87米；立管84米，调压设施1台，用户设施28户；</w:t>
      </w:r>
    </w:p>
    <w:p w14:paraId="139ED7C6">
      <w:pPr>
        <w:keepNext w:val="0"/>
        <w:keepLines w:val="0"/>
        <w:pageBreakBefore w:val="0"/>
        <w:widowControl/>
        <w:suppressLineNumbers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CN"/>
        </w:rPr>
        <w:t>14.纬二十六街房地局第二分局(景辰物业一期)，改造庭院管道161米，其中无缝钢管15米，焊接钢管1米，环氧防腐漆涂覆钢管145米；立管150米，调压设施1台，用户设施50户；</w:t>
      </w:r>
    </w:p>
    <w:p w14:paraId="6A128FC4">
      <w:pPr>
        <w:keepNext w:val="0"/>
        <w:keepLines w:val="0"/>
        <w:pageBreakBefore w:val="0"/>
        <w:widowControl/>
        <w:suppressLineNumbers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CN"/>
        </w:rPr>
        <w:t>15.纬二十六街房地局第二分局(景辰物业二期)，改造庭院管道1504米，其中中低压埋地聚乙烯(PE）管302米，无缝钢管2米，环氧防腐漆涂覆钢管1200米；立管1470米，调压设施1台，用户设施490户；</w:t>
      </w:r>
    </w:p>
    <w:p w14:paraId="09E4169E">
      <w:pPr>
        <w:keepNext w:val="0"/>
        <w:keepLines w:val="0"/>
        <w:pageBreakBefore w:val="0"/>
        <w:widowControl/>
        <w:suppressLineNumbers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CN"/>
        </w:rPr>
        <w:t>16.北二环北城北客运站，改造庭院管道727米，其中中低压埋地聚乙烯(PE）管300米，无缝钢管2米，焊接钢管145米，环氧防腐漆涂覆钢管280米；立管240米，调压设施1台，用户设施80户；</w:t>
      </w:r>
    </w:p>
    <w:p w14:paraId="7B23DF68">
      <w:pPr>
        <w:keepNext w:val="0"/>
        <w:keepLines w:val="0"/>
        <w:pageBreakBefore w:val="0"/>
        <w:widowControl/>
        <w:suppressLineNumbers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CN"/>
        </w:rPr>
        <w:t>17.凤城一路杰信花园6#7#8#，改造庭院管道1354米，其中中低压埋地聚乙烯(PE）管380米，焊接钢管24米，环氧防腐漆涂覆钢管950米；立管2442米，调压设施1台，用户设施814户；</w:t>
      </w:r>
    </w:p>
    <w:p w14:paraId="1A9D56B6">
      <w:pPr>
        <w:keepNext w:val="0"/>
        <w:keepLines w:val="0"/>
        <w:pageBreakBefore w:val="0"/>
        <w:widowControl/>
        <w:suppressLineNumbers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CN"/>
        </w:rPr>
        <w:t>18.凤城一路含光丽都，改造庭院管道632米，其中中低压埋地聚乙烯(PE）管380米，无缝钢管2米，环氧防腐漆涂覆钢管300米；立管654米，调压设施1台，用户设施216户；</w:t>
      </w:r>
    </w:p>
    <w:p w14:paraId="0136D92B">
      <w:pPr>
        <w:keepNext w:val="0"/>
        <w:keepLines w:val="0"/>
        <w:pageBreakBefore w:val="0"/>
        <w:widowControl/>
        <w:suppressLineNumbers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CN"/>
        </w:rPr>
        <w:t>19.纬二十八街方新北小区，改造庭院管道789米，其中中低压埋地聚乙烯(PE）管225米，焊接钢管24米，环氧防腐漆涂覆钢管540米；立管774米，调压设施4台，用户设施258户；</w:t>
      </w:r>
    </w:p>
    <w:p w14:paraId="3E27069C">
      <w:pPr>
        <w:keepNext w:val="0"/>
        <w:keepLines w:val="0"/>
        <w:pageBreakBefore w:val="0"/>
        <w:widowControl/>
        <w:suppressLineNumbers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Hans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CN"/>
        </w:rPr>
        <w:t>20.丽景华都(万胜房地产)，改造庭院管道1704米，其中中低压埋地聚乙烯(PE）管117米，无缝钢管230米，焊接钢管532米，环氧防腐漆涂覆钢管825米；立管1890米，调压设施2台，用户设施630户；</w:t>
      </w:r>
    </w:p>
    <w:p w14:paraId="2D1202BB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val="en-US" w:eastAsia="zh-CN"/>
        </w:rPr>
        <w:t>21.海荣房地产雅庭花园，改造庭院管道2566米，其中中低压埋地聚乙烯(PE）管651米，无缝钢管30米，焊接钢管105米，环氧防腐漆涂覆钢管1780米；立管4770米，调压设施10台，用户设施1590户。</w:t>
      </w:r>
    </w:p>
    <w:p w14:paraId="2D461C0B">
      <w:pPr>
        <w:keepNext w:val="0"/>
        <w:keepLines w:val="0"/>
        <w:pageBreakBefore w:val="0"/>
        <w:widowControl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rPr>
          <w:rFonts w:hint="eastAsia" w:asciiTheme="minorEastAsia" w:hAnsiTheme="minorEastAsia" w:eastAsiaTheme="minorEastAsia" w:cstheme="minorEastAsia"/>
          <w:b/>
          <w:bCs/>
          <w:spacing w:val="8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pacing w:val="8"/>
          <w:sz w:val="24"/>
          <w:szCs w:val="24"/>
          <w:highlight w:val="none"/>
        </w:rPr>
        <w:t>三、技术要求</w:t>
      </w:r>
    </w:p>
    <w:p w14:paraId="0A3388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4"/>
          <w:szCs w:val="24"/>
        </w:rPr>
        <w:t>3.1设计原则及要求</w:t>
      </w:r>
    </w:p>
    <w:p w14:paraId="746AFB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主要功能或目标:设计科学、安全、简约、符合相关规范；需满足管道和入户设施符合规范并能安全正常使用。</w:t>
      </w:r>
    </w:p>
    <w:p w14:paraId="4652D6A8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right="-229" w:rightChars="-109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</w:rPr>
        <w:t>3.2设计依据</w:t>
      </w:r>
    </w:p>
    <w:p w14:paraId="44DB8C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（1）《建筑设计防火规范》GB50016-2014（2018年版）</w:t>
      </w:r>
    </w:p>
    <w:p w14:paraId="0ED315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（2）《城镇燃气技术规范》GB50494-2009</w:t>
      </w:r>
    </w:p>
    <w:p w14:paraId="055F50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（3）《城镇燃气设计规范》GB50028-2006</w:t>
      </w:r>
    </w:p>
    <w:p w14:paraId="2010F7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（4）《聚乙烯燃气管道工程技术标准》CJJ63-2018</w:t>
      </w:r>
    </w:p>
    <w:p w14:paraId="2D541D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（5）《城镇燃气输配工程施工及验收规范》CJJ33-2005</w:t>
      </w:r>
    </w:p>
    <w:p w14:paraId="7C4BD6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（6）《城镇燃气室内工程施工与验收规范》CJJ94-2009</w:t>
      </w:r>
    </w:p>
    <w:p w14:paraId="5E342B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（7）《钢制管道管体腐蚀损伤评价方法》SY/T6151-2009</w:t>
      </w:r>
    </w:p>
    <w:p w14:paraId="69CFA4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（8）《宽边管件连接涂覆燃气管道技术规程》CGAS001-2016</w:t>
      </w:r>
    </w:p>
    <w:p w14:paraId="564088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（9）本项目前期可行性研究报告、初步设计及相关批复文件</w:t>
      </w:r>
    </w:p>
    <w:p w14:paraId="388271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仅列出以上规范作为参考，具体标准参照国家或者行业最新标准执行。</w:t>
      </w:r>
    </w:p>
    <w:p w14:paraId="0D307BD7">
      <w:pPr>
        <w:keepNext w:val="0"/>
        <w:keepLines w:val="0"/>
        <w:pageBreakBefore w:val="0"/>
        <w:widowControl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rPr>
          <w:rFonts w:hint="eastAsia" w:asciiTheme="minorEastAsia" w:hAnsiTheme="minorEastAsia" w:eastAsiaTheme="minorEastAsia" w:cstheme="minorEastAsia"/>
          <w:b/>
          <w:bCs/>
          <w:spacing w:val="8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pacing w:val="8"/>
          <w:sz w:val="24"/>
          <w:szCs w:val="24"/>
          <w:highlight w:val="none"/>
        </w:rPr>
        <w:t>四、服务要求</w:t>
      </w:r>
    </w:p>
    <w:p w14:paraId="229B7C2D">
      <w:pPr>
        <w:keepNext w:val="0"/>
        <w:keepLines w:val="0"/>
        <w:pageBreakBefore w:val="0"/>
        <w:widowControl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480" w:firstLineChars="200"/>
        <w:rPr>
          <w:rFonts w:hint="eastAsia" w:asciiTheme="minorEastAsia" w:hAnsiTheme="minorEastAsia" w:eastAsiaTheme="minorEastAsia" w:cstheme="minorEastAsia"/>
          <w:spacing w:val="12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供应商签订合同后，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按照相关要求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设计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服务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工作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。</w:t>
      </w:r>
    </w:p>
    <w:p w14:paraId="4D861C39">
      <w:pPr>
        <w:keepNext w:val="0"/>
        <w:keepLines w:val="0"/>
        <w:pageBreakBefore w:val="0"/>
        <w:widowControl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rPr>
          <w:rFonts w:hint="eastAsia" w:asciiTheme="minorEastAsia" w:hAnsiTheme="minorEastAsia" w:eastAsiaTheme="minorEastAsia" w:cstheme="minorEastAsia"/>
          <w:b/>
          <w:bCs/>
          <w:spacing w:val="8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pacing w:val="8"/>
          <w:sz w:val="24"/>
          <w:szCs w:val="24"/>
          <w:highlight w:val="none"/>
        </w:rPr>
        <w:t>五、商务要求</w:t>
      </w:r>
    </w:p>
    <w:p w14:paraId="04013F39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（一）服务期限</w:t>
      </w:r>
    </w:p>
    <w:p w14:paraId="264F0701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30日历天，实际以招标人委托单为准。</w:t>
      </w:r>
    </w:p>
    <w:p w14:paraId="4E48B676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款项结算</w:t>
      </w:r>
    </w:p>
    <w:p w14:paraId="6C103045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eastAsia="zh-CN"/>
        </w:rPr>
        <w:t>由采购人负责结算，在付款前，供应商必须开具发票给采购人。</w:t>
      </w:r>
    </w:p>
    <w:p w14:paraId="0D16F1C8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eastAsia="zh-CN"/>
        </w:rPr>
        <w:t>2.付款方式：</w:t>
      </w:r>
    </w:p>
    <w:p w14:paraId="3C38482A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提供施工图设计成果并经采购人确认后支付合同额的60%，工程竣工验收后且发包人财政资金具备支付条件后支付合同额的40%（具体以最终签订的设计合同为准）。</w:t>
      </w:r>
    </w:p>
    <w:p w14:paraId="50E41639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3.支付方式：银行转账。</w:t>
      </w:r>
    </w:p>
    <w:p w14:paraId="74B0B0FC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4.合同承包方式：固定总价承包，在合同执行过程中，合同总价不作调整。合同价格为含税价，乙方提供服务所发生的一切费用（包括增值税等相关税费）等都已包含于合同价款中。</w:t>
      </w:r>
    </w:p>
    <w:p w14:paraId="36A080E7">
      <w:pPr>
        <w:keepNext w:val="0"/>
        <w:keepLines w:val="0"/>
        <w:pageBreakBefore w:val="0"/>
        <w:widowControl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rPr>
          <w:rFonts w:hint="eastAsia" w:asciiTheme="minorEastAsia" w:hAnsiTheme="minorEastAsia" w:eastAsiaTheme="minorEastAsia" w:cstheme="minorEastAsia"/>
          <w:b/>
          <w:bCs/>
          <w:spacing w:val="8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pacing w:val="8"/>
          <w:sz w:val="24"/>
          <w:szCs w:val="24"/>
          <w:highlight w:val="none"/>
        </w:rPr>
        <w:t>六、其他（如有要求，请写明）</w:t>
      </w:r>
    </w:p>
    <w:p w14:paraId="7ACD93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1、质量满足国家设计规范标准及施工的要求。</w:t>
      </w:r>
    </w:p>
    <w:p w14:paraId="0160FC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2、施工图设计：施工图8套（含精装2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套），设计成果光盘2份。</w:t>
      </w:r>
    </w:p>
    <w:p w14:paraId="028281D4"/>
    <w:sectPr>
      <w:headerReference r:id="rId3" w:type="default"/>
      <w:pgSz w:w="11916" w:h="16848"/>
      <w:pgMar w:top="1247" w:right="1276" w:bottom="1247" w:left="1264" w:header="0" w:footer="0" w:gutter="0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pperplate Gothic Bold">
    <w:altName w:val="Segoe Print"/>
    <w:panose1 w:val="020E0705020206020404"/>
    <w:charset w:val="00"/>
    <w:family w:val="swiss"/>
    <w:pitch w:val="default"/>
    <w:sig w:usb0="00000000" w:usb1="00000000" w:usb2="00000000" w:usb3="00000000" w:csb0="2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FE7481">
    <w:pPr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66C5967"/>
    <w:multiLevelType w:val="singleLevel"/>
    <w:tmpl w:val="366C5967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doNotCompress"/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ZjZjcwNjFmMWFmMWY4OTJkMjczNjY4Y2NmYzcwMDgifQ=="/>
  </w:docVars>
  <w:rsids>
    <w:rsidRoot w:val="003A0171"/>
    <w:rsid w:val="00022F47"/>
    <w:rsid w:val="00097188"/>
    <w:rsid w:val="00144374"/>
    <w:rsid w:val="00171A07"/>
    <w:rsid w:val="001C3716"/>
    <w:rsid w:val="002B6923"/>
    <w:rsid w:val="003719AD"/>
    <w:rsid w:val="00377805"/>
    <w:rsid w:val="003A0171"/>
    <w:rsid w:val="00435B92"/>
    <w:rsid w:val="004C5216"/>
    <w:rsid w:val="004E7592"/>
    <w:rsid w:val="00541323"/>
    <w:rsid w:val="0055785E"/>
    <w:rsid w:val="005C4400"/>
    <w:rsid w:val="006303D3"/>
    <w:rsid w:val="006D3B4D"/>
    <w:rsid w:val="00776F78"/>
    <w:rsid w:val="007D30D4"/>
    <w:rsid w:val="00896E9C"/>
    <w:rsid w:val="008E65F1"/>
    <w:rsid w:val="00A12741"/>
    <w:rsid w:val="00A21402"/>
    <w:rsid w:val="00B01374"/>
    <w:rsid w:val="00BB0420"/>
    <w:rsid w:val="00BE5115"/>
    <w:rsid w:val="00C02D64"/>
    <w:rsid w:val="00CD2D98"/>
    <w:rsid w:val="00CF6F04"/>
    <w:rsid w:val="00DD27AD"/>
    <w:rsid w:val="00E17728"/>
    <w:rsid w:val="00E24593"/>
    <w:rsid w:val="00F37375"/>
    <w:rsid w:val="00F52F29"/>
    <w:rsid w:val="02DA1F3A"/>
    <w:rsid w:val="035C3635"/>
    <w:rsid w:val="03CC3796"/>
    <w:rsid w:val="042F62B6"/>
    <w:rsid w:val="049C76EE"/>
    <w:rsid w:val="05F975F3"/>
    <w:rsid w:val="0608695F"/>
    <w:rsid w:val="061E45ED"/>
    <w:rsid w:val="092A7248"/>
    <w:rsid w:val="0A5F3C81"/>
    <w:rsid w:val="0C1947F9"/>
    <w:rsid w:val="0CD35D4F"/>
    <w:rsid w:val="0D076022"/>
    <w:rsid w:val="0DD47470"/>
    <w:rsid w:val="0E415563"/>
    <w:rsid w:val="0EAB1FD7"/>
    <w:rsid w:val="0F896A1B"/>
    <w:rsid w:val="10030586"/>
    <w:rsid w:val="12B92088"/>
    <w:rsid w:val="159D7497"/>
    <w:rsid w:val="1606331B"/>
    <w:rsid w:val="160C6457"/>
    <w:rsid w:val="17CF1E86"/>
    <w:rsid w:val="184E71FB"/>
    <w:rsid w:val="18F7519C"/>
    <w:rsid w:val="197762DD"/>
    <w:rsid w:val="1995404C"/>
    <w:rsid w:val="1A2E6844"/>
    <w:rsid w:val="1AE906D3"/>
    <w:rsid w:val="1AFC50F3"/>
    <w:rsid w:val="1B397E34"/>
    <w:rsid w:val="1B79633D"/>
    <w:rsid w:val="1BF444F3"/>
    <w:rsid w:val="1E410009"/>
    <w:rsid w:val="1E44245A"/>
    <w:rsid w:val="1EFD7285"/>
    <w:rsid w:val="1F696F49"/>
    <w:rsid w:val="1FAF52AB"/>
    <w:rsid w:val="20CD4236"/>
    <w:rsid w:val="21B40AB3"/>
    <w:rsid w:val="22FF583D"/>
    <w:rsid w:val="231057D9"/>
    <w:rsid w:val="237C7492"/>
    <w:rsid w:val="23D55181"/>
    <w:rsid w:val="25D770AE"/>
    <w:rsid w:val="25F623DD"/>
    <w:rsid w:val="26300810"/>
    <w:rsid w:val="28223F0A"/>
    <w:rsid w:val="28414686"/>
    <w:rsid w:val="29443E9C"/>
    <w:rsid w:val="29455AB0"/>
    <w:rsid w:val="298365D8"/>
    <w:rsid w:val="29C16846"/>
    <w:rsid w:val="29E2726C"/>
    <w:rsid w:val="2B1F0E88"/>
    <w:rsid w:val="2B7B3A0B"/>
    <w:rsid w:val="2BB10402"/>
    <w:rsid w:val="2C2725F5"/>
    <w:rsid w:val="2CA01D61"/>
    <w:rsid w:val="2CB25D9F"/>
    <w:rsid w:val="2DDC5E7F"/>
    <w:rsid w:val="2DF85AEA"/>
    <w:rsid w:val="2E3A714C"/>
    <w:rsid w:val="2EE8585B"/>
    <w:rsid w:val="2FEE50F3"/>
    <w:rsid w:val="2FFD720B"/>
    <w:rsid w:val="3006476D"/>
    <w:rsid w:val="304A49D9"/>
    <w:rsid w:val="308B2942"/>
    <w:rsid w:val="319F5F79"/>
    <w:rsid w:val="324C1127"/>
    <w:rsid w:val="32AD4288"/>
    <w:rsid w:val="32D63BB9"/>
    <w:rsid w:val="33C12AA0"/>
    <w:rsid w:val="34014CC9"/>
    <w:rsid w:val="360A4D6C"/>
    <w:rsid w:val="37B24C58"/>
    <w:rsid w:val="38451A37"/>
    <w:rsid w:val="38B05592"/>
    <w:rsid w:val="398E6FFF"/>
    <w:rsid w:val="39B20F40"/>
    <w:rsid w:val="3A904AB7"/>
    <w:rsid w:val="3A9B336A"/>
    <w:rsid w:val="3B163750"/>
    <w:rsid w:val="3BD322AF"/>
    <w:rsid w:val="3CAF1767"/>
    <w:rsid w:val="3CB23005"/>
    <w:rsid w:val="3DA36040"/>
    <w:rsid w:val="3E3418EB"/>
    <w:rsid w:val="3ECD6BFD"/>
    <w:rsid w:val="3F4168C2"/>
    <w:rsid w:val="410C239D"/>
    <w:rsid w:val="412836E2"/>
    <w:rsid w:val="415E5CCE"/>
    <w:rsid w:val="41FF536C"/>
    <w:rsid w:val="42100EF9"/>
    <w:rsid w:val="425D3A13"/>
    <w:rsid w:val="426667EE"/>
    <w:rsid w:val="42807B9C"/>
    <w:rsid w:val="4364789F"/>
    <w:rsid w:val="43813874"/>
    <w:rsid w:val="43CA50D8"/>
    <w:rsid w:val="444529B0"/>
    <w:rsid w:val="444A7FC7"/>
    <w:rsid w:val="4508235C"/>
    <w:rsid w:val="45744A1F"/>
    <w:rsid w:val="46562036"/>
    <w:rsid w:val="465C4608"/>
    <w:rsid w:val="4669364C"/>
    <w:rsid w:val="47FD5FB7"/>
    <w:rsid w:val="48A6125F"/>
    <w:rsid w:val="4ACC6C2B"/>
    <w:rsid w:val="4B15260F"/>
    <w:rsid w:val="4B2779D4"/>
    <w:rsid w:val="4C054A64"/>
    <w:rsid w:val="4C591ACF"/>
    <w:rsid w:val="4D795A49"/>
    <w:rsid w:val="4D803555"/>
    <w:rsid w:val="4DD52FF7"/>
    <w:rsid w:val="4F011CB4"/>
    <w:rsid w:val="4F2D65C0"/>
    <w:rsid w:val="4F974A61"/>
    <w:rsid w:val="50B0784B"/>
    <w:rsid w:val="51FB017D"/>
    <w:rsid w:val="51FF5427"/>
    <w:rsid w:val="5213629A"/>
    <w:rsid w:val="52217969"/>
    <w:rsid w:val="52DC7DB4"/>
    <w:rsid w:val="55601F0C"/>
    <w:rsid w:val="55E02539"/>
    <w:rsid w:val="56B95317"/>
    <w:rsid w:val="57B13726"/>
    <w:rsid w:val="58824B93"/>
    <w:rsid w:val="58CD3249"/>
    <w:rsid w:val="58D84A43"/>
    <w:rsid w:val="590C0C9B"/>
    <w:rsid w:val="595219A0"/>
    <w:rsid w:val="59E7033A"/>
    <w:rsid w:val="5A4E6F8A"/>
    <w:rsid w:val="5A632D41"/>
    <w:rsid w:val="5A6A63F3"/>
    <w:rsid w:val="5AF3699C"/>
    <w:rsid w:val="5BAB5397"/>
    <w:rsid w:val="5BCD17B1"/>
    <w:rsid w:val="5C47119B"/>
    <w:rsid w:val="5DCE3659"/>
    <w:rsid w:val="5E8C325E"/>
    <w:rsid w:val="5FC62EFF"/>
    <w:rsid w:val="5FCB741E"/>
    <w:rsid w:val="600336A5"/>
    <w:rsid w:val="60CB110D"/>
    <w:rsid w:val="61ED6709"/>
    <w:rsid w:val="635D615E"/>
    <w:rsid w:val="638544F8"/>
    <w:rsid w:val="63860BC4"/>
    <w:rsid w:val="63E67425"/>
    <w:rsid w:val="65965345"/>
    <w:rsid w:val="66172A2E"/>
    <w:rsid w:val="66D15400"/>
    <w:rsid w:val="679F2254"/>
    <w:rsid w:val="691B1D52"/>
    <w:rsid w:val="693B7D5A"/>
    <w:rsid w:val="6A6257BB"/>
    <w:rsid w:val="6A9811DC"/>
    <w:rsid w:val="6B0C26A0"/>
    <w:rsid w:val="6B4C1B7B"/>
    <w:rsid w:val="6C773670"/>
    <w:rsid w:val="6C7F0402"/>
    <w:rsid w:val="6D797CBA"/>
    <w:rsid w:val="6DEA1D4F"/>
    <w:rsid w:val="6F7E4E45"/>
    <w:rsid w:val="6FE21D32"/>
    <w:rsid w:val="7002753D"/>
    <w:rsid w:val="70657DB3"/>
    <w:rsid w:val="7154605E"/>
    <w:rsid w:val="71665475"/>
    <w:rsid w:val="72777687"/>
    <w:rsid w:val="7310309A"/>
    <w:rsid w:val="733862F7"/>
    <w:rsid w:val="75EA14A8"/>
    <w:rsid w:val="75F145C2"/>
    <w:rsid w:val="772E447C"/>
    <w:rsid w:val="77CB4BB6"/>
    <w:rsid w:val="78577977"/>
    <w:rsid w:val="78D04546"/>
    <w:rsid w:val="79004B1D"/>
    <w:rsid w:val="79921A5A"/>
    <w:rsid w:val="79C1605A"/>
    <w:rsid w:val="7A880CF2"/>
    <w:rsid w:val="7B717696"/>
    <w:rsid w:val="7B866CDB"/>
    <w:rsid w:val="7BA82956"/>
    <w:rsid w:val="7C5461B0"/>
    <w:rsid w:val="7D844E18"/>
    <w:rsid w:val="7E0550E8"/>
    <w:rsid w:val="7E09368F"/>
    <w:rsid w:val="7E1A193D"/>
    <w:rsid w:val="7E315DC0"/>
    <w:rsid w:val="7E325778"/>
    <w:rsid w:val="7EBF4B32"/>
    <w:rsid w:val="7F016EF9"/>
    <w:rsid w:val="7FF16F6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qFormat="1" w:unhideWhenUsed="0" w:uiPriority="0" w:semiHidden="0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cs="Arial" w:eastAsiaTheme="minorEastAsia"/>
      <w:snapToGrid w:val="0"/>
      <w:color w:val="000000"/>
      <w:sz w:val="21"/>
      <w:szCs w:val="21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line="372" w:lineRule="auto"/>
      <w:outlineLvl w:val="3"/>
    </w:pPr>
    <w:rPr>
      <w:rFonts w:eastAsia="宋体"/>
      <w:b/>
      <w:sz w:val="2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oa heading"/>
    <w:basedOn w:val="1"/>
    <w:next w:val="1"/>
    <w:qFormat/>
    <w:uiPriority w:val="0"/>
    <w:pPr>
      <w:spacing w:before="120"/>
    </w:pPr>
    <w:rPr>
      <w:rFonts w:ascii="Arial" w:hAnsi="Arial" w:cs="Arial"/>
      <w:sz w:val="24"/>
    </w:rPr>
  </w:style>
  <w:style w:type="paragraph" w:styleId="4">
    <w:name w:val="annotation text"/>
    <w:basedOn w:val="1"/>
    <w:link w:val="20"/>
    <w:semiHidden/>
    <w:unhideWhenUsed/>
    <w:qFormat/>
    <w:uiPriority w:val="99"/>
  </w:style>
  <w:style w:type="paragraph" w:styleId="5">
    <w:name w:val="Body Text"/>
    <w:basedOn w:val="1"/>
    <w:next w:val="1"/>
    <w:qFormat/>
    <w:uiPriority w:val="0"/>
    <w:pPr>
      <w:jc w:val="left"/>
    </w:pPr>
    <w:rPr>
      <w:rFonts w:ascii="Copperplate Gothic Bold" w:hAnsi="Copperplate Gothic Bold"/>
      <w:sz w:val="28"/>
    </w:rPr>
  </w:style>
  <w:style w:type="paragraph" w:styleId="6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9"/>
    <w:semiHidden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8">
    <w:name w:val="header"/>
    <w:basedOn w:val="1"/>
    <w:link w:val="1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99"/>
    <w:pPr>
      <w:spacing w:before="100" w:beforeAutospacing="1" w:after="100" w:afterAutospacing="1"/>
    </w:pPr>
    <w:rPr>
      <w:rFonts w:ascii="宋体" w:hAnsi="宋体" w:cs="宋体"/>
    </w:rPr>
  </w:style>
  <w:style w:type="paragraph" w:styleId="10">
    <w:name w:val="annotation subject"/>
    <w:basedOn w:val="4"/>
    <w:next w:val="4"/>
    <w:link w:val="21"/>
    <w:semiHidden/>
    <w:unhideWhenUsed/>
    <w:qFormat/>
    <w:uiPriority w:val="99"/>
    <w:rPr>
      <w:b/>
      <w:bCs/>
    </w:rPr>
  </w:style>
  <w:style w:type="character" w:styleId="13">
    <w:name w:val="annotation reference"/>
    <w:basedOn w:val="12"/>
    <w:semiHidden/>
    <w:unhideWhenUsed/>
    <w:qFormat/>
    <w:uiPriority w:val="99"/>
    <w:rPr>
      <w:sz w:val="21"/>
      <w:szCs w:val="21"/>
    </w:rPr>
  </w:style>
  <w:style w:type="paragraph" w:customStyle="1" w:styleId="14">
    <w:name w:val="Default"/>
    <w:next w:val="15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15">
    <w:name w:val="TOC 71"/>
    <w:next w:val="1"/>
    <w:qFormat/>
    <w:uiPriority w:val="0"/>
    <w:pPr>
      <w:wordWrap w:val="0"/>
      <w:ind w:left="255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table" w:customStyle="1" w:styleId="1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7">
    <w:name w:val="批注框文本 Char"/>
    <w:basedOn w:val="12"/>
    <w:link w:val="6"/>
    <w:semiHidden/>
    <w:qFormat/>
    <w:uiPriority w:val="99"/>
    <w:rPr>
      <w:sz w:val="18"/>
      <w:szCs w:val="18"/>
    </w:rPr>
  </w:style>
  <w:style w:type="character" w:customStyle="1" w:styleId="18">
    <w:name w:val="页眉 Char"/>
    <w:basedOn w:val="12"/>
    <w:link w:val="8"/>
    <w:semiHidden/>
    <w:qFormat/>
    <w:uiPriority w:val="99"/>
    <w:rPr>
      <w:sz w:val="18"/>
      <w:szCs w:val="18"/>
    </w:rPr>
  </w:style>
  <w:style w:type="character" w:customStyle="1" w:styleId="19">
    <w:name w:val="页脚 Char"/>
    <w:basedOn w:val="12"/>
    <w:link w:val="7"/>
    <w:semiHidden/>
    <w:qFormat/>
    <w:uiPriority w:val="99"/>
    <w:rPr>
      <w:sz w:val="18"/>
      <w:szCs w:val="18"/>
    </w:rPr>
  </w:style>
  <w:style w:type="character" w:customStyle="1" w:styleId="20">
    <w:name w:val="批注文字 Char"/>
    <w:basedOn w:val="12"/>
    <w:link w:val="4"/>
    <w:semiHidden/>
    <w:qFormat/>
    <w:uiPriority w:val="99"/>
    <w:rPr>
      <w:rFonts w:ascii="Arial" w:hAnsi="Arial" w:cs="Arial" w:eastAsiaTheme="minorEastAsia"/>
      <w:snapToGrid w:val="0"/>
      <w:color w:val="000000"/>
      <w:sz w:val="21"/>
      <w:szCs w:val="21"/>
    </w:rPr>
  </w:style>
  <w:style w:type="character" w:customStyle="1" w:styleId="21">
    <w:name w:val="批注主题 Char"/>
    <w:basedOn w:val="20"/>
    <w:link w:val="10"/>
    <w:semiHidden/>
    <w:qFormat/>
    <w:uiPriority w:val="99"/>
    <w:rPr>
      <w:rFonts w:ascii="Arial" w:hAnsi="Arial" w:cs="Arial" w:eastAsiaTheme="minorEastAsia"/>
      <w:b/>
      <w:bCs/>
      <w:snapToGrid w:val="0"/>
      <w:color w:val="000000"/>
      <w:sz w:val="21"/>
      <w:szCs w:val="21"/>
    </w:rPr>
  </w:style>
  <w:style w:type="paragraph" w:customStyle="1" w:styleId="2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微软用户</Company>
  <Pages>5</Pages>
  <Words>4744</Words>
  <Characters>5406</Characters>
  <Lines>17</Lines>
  <Paragraphs>4</Paragraphs>
  <TotalTime>0</TotalTime>
  <ScaleCrop>false</ScaleCrop>
  <LinksUpToDate>false</LinksUpToDate>
  <CharactersWithSpaces>5412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2022-06-24T01:59:00Z</dcterms:created>
  <dc:creator>User</dc:creator>
  <cp:lastModifiedBy>Y</cp:lastModifiedBy>
  <dcterms:modified xsi:type="dcterms:W3CDTF">2026-05-28T10:47:58Z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B96BAB69A81D45DCA2A262D4E5FBFCE5_13</vt:lpwstr>
  </property>
  <property fmtid="{D5CDD505-2E9C-101B-9397-08002B2CF9AE}" pid="4" name="KSOTemplateDocerSaveRecord">
    <vt:lpwstr>eyJoZGlkIjoiMGFkN2ZkYjAyZWFhMzBkYzQ5ZGY0MjkyMjEyZDAzZTQiLCJ1c2VySWQiOiIxMDMyOTA1OTI4In0=</vt:lpwstr>
  </property>
</Properties>
</file>