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版本号：SDZC2026-04520260508001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大雁塔不均匀沉降及变形监测项目(二次)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SDZC2026-045</w:t>
      </w:r>
      <w:r>
        <w:br/>
      </w:r>
      <w:r>
        <w:br/>
      </w:r>
      <w:r>
        <w:br/>
      </w:r>
    </w:p>
    <w:p>
      <w:pPr>
        <w:pStyle w:val="null3"/>
        <w:jc w:val="center"/>
        <w:outlineLvl w:val="2"/>
      </w:pPr>
      <w:r>
        <w:rPr>
          <w:rFonts w:ascii="仿宋_GB2312" w:hAnsi="仿宋_GB2312" w:cs="仿宋_GB2312" w:eastAsia="仿宋_GB2312"/>
          <w:sz w:val="28"/>
          <w:b/>
        </w:rPr>
        <w:t>西安市大雁塔保管所</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西安市大雁塔保管所</w:t>
      </w:r>
      <w:r>
        <w:rPr>
          <w:rFonts w:ascii="仿宋_GB2312" w:hAnsi="仿宋_GB2312" w:cs="仿宋_GB2312" w:eastAsia="仿宋_GB2312"/>
        </w:rPr>
        <w:t>委托，拟对</w:t>
      </w:r>
      <w:r>
        <w:rPr>
          <w:rFonts w:ascii="仿宋_GB2312" w:hAnsi="仿宋_GB2312" w:cs="仿宋_GB2312" w:eastAsia="仿宋_GB2312"/>
        </w:rPr>
        <w:t>大雁塔不均匀沉降及变形监测项目(二次)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大雁塔不均匀沉降及变形监测项目(二次)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大雁塔不均匀沉降及变形监测项目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8、供应商应具备行政主管部门核发的工程测绘甲级资质或工程测量专业甲级测绘资质：供应商应具备行政主管部门核发的工程测绘甲级资质或工程测量专业甲级测绘资质；</w:t>
      </w:r>
    </w:p>
    <w:p>
      <w:pPr>
        <w:pStyle w:val="null3"/>
      </w:pPr>
      <w:r>
        <w:rPr>
          <w:rFonts w:ascii="仿宋_GB2312" w:hAnsi="仿宋_GB2312" w:cs="仿宋_GB2312" w:eastAsia="仿宋_GB2312"/>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西安市大雁塔保管所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陕西省西安市大慈恩寺院内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西安市大雁塔保管所经办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029-85518039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郅龙（8号工位）、张爱君、魏蕾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服务费低于5000元的按5000元收取。招标代理服务费应采用转账、刷卡、现金形式缴纳。2、汇款账户：1.开户行名称：陕西上德招标有限公司 2.开 户 行：西安银行股份有限公司文景路支行 3.账 号：707011510000013522 财务部联系方式：029-86673953、029-86518381、029-89299829、029-89293231 转813 备注：供应商在汇款（招标代理服务费）时须注明项目编号+项目简称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西安市大雁塔保管所</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西安市大雁塔保管所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西安市大雁塔保管所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观测需达到但不限于现行主要的中华人民共和国以及省、市或行业的沉降观测技术标准或规范的要求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联系电话：029-86673953、029-86518381、029-89299829、029-89293231转808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大雁塔不均匀沉降及变形监测项目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w:t>
      </w:r>
    </w:p>
    <w:p>
      <w:pPr>
        <w:pStyle w:val="null3"/>
      </w:pPr>
      <w:r>
        <w:rPr>
          <w:rFonts w:ascii="仿宋_GB2312" w:hAnsi="仿宋_GB2312" w:cs="仿宋_GB2312" w:eastAsia="仿宋_GB2312"/>
        </w:rPr>
        <w:t>采购包最高限价（元）: 150,000.00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大雁塔不均匀沉降及变形监测项目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标的名称：大雁塔不均匀沉降及变形监测项目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一、招标要求</w:t>
            </w:r>
          </w:p>
          <w:p>
            <w:pPr>
              <w:pStyle w:val="null3"/>
            </w:pPr>
            <w:r>
              <w:rPr>
                <w:rFonts w:ascii="仿宋_GB2312" w:hAnsi="仿宋_GB2312" w:cs="仿宋_GB2312" w:eastAsia="仿宋_GB2312"/>
              </w:rPr>
              <w:t>1、编制“大雁塔不均匀沉降及变形监测”项目方案，并提供大雁塔监测专用测量设备工具。</w:t>
            </w:r>
          </w:p>
          <w:p>
            <w:pPr>
              <w:pStyle w:val="null3"/>
            </w:pPr>
            <w:r>
              <w:rPr>
                <w:rFonts w:ascii="仿宋_GB2312" w:hAnsi="仿宋_GB2312" w:cs="仿宋_GB2312" w:eastAsia="仿宋_GB2312"/>
              </w:rPr>
              <w:t>2、本项目监测等级为“一等”，一年监测不少于二次，特殊情况需随时加测，监测程序及监测技术科学合理，每次监测完成后及时向大雁塔管理机构提交专业技术报告，形成数据累计、对比分析，为综合研判提供监测依据。</w:t>
            </w:r>
          </w:p>
          <w:p>
            <w:pPr>
              <w:pStyle w:val="null3"/>
            </w:pPr>
            <w:r>
              <w:rPr>
                <w:rFonts w:ascii="仿宋_GB2312" w:hAnsi="仿宋_GB2312" w:cs="仿宋_GB2312" w:eastAsia="仿宋_GB2312"/>
              </w:rPr>
              <w:t>3、满足测绘内容：塔身轴线变化监测；塔身总体倾斜监测；塔身挠度监测；环塔路及其半径1公里范围内的地面沉降监测；塔身沉降监测；塔座及近处地面加密沉降点的监测；塔身结构稳定性的监测。</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依据本项目技术文件的要求，观测需达到但不限于下列现行主要的中华人民共和国以及 省、市或行业的沉降观测技术标准或规范的要求</w:t>
            </w:r>
          </w:p>
          <w:p>
            <w:pPr>
              <w:pStyle w:val="null3"/>
            </w:pPr>
            <w:r>
              <w:rPr>
                <w:rFonts w:ascii="仿宋_GB2312" w:hAnsi="仿宋_GB2312" w:cs="仿宋_GB2312" w:eastAsia="仿宋_GB2312"/>
              </w:rPr>
              <w:t>1、《中华人民共和国文物保护法》；</w:t>
            </w:r>
          </w:p>
          <w:p>
            <w:pPr>
              <w:pStyle w:val="null3"/>
            </w:pPr>
            <w:r>
              <w:rPr>
                <w:rFonts w:ascii="仿宋_GB2312" w:hAnsi="仿宋_GB2312" w:cs="仿宋_GB2312" w:eastAsia="仿宋_GB2312"/>
              </w:rPr>
              <w:t>2、《中国文物古迹保护准则》；</w:t>
            </w:r>
          </w:p>
          <w:p>
            <w:pPr>
              <w:pStyle w:val="null3"/>
            </w:pPr>
            <w:r>
              <w:rPr>
                <w:rFonts w:ascii="仿宋_GB2312" w:hAnsi="仿宋_GB2312" w:cs="仿宋_GB2312" w:eastAsia="仿宋_GB2312"/>
              </w:rPr>
              <w:t>3、《陕西省文物保护管理条例》；</w:t>
            </w:r>
          </w:p>
          <w:p>
            <w:pPr>
              <w:pStyle w:val="null3"/>
            </w:pPr>
            <w:r>
              <w:rPr>
                <w:rFonts w:ascii="仿宋_GB2312" w:hAnsi="仿宋_GB2312" w:cs="仿宋_GB2312" w:eastAsia="仿宋_GB2312"/>
              </w:rPr>
              <w:t>4、《西安市不可移动文物保护条例》；</w:t>
            </w:r>
          </w:p>
          <w:p>
            <w:pPr>
              <w:pStyle w:val="null3"/>
            </w:pPr>
            <w:r>
              <w:rPr>
                <w:rFonts w:ascii="仿宋_GB2312" w:hAnsi="仿宋_GB2312" w:cs="仿宋_GB2312" w:eastAsia="仿宋_GB2312"/>
              </w:rPr>
              <w:t>5、《工程测量标准》（GB50026-2020）；</w:t>
            </w:r>
          </w:p>
          <w:p>
            <w:pPr>
              <w:pStyle w:val="null3"/>
            </w:pPr>
            <w:r>
              <w:rPr>
                <w:rFonts w:ascii="仿宋_GB2312" w:hAnsi="仿宋_GB2312" w:cs="仿宋_GB2312" w:eastAsia="仿宋_GB2312"/>
              </w:rPr>
              <w:t>6、《建筑变形测量规范》（JGJ8-2016）；</w:t>
            </w:r>
          </w:p>
          <w:p>
            <w:pPr>
              <w:pStyle w:val="null3"/>
            </w:pPr>
            <w:r>
              <w:rPr>
                <w:rFonts w:ascii="仿宋_GB2312" w:hAnsi="仿宋_GB2312" w:cs="仿宋_GB2312" w:eastAsia="仿宋_GB2312"/>
              </w:rPr>
              <w:t>7、《全球定位系统（GPS）测量规范》（GB/T 18314-2009）；</w:t>
            </w:r>
          </w:p>
          <w:p>
            <w:pPr>
              <w:pStyle w:val="null3"/>
            </w:pPr>
            <w:r>
              <w:rPr>
                <w:rFonts w:ascii="仿宋_GB2312" w:hAnsi="仿宋_GB2312" w:cs="仿宋_GB2312" w:eastAsia="仿宋_GB2312"/>
              </w:rPr>
              <w:t>8、《国家一、二等水准测量规范》（GB/T 12897-2006）；</w:t>
            </w:r>
          </w:p>
          <w:p>
            <w:pPr>
              <w:pStyle w:val="null3"/>
            </w:pPr>
            <w:r>
              <w:rPr>
                <w:rFonts w:ascii="仿宋_GB2312" w:hAnsi="仿宋_GB2312" w:cs="仿宋_GB2312" w:eastAsia="仿宋_GB2312"/>
              </w:rPr>
              <w:t>9、《岩土工程勘察规范》（GB50021-2001）（2009 年版）；</w:t>
            </w:r>
          </w:p>
          <w:p>
            <w:pPr>
              <w:pStyle w:val="null3"/>
            </w:pPr>
            <w:r>
              <w:rPr>
                <w:rFonts w:ascii="仿宋_GB2312" w:hAnsi="仿宋_GB2312" w:cs="仿宋_GB2312" w:eastAsia="仿宋_GB2312"/>
              </w:rPr>
              <w:t>10、《供水水文地质勘察规范》GB50027-2001；</w:t>
            </w:r>
          </w:p>
          <w:p>
            <w:pPr>
              <w:pStyle w:val="null3"/>
            </w:pPr>
            <w:r>
              <w:rPr>
                <w:rFonts w:ascii="仿宋_GB2312" w:hAnsi="仿宋_GB2312" w:cs="仿宋_GB2312" w:eastAsia="仿宋_GB2312"/>
              </w:rPr>
              <w:t>11、《公共安全视频监控联网系统信息传输、交换、控制技术要求》（GB/T28181-2016） ；</w:t>
            </w:r>
          </w:p>
          <w:p>
            <w:pPr>
              <w:pStyle w:val="null3"/>
            </w:pPr>
            <w:r>
              <w:rPr>
                <w:rFonts w:ascii="仿宋_GB2312" w:hAnsi="仿宋_GB2312" w:cs="仿宋_GB2312" w:eastAsia="仿宋_GB2312"/>
              </w:rPr>
              <w:t>12、国家或行业其他相关规范、强制性标准</w:t>
            </w:r>
          </w:p>
          <w:p>
            <w:pPr>
              <w:pStyle w:val="null3"/>
            </w:pPr>
            <w:r>
              <w:rPr>
                <w:rFonts w:ascii="仿宋_GB2312" w:hAnsi="仿宋_GB2312" w:cs="仿宋_GB2312" w:eastAsia="仿宋_GB2312"/>
              </w:rPr>
              <w:t>三、人员配置要求</w:t>
            </w:r>
          </w:p>
          <w:p>
            <w:pPr>
              <w:pStyle w:val="null3"/>
            </w:pPr>
            <w:r>
              <w:rPr>
                <w:rFonts w:ascii="仿宋_GB2312" w:hAnsi="仿宋_GB2312" w:cs="仿宋_GB2312" w:eastAsia="仿宋_GB2312"/>
              </w:rPr>
              <w:t>1、供应商须承诺根据采购人要求能够保证在临时因工作需要时，安排1名人员，在采购人指定的场所驻点工作。</w:t>
            </w:r>
          </w:p>
          <w:p>
            <w:pPr>
              <w:pStyle w:val="null3"/>
            </w:pPr>
            <w:r>
              <w:rPr>
                <w:rFonts w:ascii="仿宋_GB2312" w:hAnsi="仿宋_GB2312" w:cs="仿宋_GB2312" w:eastAsia="仿宋_GB2312"/>
              </w:rPr>
              <w:t>2、供应商须在响应文件中详细列清参与本项目人员的名单、资历、资格。项目执行期间，供应商须严格按照响应文件填报的项目人员进行考勤管理。</w:t>
            </w:r>
          </w:p>
          <w:p>
            <w:pPr>
              <w:pStyle w:val="null3"/>
            </w:pPr>
            <w:r>
              <w:rPr>
                <w:rFonts w:ascii="仿宋_GB2312" w:hAnsi="仿宋_GB2312" w:cs="仿宋_GB2312" w:eastAsia="仿宋_GB2312"/>
              </w:rPr>
              <w:t>3、供应商在响应文件中填报的项目人员不得随意更换，如确需更换须经采购人同意，且拟更换人员应具备同等或以上专业技术资格。</w:t>
            </w:r>
          </w:p>
          <w:p>
            <w:pPr>
              <w:pStyle w:val="null3"/>
            </w:pPr>
            <w:r>
              <w:rPr>
                <w:rFonts w:ascii="仿宋_GB2312" w:hAnsi="仿宋_GB2312" w:cs="仿宋_GB2312" w:eastAsia="仿宋_GB2312"/>
              </w:rPr>
              <w:t>4、供应商派出的人员不能胜任该项工作的，采购人有权要求调换。</w:t>
            </w:r>
          </w:p>
          <w:p>
            <w:pPr>
              <w:pStyle w:val="null3"/>
            </w:pPr>
            <w:r>
              <w:rPr>
                <w:rFonts w:ascii="仿宋_GB2312" w:hAnsi="仿宋_GB2312" w:cs="仿宋_GB2312" w:eastAsia="仿宋_GB2312"/>
              </w:rPr>
              <w:t>5、供应商派出的人员违反有关法律、法规或采购人制定的工作纪律、或被有效投诉的，采购人除相应扣减要支付给供应商的费用外，可视情节解除与供应商的服务协议。</w:t>
            </w:r>
          </w:p>
          <w:p>
            <w:pPr>
              <w:pStyle w:val="null3"/>
            </w:pPr>
            <w:r>
              <w:rPr>
                <w:rFonts w:ascii="仿宋_GB2312" w:hAnsi="仿宋_GB2312" w:cs="仿宋_GB2312" w:eastAsia="仿宋_GB2312"/>
              </w:rPr>
              <w:t>6、供应商项目负责人具有注册测绘师资格证书和相关行业高级职称。</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根据项目内容配备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针对本项目拟投入的设备、仪器完整、齐全，配备合理，完全满足项目需求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大慈恩寺内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观测需达到但不限于现行主要的中华人民共和国以及省、市或行业的沉降观测技术标准或规范的要求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本合同约定的全部监测工作量达到70%时，在乙方提交相关工作成果并经甲方审核确认后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本合同约定的全部监测工作结束后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3.若未能在服务期内完成合同规定的义务，由此对采购方造成的延误和一切损失，由中标人承担和赔偿。4.磋商响应文件中提供的资质证书等材料在合同签订及履行期间持续有效，否则采购人有权终止合同并要求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2、投标人应于招标人每次付款前向招标人开具等额发票，因投标人迟延开票，招标人有权拒不付款且不承担任何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完整有效的财务报告（成立时间至开标时间不足一年的可提供成立后任意时段的资产负债表）或开标前六个月内其基本账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供应商应具备行政主管部门核发的工程测绘甲级资质或工程测量专业甲级测绘资质</w:t>
            </w:r>
          </w:p>
        </w:tc>
        <w:tc>
          <w:tcPr>
            <w:tcW w:type="dxa" w:w="3322"/>
          </w:tcPr>
          <w:p>
            <w:pPr>
              <w:pStyle w:val="null3"/>
            </w:pPr>
            <w:r>
              <w:rPr>
                <w:rFonts w:ascii="仿宋_GB2312" w:hAnsi="仿宋_GB2312" w:cs="仿宋_GB2312" w:eastAsia="仿宋_GB2312"/>
              </w:rPr>
              <w:t>供应商应具备行政主管部门核发的工程测绘甲级资质或工程测量专业甲级测绘资质；</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编制格式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项目重点、难点分析.docx 业绩.docx 保密措施.docx 中小企业声明函 授权委托书.docx 项目团队配置.docx 承诺书.docx 质量保证措施.docx 需求分析.docx 响应文件封面 拟投入本项目的设备配置.docx 分项报价表.docx 供应商资格要求.docx 残疾人福利性单位声明函 拒绝政府采购领域商业贿赂承诺书.docx 项目实施进度计划.docx 供应商参与政府采购活动的承诺函.docx 标的清单 整体服务方案.docx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项目重点、难点分析.docx 业绩.docx 保密措施.docx 中小企业声明函 授权委托书.docx 项目团队配置.docx 承诺书.docx 质量保证措施.docx 需求分析.docx 响应文件封面 拟投入本项目的设备配置.docx 分项报价表.docx 供应商资格要求.docx 残疾人福利性单位声明函 拒绝政府采购领域商业贿赂承诺书.docx 项目实施进度计划.docx 供应商参与政府采购活动的承诺函.docx 标的清单 整体服务方案.docx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磋商报价未超过采购预算</w:t>
            </w:r>
          </w:p>
        </w:tc>
        <w:tc>
          <w:tcPr>
            <w:tcW w:type="dxa" w:w="3322"/>
          </w:tcPr>
          <w:p>
            <w:pPr>
              <w:pStyle w:val="null3"/>
            </w:pPr>
            <w:r>
              <w:rPr>
                <w:rFonts w:ascii="仿宋_GB2312" w:hAnsi="仿宋_GB2312" w:cs="仿宋_GB2312" w:eastAsia="仿宋_GB2312"/>
              </w:rPr>
              <w:t>磋商报价是否超过采购预算</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项目重点、难点分析.docx 业绩.docx 保密措施.docx 中小企业声明函 授权委托书.docx 项目团队配置.docx 承诺书.docx 质量保证措施.docx 需求分析.docx 响应文件封面 拟投入本项目的设备配置.docx 分项报价表.docx 供应商资格要求.docx 残疾人福利性单位声明函 拒绝政府采购领域商业贿赂承诺书.docx 项目实施进度计划.docx 供应商参与政府采购活动的承诺函.docx 标的清单 整体服务方案.docx 供应商认为有必要说明的事宜.docx 响应函 监狱企业的证明文件 技术、服务、商务及其他要求响应偏离表.docx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项目重点、难点分析.docx 业绩.docx 保密措施.docx 中小企业声明函 授权委托书.docx 项目团队配置.docx 承诺书.docx 质量保证措施.docx 需求分析.docx 响应文件封面 拟投入本项目的设备配置.docx 分项报价表.docx 供应商资格要求.docx 残疾人福利性单位声明函 拒绝政府采购领域商业贿赂承诺书.docx 项目实施进度计划.docx 供应商参与政府采购活动的承诺函.docx 标的清单 整体服务方案.docx 供应商认为有必要说明的事宜.docx 响应函 监狱企业的证明文件 技术、服务、商务及其他要求响应偏离表.docx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供应商针对本项目提供需求分析，内容包括但不限于①对本项目工作内容的理解；②项目背景分析; ③调查资料的来源及整理等。以上内容专门针对本项目且阐述明晰、全面、合理得9分，每缺一项内容扣3分 , 若上述内容存在瑕疵，每出现一处瑕疵扣1分，扣完为止。“瑕疵”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需求分析.docx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供应商针对本项目提供整体服务方案，内容至少包括①服务内容及要求；②服务调查措施；③ 服务目标；④监测要素及重点；⑤调查范围等 。以上内容专门针对本项目且阐述明晰、全面、合理得20分，每缺一项内容扣4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供应商针对本项目提供实施进度计划，内容包括但不限于①项目实施进度计划；②项目完成进度保障措施；③突发情况的应急方案等。 以上内容专门针对本项目且阐述明晰、全面、合理得9分，每缺一项内容扣3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供应商针对本项目提供质量保证措施，内容包括但不限于①质量保障方案；②质量目标；③服务承诺等。以上内容专门针对本项目且阐述明晰、全面、合理得9分，每缺一项内容扣3分，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针对本项目提供保密措施，内容包括但不限于①保密管理制度；②保密内容；③具体工作保密措施；④保密承诺等。以上内容专门针对本项目且阐述明晰、全面、合理得8分，每缺一项内容扣2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供应商针对本项目提供项目重点、难点分析，内容包括但不限于 ①重点、难点分析；②重难点范围的把握；③ 关于重难点的应对措施。以上内容专门针对本项目且阐述明晰、全面、合理得9分，每缺一项内容扣3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项目重点、难点分析.docx</w:t>
            </w:r>
          </w:p>
        </w:tc>
      </w:tr>
      <w:tr>
        <w:tc>
          <w:tcPr>
            <w:tcW w:type="dxa" w:w="831"/>
            <w:vMerge/>
          </w:tcPr>
          <w:p/>
        </w:tc>
        <w:tc>
          <w:tcPr>
            <w:tcW w:type="dxa" w:w="1661"/>
          </w:tcPr>
          <w:p>
            <w:pPr>
              <w:pStyle w:val="null3"/>
            </w:pPr>
            <w:r>
              <w:rPr>
                <w:rFonts w:ascii="仿宋_GB2312" w:hAnsi="仿宋_GB2312" w:cs="仿宋_GB2312" w:eastAsia="仿宋_GB2312"/>
              </w:rPr>
              <w:t>项目团队配置1</w:t>
            </w:r>
          </w:p>
        </w:tc>
        <w:tc>
          <w:tcPr>
            <w:tcW w:type="dxa" w:w="2492"/>
          </w:tcPr>
          <w:p>
            <w:pPr>
              <w:pStyle w:val="null3"/>
            </w:pPr>
            <w:r>
              <w:rPr>
                <w:rFonts w:ascii="仿宋_GB2312" w:hAnsi="仿宋_GB2312" w:cs="仿宋_GB2312" w:eastAsia="仿宋_GB2312"/>
              </w:rPr>
              <w:t>项目负责人具有同类型古建筑物监测类业绩，每提供一个计1分，满分4分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项目团队配置2</w:t>
            </w:r>
          </w:p>
        </w:tc>
        <w:tc>
          <w:tcPr>
            <w:tcW w:type="dxa" w:w="2492"/>
          </w:tcPr>
          <w:p>
            <w:pPr>
              <w:pStyle w:val="null3"/>
            </w:pPr>
            <w:r>
              <w:rPr>
                <w:rFonts w:ascii="仿宋_GB2312" w:hAnsi="仿宋_GB2312" w:cs="仿宋_GB2312" w:eastAsia="仿宋_GB2312"/>
              </w:rPr>
              <w:t>项目团队配置内容至少包括①团队组织人员配置；②团队人员管理制度；③各专业岗位分工；④配置人员资格、职称及工作经验等。 以上内容专门针对本项目且阐述明晰、全面、合理得8分，每缺一项内容扣2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供应商具有同类业绩（同类业绩指：古建物监测类项目），响应文件中提供合同复印件加盖公章，每提供一个得2分，最高得8分。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拟投入本项目的设备配置</w:t>
            </w:r>
          </w:p>
        </w:tc>
        <w:tc>
          <w:tcPr>
            <w:tcW w:type="dxa" w:w="2492"/>
          </w:tcPr>
          <w:p>
            <w:pPr>
              <w:pStyle w:val="null3"/>
            </w:pPr>
            <w:r>
              <w:rPr>
                <w:rFonts w:ascii="仿宋_GB2312" w:hAnsi="仿宋_GB2312" w:cs="仿宋_GB2312" w:eastAsia="仿宋_GB2312"/>
              </w:rPr>
              <w:t>供应商具有完成本项目所必要的测绘软硬件设备，提供仪器设备一览表。从①设备数量；②先进性、合理性;③具备法定计量检定机构出具的仪器检定证书。 能够满足项目需求、数量充足得6分；每缺项一个内容的描述扣2分；以上内容仅有描述但不够完善的，每出现一处扣1分。注：须提供设备表及相关证明材料（包括但不限于设备的发票、设备图片等证明材料复印件等）。 未提供相关内容不得分。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拟投入本项目的设备配置.docx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供应商的价格分统一按照下列公式计算：投标报价得分=（评标基准价/投标报价）×价格权值×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详见附件：需求分析.docx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详见附件：项目实施进度计划.docx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详见附件：项目重点、难点分析.docx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详见附件：拟投入本项目的设备配置.docx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