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版本号：ZCSP-华县-2026-00051.1B120260509001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渭南市华州区2026残疾人培训(二次)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ZCSP-华县-2026-00051.1B1</w:t>
      </w:r>
      <w:r>
        <w:br/>
      </w:r>
      <w:r>
        <w:br/>
      </w:r>
      <w:r>
        <w:br/>
      </w:r>
    </w:p>
    <w:p>
      <w:pPr>
        <w:pStyle w:val="null3"/>
        <w:jc w:val="center"/>
        <w:outlineLvl w:val="2"/>
      </w:pPr>
      <w:r>
        <w:rPr>
          <w:rFonts w:ascii="仿宋_GB2312" w:hAnsi="仿宋_GB2312" w:cs="仿宋_GB2312" w:eastAsia="仿宋_GB2312"/>
          <w:sz w:val="28"/>
          <w:b/>
        </w:rPr>
        <w:t>渭南市华州区残疾人联合会</w:t>
      </w:r>
    </w:p>
    <w:p>
      <w:pPr>
        <w:pStyle w:val="null3"/>
        <w:jc w:val="center"/>
        <w:outlineLvl w:val="2"/>
      </w:pPr>
      <w:r>
        <w:rPr>
          <w:rFonts w:ascii="仿宋_GB2312" w:hAnsi="仿宋_GB2312" w:cs="仿宋_GB2312" w:eastAsia="仿宋_GB2312"/>
          <w:sz w:val="28"/>
          <w:b/>
        </w:rPr>
        <w:t>陕西三公泽利项目管理有限公司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陕西三公泽利项目管理有限公司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渭南市华州区残疾人联合会</w:t>
      </w:r>
      <w:r>
        <w:rPr>
          <w:rFonts w:ascii="仿宋_GB2312" w:hAnsi="仿宋_GB2312" w:cs="仿宋_GB2312" w:eastAsia="仿宋_GB2312"/>
        </w:rPr>
        <w:t>委托，拟对</w:t>
      </w:r>
      <w:r>
        <w:rPr>
          <w:rFonts w:ascii="仿宋_GB2312" w:hAnsi="仿宋_GB2312" w:cs="仿宋_GB2312" w:eastAsia="仿宋_GB2312"/>
        </w:rPr>
        <w:t>渭南市华州区2026残疾人培训(二次)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ZCSP-华县-2026-00051.1B1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渭南市华州区2026残疾人培训(二次)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本项目为渭南市华州区残疾人联合会 2026 年残疾人就业培训工作项目，成交供应商需对 210 名残疾人进行职业技能和实用技能培训。主要目标为提高残疾人就业能力和水平、促进残疾人就业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2、磋商保证金：供应商提供磋商保证金缴纳凭证</w:t>
      </w:r>
    </w:p>
    <w:p>
      <w:pPr>
        <w:pStyle w:val="null3"/>
      </w:pPr>
      <w:r>
        <w:rPr>
          <w:rFonts w:ascii="仿宋_GB2312" w:hAnsi="仿宋_GB2312" w:cs="仿宋_GB2312" w:eastAsia="仿宋_GB2312"/>
        </w:rPr>
        <w:t>3、信誉：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4、关联关系：单位负责人为同一人或者存在直接控股、管理关系的不同供应商不得同时参加同一合同包下的采购活动</w:t>
      </w:r>
    </w:p>
    <w:p>
      <w:pPr>
        <w:pStyle w:val="null3"/>
      </w:pPr>
      <w:r>
        <w:rPr>
          <w:rFonts w:ascii="仿宋_GB2312" w:hAnsi="仿宋_GB2312" w:cs="仿宋_GB2312" w:eastAsia="仿宋_GB2312"/>
        </w:rPr>
        <w:t>5、联合体：本项目不接受联合体磋商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子仪大街中段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133 6913 0520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陕西三公泽利项目管理有限公司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陕西省西安市新城区建华路511号白桦林明天北区21号楼二单元2601室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17382622486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18992320959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开户名称：陕西三公泽利项目管理有限公司</w:t>
            </w:r>
          </w:p>
          <w:p>
            <w:pPr>
              <w:pStyle w:val="null3"/>
            </w:pPr>
            <w:r>
              <w:rPr>
                <w:rFonts w:ascii="仿宋_GB2312" w:hAnsi="仿宋_GB2312" w:cs="仿宋_GB2312" w:eastAsia="仿宋_GB2312"/>
              </w:rPr>
              <w:t>开户银行：中国农业银行股份有限公司西安莲湖区支行</w:t>
            </w:r>
          </w:p>
          <w:p>
            <w:pPr>
              <w:pStyle w:val="null3"/>
            </w:pPr>
            <w:r>
              <w:rPr>
                <w:rFonts w:ascii="仿宋_GB2312" w:hAnsi="仿宋_GB2312" w:cs="仿宋_GB2312" w:eastAsia="仿宋_GB2312"/>
              </w:rPr>
              <w:t>银行账号：26142601040022646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成交（成交）价为基数计算，按照标准收取，由成交供应商在领取成交通知书前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渭南市华州区残疾人联合会</w:t>
      </w:r>
      <w:r>
        <w:rPr>
          <w:rFonts w:ascii="仿宋_GB2312" w:hAnsi="仿宋_GB2312" w:cs="仿宋_GB2312" w:eastAsia="仿宋_GB2312"/>
        </w:rPr>
        <w:t>和</w:t>
      </w:r>
      <w:r>
        <w:rPr>
          <w:rFonts w:ascii="仿宋_GB2312" w:hAnsi="仿宋_GB2312" w:cs="仿宋_GB2312" w:eastAsia="仿宋_GB2312"/>
        </w:rPr>
        <w:t>陕西三公泽利项目管理有限公司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陕西三公泽利项目管理有限公司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陕西三公泽利项目管理有限公司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符合《残疾人就业培训服务机构准入标准》及省市地方针对该行业相关标准和合同约定的相关要求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联系人：李磊</w:t>
      </w:r>
    </w:p>
    <w:p>
      <w:pPr>
        <w:pStyle w:val="null3"/>
      </w:pPr>
      <w:r>
        <w:rPr>
          <w:rFonts w:ascii="仿宋_GB2312" w:hAnsi="仿宋_GB2312" w:cs="仿宋_GB2312" w:eastAsia="仿宋_GB2312"/>
        </w:rPr>
        <w:t>联系电话：17382622486</w:t>
      </w:r>
    </w:p>
    <w:p>
      <w:pPr>
        <w:pStyle w:val="null3"/>
      </w:pPr>
      <w:r>
        <w:rPr>
          <w:rFonts w:ascii="仿宋_GB2312" w:hAnsi="仿宋_GB2312" w:cs="仿宋_GB2312" w:eastAsia="仿宋_GB2312"/>
        </w:rPr>
        <w:t>地址：陕西省西安市新城区建华路511号白桦林明天北区21号楼二单元2601室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本项目为渭南市华州区残疾人联合会 2026 年残疾人就业培训工作项目，成交供应商需对 210 名残疾人进行职业技能和实用技能培训。主要目标为提高残疾人就业能力和水平、促进残疾人就业.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315,000.00</w:t>
      </w:r>
    </w:p>
    <w:p>
      <w:pPr>
        <w:pStyle w:val="null3"/>
      </w:pPr>
      <w:r>
        <w:rPr>
          <w:rFonts w:ascii="仿宋_GB2312" w:hAnsi="仿宋_GB2312" w:cs="仿宋_GB2312" w:eastAsia="仿宋_GB2312"/>
        </w:rPr>
        <w:t>采购包最高限价（元）: 315,000.00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渭南市华州区2026残疾人培训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标的名称：渭南市华州区2026残疾人培训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1.需求调研成交供应商需在合同签订之日起一个月内，通过问卷调查、面谈、实地考察等方式，对当地残疾人的就业需求、技能水平、身体状况、教育背景展开全面调研。调研样本覆盖不少于当地残疾人总数的 10%，并确保不同残疾类型、年龄段的残疾人都有合理比例的参与。对收集到的信息进行深入分析，建立详细的残疾人就业培训需求档案。根据分析结果，制定个性化、差异化的培训计划及培训内容，确保培训内容与残疾人的实际需求相匹配（培训计划及内容须报采购人审核通过方可实施）。</w:t>
            </w:r>
          </w:p>
          <w:p>
            <w:pPr>
              <w:pStyle w:val="null3"/>
            </w:pPr>
            <w:r>
              <w:rPr>
                <w:rFonts w:ascii="仿宋_GB2312" w:hAnsi="仿宋_GB2312" w:cs="仿宋_GB2312" w:eastAsia="仿宋_GB2312"/>
              </w:rPr>
              <w:t>2.就业技能培训针对有就业意愿但尚未就业的残疾人，提供贴合市场需求、易于上手且能快速帮助他们达到上岗要求的技能培训。例如手工制作类、农业种植养殖类、保健按摩类等。在培训过程中，注重实践操作，安排大量的实际案例练习，让学员在实践中巩固所学技能。同时，根据学员的身体状况和学习进度，制定个性化的学习计划，确保每个学员都能跟上教学进度。</w:t>
            </w:r>
          </w:p>
          <w:p>
            <w:pPr>
              <w:pStyle w:val="null3"/>
            </w:pPr>
            <w:r>
              <w:rPr>
                <w:rFonts w:ascii="仿宋_GB2312" w:hAnsi="仿宋_GB2312" w:cs="仿宋_GB2312" w:eastAsia="仿宋_GB2312"/>
              </w:rPr>
              <w:t>3.岗位技能提升培训为已就业的残疾人提供进一步提升技能水平的培训，以适应工作岗位的发展和变化。与用人单位沟通，了解其岗位需求和技术升级方向，开展针对性的培训。培训方式可以采用线上线下相结合的方式，线上提供理论知识学习和在线答疑，线下进行实际操作演练和现场指导。</w:t>
            </w:r>
          </w:p>
          <w:p>
            <w:pPr>
              <w:pStyle w:val="null3"/>
            </w:pPr>
            <w:r>
              <w:rPr>
                <w:rFonts w:ascii="仿宋_GB2312" w:hAnsi="仿宋_GB2312" w:cs="仿宋_GB2312" w:eastAsia="仿宋_GB2312"/>
              </w:rPr>
              <w:t>4.创业培训针对有创业意愿和一定创业条件的残疾人，开展全面的创业培训课程。课程内容包括创业项目选择、市场调研、商业计划书撰写、市场营销、财务管理、法律法规等方面的知识和技能培训 。邀请成功的创业人士和专业的创业导师进行案例分享和指导，帮助残疾人了解创业过程中的各个环节和注意事项，提高他们的创业能力和成功率。</w:t>
            </w:r>
          </w:p>
          <w:p>
            <w:pPr>
              <w:pStyle w:val="null3"/>
            </w:pPr>
            <w:r>
              <w:rPr>
                <w:rFonts w:ascii="仿宋_GB2312" w:hAnsi="仿宋_GB2312" w:cs="仿宋_GB2312" w:eastAsia="仿宋_GB2312"/>
              </w:rPr>
              <w:t>5.职业素养培训注重培养残疾人的职业素养，包括职业意识、职业道德、职业礼仪、团队协作、沟通能力等方面的培训 。可通过例如开展专题讲座、模拟工作场景、小组讨论等方式，帮助残疾人树立正确的职业观念，了解职场规则和礼仪，提高他们的沟通能力和团队协作能力，使其更好地适应职场环境。</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培训师资培训教师应具备丰富的教学经验和专业知识，熟悉残疾人教育教学特点和方法，具有耐心、爱心和责任心。部分课程可邀请行业内的专家、技术能手担任兼职教师，为学员传授最新的行业知识和实践经验 。教师需掌握与残疾人沟通和教学的技巧，能够根据学员的残疾类型和程度调整教学方法和内容。</w:t>
            </w:r>
          </w:p>
          <w:p>
            <w:pPr>
              <w:pStyle w:val="null3"/>
            </w:pPr>
            <w:r>
              <w:rPr>
                <w:rFonts w:ascii="仿宋_GB2312" w:hAnsi="仿宋_GB2312" w:cs="仿宋_GB2312" w:eastAsia="仿宋_GB2312"/>
              </w:rPr>
              <w:t>2.培训设施培训场所应具备完善的教学设施和无障碍环境，包括宽敞明亮的教室、先进的教学设备（如电脑、投影仪、实训设备等）、无障碍通道、无障碍卫生间等。</w:t>
            </w:r>
          </w:p>
          <w:p>
            <w:pPr>
              <w:pStyle w:val="null3"/>
            </w:pPr>
            <w:r>
              <w:rPr>
                <w:rFonts w:ascii="仿宋_GB2312" w:hAnsi="仿宋_GB2312" w:cs="仿宋_GB2312" w:eastAsia="仿宋_GB2312"/>
              </w:rPr>
              <w:t>3.培训时间与地点根据残疾人的实际情况，合理安排培训时间，尽量选择在周末、节假日或晚上等非工作时间进行培训，避免与残疾人的日常生活和工作冲突。培训地点应选择在交通便利、便于残疾人到达的地方，如社区活动中心、职业培训学校等。</w:t>
            </w:r>
          </w:p>
          <w:p>
            <w:pPr>
              <w:pStyle w:val="null3"/>
            </w:pPr>
            <w:r>
              <w:rPr>
                <w:rFonts w:ascii="仿宋_GB2312" w:hAnsi="仿宋_GB2312" w:cs="仿宋_GB2312" w:eastAsia="仿宋_GB2312"/>
              </w:rPr>
              <w:t>4.培训考核建立科学合理的培训考核机制，对学员的学习成果进行全面考核，包括理论知识考核、实践操作考核、平时表现考核等 。</w:t>
            </w:r>
          </w:p>
          <w:p>
            <w:pPr>
              <w:pStyle w:val="null3"/>
            </w:pPr>
            <w:r>
              <w:rPr>
                <w:rFonts w:ascii="仿宋_GB2312" w:hAnsi="仿宋_GB2312" w:cs="仿宋_GB2312" w:eastAsia="仿宋_GB2312"/>
              </w:rPr>
              <w:t>5.就业服务培训结束后，为残疾人提供就业推荐和跟踪服务。与用人单位建立长期稳定的合作关系，了解其招聘需求，及时向用人单位推荐合格的残疾人学员。同时，对就业的残疾人进行跟踪回访，了解他们的工作情况和需求，及时提供帮助和支持，解决他们在工作中遇到的问题，提高残疾人的就业稳定性和职业发展能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华州区残疾人联合会指定地点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项目完成后，服务商须提供全套报告等书面资料，并按国家有关部门的标准要求验收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项目验收合格之日起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协商、调解、仲裁、诉讼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后三个工作日，须向采购代理机构提供一正一副纸质响应文件及电子版1份（U盘存储），且提供的响应文件必须与在陕西省政府采购综合管理平台的项目电子化交易系统中递交的电子响应文件内容一致，纸质版响应文件必须装订成册签字盖 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提供近半年至今任意一个月的依法缴纳税收的相关凭据（时间以税款所属日期为准），凭据应有税务机关或代收机关的公章或业务专用章。依法免税或无须缴纳税收的供应商，应提供相应证明文件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提供近半年至今已缴存的至少一个月的社会保障资金缴存单据或社保机构开具的社会保险参保缴费情况证明，依法不需要缴纳社会保障资金的单位应提供相关证明材料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法定代表人身份证明书与法定代表人授权书.docx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供应商提供磋商保证金缴纳凭证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单位负责人为同一人或者存在直接控股、管理关系的不同供应商不得同时参加同一合同包下的采购活动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1、报价货币符合磋商文件要求 ; 2、未超出采购预算或磋商文件规定的最高限价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业绩.docx 供应商应提交的相关资格证明材料.docx 法定代表人身份证明书与法定代表人授权书.docx 中小企业声明函 残疾人福利性单位声明函 标的清单 承诺书.docx 商务应答表.docx 响应函 服务条款响应偏离表.docx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商务应答表.docx 服务条款响应偏离表.docx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评审得分相同的，按照最后报价由低到高的顺序推荐。评审得分且最后报价相同的，按照技术指标优劣顺序推荐。评审得分且最后报价且技术指标得分均相同的，由磋商委员会不记名投票决定。</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供应商针对项目特点结合采购人需求制定项目总体实施方案，包括但不限于：①项目背景理解；②项目需求分析；每有一项缺项扣3分，每有一项内容中有缺陷，扣1分。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项目特点结合采购人需求制定项目培训方案，包括但不限于：①实施方案（包括但不限于培训目标、时间地点、师资安排等）；②课程设置（包括但不限于课程内容需符合残疾人特点，突出专业理论知识和实操技能训练；③职业素质培训（包括但不限于法律法规、职业道德、务工常识等）；④教学组织与管理能力（包括但不限于班级管理、教学管理、学员管理等）；⑤考核与结业标准（包括但不限于考核方式、考核标准等）；每有一项缺项扣4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实施与保障方案</w:t>
            </w:r>
          </w:p>
        </w:tc>
        <w:tc>
          <w:tcPr>
            <w:tcW w:type="dxa" w:w="2492"/>
          </w:tcPr>
          <w:p>
            <w:pPr>
              <w:pStyle w:val="null3"/>
            </w:pPr>
            <w:r>
              <w:rPr>
                <w:rFonts w:ascii="仿宋_GB2312" w:hAnsi="仿宋_GB2312" w:cs="仿宋_GB2312" w:eastAsia="仿宋_GB2312"/>
              </w:rPr>
              <w:t>供应商针对项目特点结合采购人需求制定项目实施与保障方案，包括但不限于：①有切实可行的培训质量保证措施；②具备固定的培训场所并能满足培训需求；；③未达到服务要求时的补救措施。每有一项缺项扣4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供应商提供内部管理制度，包括但不限于：①员工聘用管理制度；②人员培训制度；③保密制度等；每有一项缺项扣3分，每有一项内容中有缺陷，扣1分。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投入设备工具情况</w:t>
            </w:r>
          </w:p>
        </w:tc>
        <w:tc>
          <w:tcPr>
            <w:tcW w:type="dxa" w:w="2492"/>
          </w:tcPr>
          <w:p>
            <w:pPr>
              <w:pStyle w:val="null3"/>
            </w:pPr>
            <w:r>
              <w:rPr>
                <w:rFonts w:ascii="仿宋_GB2312" w:hAnsi="仿宋_GB2312" w:cs="仿宋_GB2312" w:eastAsia="仿宋_GB2312"/>
              </w:rPr>
              <w:t>供应商针对本项目拟投入的设备工具情况，包括但不限于：①设施设备；②工作服装；③其他工具配备情况。每有一项缺项扣4分，每有一项内容中有缺陷，扣2分。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供应商提供针对本项目拟投入的师资团队，包括但不限于：①团队人员分工、职责；②团队人员数量、名单、相关从业证书（教培证书证件等）；每有一项缺项扣4分，每有一项内容中有缺陷，扣2分。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供应商针对项目特点结合采购人需求制定应急预案，包括但不限于：①所培训残疾人突发疾病的应急预 案；②培训过程中突发特殊情况处理的应急预案。每有一项缺项扣4分，每有一项内容中有缺陷，扣2分。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满足磋商文件要求且最终报价最低的响应供应商的价格为磋商基准价得20 分，其他各响应供应商的最终报价得分按下列公式计算：（磋商基准价/最终磋商报价）×20％×100。计算分数时四舍五入取小数点后两位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详见附件：法定代表人身份证明书与法定代表人授权书.docx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