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版本号：ZCSP-临渭区-2026-0017220260713001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临渭区下邽镇小型体育公园项目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ZCSP-临渭区-2026-00172</w:t>
      </w:r>
      <w:r>
        <w:br/>
      </w:r>
      <w:r>
        <w:br/>
      </w:r>
      <w:r>
        <w:br/>
      </w:r>
    </w:p>
    <w:p>
      <w:pPr>
        <w:pStyle w:val="null3"/>
        <w:jc w:val="center"/>
        <w:outlineLvl w:val="2"/>
      </w:pPr>
      <w:r>
        <w:rPr>
          <w:rFonts w:ascii="仿宋_GB2312" w:hAnsi="仿宋_GB2312" w:cs="仿宋_GB2312" w:eastAsia="仿宋_GB2312"/>
          <w:sz w:val="28"/>
          <w:b/>
        </w:rPr>
        <w:t>陕西省渭南市临渭区下邽镇人民政府</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陕西省渭南市临渭区下邽镇人民政府</w:t>
      </w:r>
      <w:r>
        <w:rPr>
          <w:rFonts w:ascii="仿宋_GB2312" w:hAnsi="仿宋_GB2312" w:cs="仿宋_GB2312" w:eastAsia="仿宋_GB2312"/>
        </w:rPr>
        <w:t>委托，拟对</w:t>
      </w:r>
      <w:r>
        <w:rPr>
          <w:rFonts w:ascii="仿宋_GB2312" w:hAnsi="仿宋_GB2312" w:cs="仿宋_GB2312" w:eastAsia="仿宋_GB2312"/>
        </w:rPr>
        <w:t>临渭区下邽镇小型体育公园项目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ZCSP-临渭区-2026-00172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临渭区下邽镇小型体育公园项目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提高全民体育健身热情，保障群众身体健康，实施临渭区下邽镇小型体育公园项目，本项目包含篮球场场地、儿童及老年人活动场地、多功能场地、老年人活动场地、五人制足球场。主要内容为清表、园路铺设、砖砌挡土墙、篮球架、足球门、羽毛球球网及围网购置、沙坑、树池围牙砌筑、石材坐凳、排水沟、健身器材、儿童游乐设施、成品座椅购置、路灯安装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采购包1（临渭区下邽镇小型体育公园项目）：属于专门面向中小企业采购。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1、法定代表人身份证明书或法定代表人授权委托书：法定代表人参与磋商时需提供法定代表人身份证明书；被授权人参与磋商时需提供法定代表人身份证明书及法定代表人授权委托书；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2、企业资质：供应商须具备市政公用工程施工总承包三级（含三级）及以上资质，并具有有效的安全生产许可证；</w:t>
      </w:r>
    </w:p>
    <w:p>
      <w:pPr>
        <w:pStyle w:val="null3"/>
      </w:pPr>
      <w:r>
        <w:rPr>
          <w:rFonts w:ascii="仿宋_GB2312" w:hAnsi="仿宋_GB2312" w:cs="仿宋_GB2312" w:eastAsia="仿宋_GB2312"/>
        </w:rPr>
        <w:t>3、项目经理：拟派项目经理须具备市政公用工程二级（含二级）及以上注册建造师执业资格，并具有有效的安全生产考核合格证，且无在建项目；</w:t>
      </w:r>
    </w:p>
    <w:p>
      <w:pPr>
        <w:pStyle w:val="null3"/>
      </w:pPr>
      <w:r>
        <w:rPr>
          <w:rFonts w:ascii="仿宋_GB2312" w:hAnsi="仿宋_GB2312" w:cs="仿宋_GB2312" w:eastAsia="仿宋_GB2312"/>
        </w:rPr>
        <w:t>4、磋商保证金交纳凭证：磋商保证金凭证；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陕西省渭南市临渭区下邽镇人民政府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渭南市临渭区下邽镇东关村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段增涛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0913-2733028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薛蒙蒙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陕西省渭南市临渭区下邽镇人民政府</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陕西省渭南市临渭区下邽镇人民政府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陕西省渭南市临渭区下邽镇人民政府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工程建设标准强制性条文》、《施工现场临时用电安全技术规范》、《室外健身器材的安全通用要求》、《城市社区体育设施技术要求》、《无障碍设计规范》、《体育场所开放条件与技术要求》、《安全防范工程技术规范》、《施工现场临时用电安全技术规范》、国家、行业、地方其它现行执行规范、规程、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联系人：薛蒙蒙</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临渭区下邽镇小型体育公园</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标的名称：临渭区下邽镇小型体育公园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本项目包含篮球场场地、儿童及老年人活动场地、多功能场地、老年人活动场地、五人制足球场。主要内容为清表、园路铺设、砖砌挡土墙、篮球架、足球门、羽毛球球网及围网购置、沙坑、树池围牙砌筑、石材坐凳、排水沟、健身器材、儿童游乐设施、成品座椅购置、路灯安装等。</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工程建设标准强制性条文》、《施工现场临时用电安全技术规范》、《室外健身器材的安全通用要求》、《城市社区体育设施技术要求》、《无障碍设计规范》、《体育场所开放条件与技术要求》、《安全防范工程技术规范》、《施工现场临时用电安全技术规范》、国家、行业、地方其它现行执行规范、规程、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（1）工期：120日历天。（2）工程地点：渭南市临渭区下邽镇。 （3）质量标准：合格，达到国家现行技术标准。 （4）质保期：按照《建设工程质量管理条例》及有关规定执行，质量保修期自工程竣工验收合格之日起计算。 （5）付款方式：本工程依据工程进度按比例将进度应付款支付给供应商。首次付款比例不低于40%，工程完工后，进度款拨付至供应商合同总金额的90%；本工程竣工验收后需要进行结算审计，最终的结算审定金额为本工程的最终合同价款；结算审核完成后，支付剩余工程价款。（6）工程项目建设相关要求：本项目严格执行国家相关标准、行业标准、地方标准等。 （7）本工程应按图纸、工程量清单及磋商文件完成全部内容；（8）本项目担任项目经理的建造师、项目技术负责人、施工员、专职安全员、质量员、材料员等施工现场关键岗位人员，必须与投标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在中标（成交）结果公告发布后3个工作日内提供叁套纸质投标文件（经编标工具生成的文件直接打印并加盖公章）和叁套纸质最终版《工程量清单表》，递交的纸质版文件内容确保与线上电子文件保持一致，不允许修改和补充。2.根据《政府采购法实施条例》释义，银行、保险、石油石化、电力、电信等有行业特殊情况的，允许法人的分支机构参加政府采购活动。3.根据关于印发中小企业划型标准规定的通知 （工信部联企业〔2011〕300号）中小企业划型标准规定：（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4.预算编制费取费依据：参照陕价行发[2014]88号文件规定计取。代理服务费及预算编制费由中标（成交）供应商在领取中标（成交）通知书前向采购代理机构一次性支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须提供合法有效，具有独立承担民事责任的能力的证明材料。</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2025年度财务审计报告（成立时间至响应文件递交截止时间不足一年的可提供成立后任意时段的资产负债表）或响应文件递交截止时间前六个月内其基本账户银行出具的资信证明（附基本账户证明）或政府采购信用担保机构出具的投标担保函；（2） 税收缴纳证明：提供响应文件递交截止时间前一年内任意一个月的缴费凭据；依法免税的应提供相关文件证明；（3）社会保障资金缴纳证明：提供响应文件递交截止时间前一年内任意一个月的社保缴费凭据或社保机构开具的社会保险参保缴费情况证明；依法不需要缴纳社会保障资金的供应商应提供相关文件证明；注：按照陕西省财政厅关于进一步优化政府采购营商环境有关事项的通知（陕财办采〔2023〕4号）中对供应商参与政府采购活动建立“承诺+信用管理”的准入管理制度要求，以上三项内容可根据本磋商文件格式要求出具承诺书。</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供应商须具备市政公用工程施工总承包三级（含三级）及以上资质，并具有有效的安全生产许可证；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拟派项目经理须具备市政公用工程二级（含二级）及以上注册建造师执业资格，并具有有效的安全生产考核合格证，且无在建项目；</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磋商保证金交纳凭证</w:t>
            </w:r>
          </w:p>
        </w:tc>
        <w:tc>
          <w:tcPr>
            <w:tcW w:type="dxa" w:w="3322"/>
          </w:tcPr>
          <w:p>
            <w:pPr>
              <w:pStyle w:val="null3"/>
            </w:pPr>
            <w:r>
              <w:rPr>
                <w:rFonts w:ascii="仿宋_GB2312" w:hAnsi="仿宋_GB2312" w:cs="仿宋_GB2312" w:eastAsia="仿宋_GB2312"/>
              </w:rPr>
              <w:t>磋商保证金凭证；</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工期满足磋商文件规定</w:t>
            </w:r>
          </w:p>
        </w:tc>
        <w:tc>
          <w:tcPr>
            <w:tcW w:type="dxa" w:w="1661"/>
          </w:tcPr>
          <w:p>
            <w:pPr>
              <w:pStyle w:val="null3"/>
            </w:pPr>
            <w:r>
              <w:rPr>
                <w:rFonts w:ascii="仿宋_GB2312" w:hAnsi="仿宋_GB2312" w:cs="仿宋_GB2312" w:eastAsia="仿宋_GB2312"/>
              </w:rPr>
              <w:t>技术服务合同条款及其他商务要求应答表.docx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供应商名称应与营业执照、资质证书、安全生产许可证等证件相一致</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供应商资格证明文件.pdf 响应文件封面 政府采购供应商拒绝政府采购领域商业贿赂承诺书.docx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供应商资格证明文件.pdf 响应文件封面 政府采购供应商拒绝政府采购领域商业贿赂承诺书.docx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满足磋商文件实质性技术及商务要求</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磋商文件要求的其他内容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供应商资格证明文件.pdf 响应文件封面 政府采购供应商拒绝政府采购领域商业贿赂承诺书.docx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①施工总平面布置；②施工阶段划分及施工顺序安排； ③资源配备计划：主要施工机械设备、劳动力等配备计划及主材进场计划； （二）评审标准：（1）每项评审内容完整无缺陷得3分；未提供得0分；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②施工方法及相关技术措施； ③重点难点工程分析及解决措施。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（一）评审内容：①工期目标；②施工进度计划； ③工期保障措施。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（一）评审内容：①质量目标；②质量管理体系； ③施工质量保障措施。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①安全目标；②安全生产管理体系；③安全生产保证措施。（二）评审标准： （1）每项评审内容完整无缺陷得3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 ①文明施工及环境保护管理体系； ②文明施工及环境保护措施。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人员配备：拟投入的项目管理机构人员结构合理、岗位职责明确，除项目经理外，项目管理机构每增加一人得1分，本项最高得6分；（2）项目管理人员中，每具有一个相关专业中级职称人员得0.5分，高级职称人员得1分，最多得3分。 注：须提供人员相关证件，不提供或完全背离评审标准得0分。。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供应商近三年（2023年7月至今）每具有1项类似业绩得1分，最多得5分，未提供得0分。（提供合同扫描件，以中标通知书或合同签订时间为准）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满足磋商文件要求且最后报价最低的价格为磋商基准价得35分； 其他供应商的价格分按下列公式计算： 磋商报价得分=(磋商基准价／最终磋商报价)×35%×100。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详见附件：供应商资格证明文件.pdf</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