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版本号：SXDY-2026-13820260610001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老城区雨污分流改造项目深基坑监测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SXDY-2026-138</w:t>
      </w:r>
      <w:r>
        <w:br/>
      </w:r>
      <w:r>
        <w:br/>
      </w:r>
      <w:r>
        <w:br/>
      </w:r>
    </w:p>
    <w:p>
      <w:pPr>
        <w:pStyle w:val="null3"/>
        <w:jc w:val="center"/>
        <w:outlineLvl w:val="2"/>
      </w:pPr>
      <w:r>
        <w:rPr>
          <w:rFonts w:ascii="仿宋_GB2312" w:hAnsi="仿宋_GB2312" w:cs="仿宋_GB2312" w:eastAsia="仿宋_GB2312"/>
          <w:sz w:val="28"/>
          <w:b/>
        </w:rPr>
        <w:t>西安市高陵区住房和城乡建设局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西安市高陵区住房和城乡建设局</w:t>
      </w:r>
      <w:r>
        <w:rPr>
          <w:rFonts w:ascii="仿宋_GB2312" w:hAnsi="仿宋_GB2312" w:cs="仿宋_GB2312" w:eastAsia="仿宋_GB2312"/>
        </w:rPr>
        <w:t>委托，拟对</w:t>
      </w:r>
      <w:r>
        <w:rPr>
          <w:rFonts w:ascii="仿宋_GB2312" w:hAnsi="仿宋_GB2312" w:cs="仿宋_GB2312" w:eastAsia="仿宋_GB2312"/>
        </w:rPr>
        <w:t>老城区雨污分流改造项目深基坑监测</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SXDY-2026-138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老城区雨污分流改造项目深基坑监测</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位于西安市高陵老城区，本次改造的线路总长度约19177m，其中东方红路雨污分流改造工程，改造范围西起热力公司，东至污水厂，全长3068m；上林一路雨污分流改造工程，改造范围西起西环南延伸，东至二干渠，全长1675m；鹿景路雨污分流改造工程，改造范围北起鹿歌路，南至环城南路，全长620m；北广场路雨污分流改造工程，改造范围西起城管局，东至环城东路，全长745m；环城北路雨污分流改造工程，改造范围西起北关路十字，东至东二环路，全长1458m；环城西路雨污分流改造工程，改造范围北起北广场路，南至东方红路，全长981m；西韩路雨污分流改造工程，改造范围北起二级路网，南至渭阳九路，全长4390m；环城东路雨污分流改造工程，改造范围北起环城北路，南至东方红路，全长1197m；环城南路雨污分流改造工程，改造范围西起西环南延伸，东至鹿景路，全长1841m；文卫路雨污分流改造工程，改造范围西起环城东路，东至高家村，全长1502m；鹿鸣路雨污分流改造工程，改造范围西起环城东路，东至高家村，全长1700m。除环城西路段采用明挖法施工外，其它路段均采用顶管施工。</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采购包1（老城区雨污分流改造项目深基坑监测）：属于专门面向中小企业采购。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1、营业执照：供应商应具有独立承担民事责任的能力的企业法人、事业法人、其他组织或自然人，出具合法有效的营业执照等相关证明文件，自然人参与的提供其身份证明。</w:t>
      </w:r>
    </w:p>
    <w:p>
      <w:pPr>
        <w:pStyle w:val="null3"/>
      </w:pPr>
      <w:r>
        <w:rPr>
          <w:rFonts w:ascii="仿宋_GB2312" w:hAnsi="仿宋_GB2312" w:cs="仿宋_GB2312" w:eastAsia="仿宋_GB2312"/>
        </w:rPr>
        <w:t>2、法定代表人证明或法定代表人授权书：法定代表人直接参加投标的，须出具法定代表人证明及法人身份证；法定代表人授权代表参加投标的，须出具法定代表人授权书及授权代表身份证。</w:t>
      </w:r>
    </w:p>
    <w:p>
      <w:pPr>
        <w:pStyle w:val="null3"/>
      </w:pPr>
      <w:r>
        <w:rPr>
          <w:rFonts w:ascii="仿宋_GB2312" w:hAnsi="仿宋_GB2312" w:cs="仿宋_GB2312" w:eastAsia="仿宋_GB2312"/>
        </w:rPr>
        <w:t>3、财务状况报告：提供经审计的2024或2025年度财务报告或开标前六个月内其本公司银行账户出具的资信证明。</w:t>
      </w:r>
    </w:p>
    <w:p>
      <w:pPr>
        <w:pStyle w:val="null3"/>
      </w:pPr>
      <w:r>
        <w:rPr>
          <w:rFonts w:ascii="仿宋_GB2312" w:hAnsi="仿宋_GB2312" w:cs="仿宋_GB2312" w:eastAsia="仿宋_GB2312"/>
        </w:rPr>
        <w:t>4、税收缴纳证明：供应商提供截止至开标时间前六个月任一月份的缴费凭据；依法免税的应提供相关文件证明。</w:t>
      </w:r>
    </w:p>
    <w:p>
      <w:pPr>
        <w:pStyle w:val="null3"/>
      </w:pPr>
      <w:r>
        <w:rPr>
          <w:rFonts w:ascii="仿宋_GB2312" w:hAnsi="仿宋_GB2312" w:cs="仿宋_GB2312" w:eastAsia="仿宋_GB2312"/>
        </w:rPr>
        <w:t>5、社会保障资金缴纳证明：供应商提供截止至开标时间前六个月任一月份的缴费凭据或社保机构开具的社会保险参保缴费情况证明；依法不需要缴纳社会保障资金的应提供相关文件证明。</w:t>
      </w:r>
    </w:p>
    <w:p>
      <w:pPr>
        <w:pStyle w:val="null3"/>
      </w:pPr>
      <w:r>
        <w:rPr>
          <w:rFonts w:ascii="仿宋_GB2312" w:hAnsi="仿宋_GB2312" w:cs="仿宋_GB2312" w:eastAsia="仿宋_GB2312"/>
        </w:rPr>
        <w:t>6、具备专业技术能力：供应商提供具有履行本合同所必需的设备和专业技术能力的承诺函。</w:t>
      </w:r>
    </w:p>
    <w:p>
      <w:pPr>
        <w:pStyle w:val="null3"/>
      </w:pPr>
      <w:r>
        <w:rPr>
          <w:rFonts w:ascii="仿宋_GB2312" w:hAnsi="仿宋_GB2312" w:cs="仿宋_GB2312" w:eastAsia="仿宋_GB2312"/>
        </w:rPr>
        <w:t>7、无重大违法记录：供应商提供参加政府采购活动前三年内在经营活动中没有重大违法记录的声明。</w:t>
      </w:r>
    </w:p>
    <w:p>
      <w:pPr>
        <w:pStyle w:val="null3"/>
      </w:pPr>
      <w:r>
        <w:rPr>
          <w:rFonts w:ascii="仿宋_GB2312" w:hAnsi="仿宋_GB2312" w:cs="仿宋_GB2312" w:eastAsia="仿宋_GB2312"/>
        </w:rPr>
        <w:t>8、企业资质：供应商应具备工程勘察综合甲级资质或工程勘察专业（工程测量） 乙级及以上资质或测绘乙级及以上资质（专业：工程测量）</w:t>
      </w:r>
    </w:p>
    <w:p>
      <w:pPr>
        <w:pStyle w:val="null3"/>
      </w:pPr>
      <w:r>
        <w:rPr>
          <w:rFonts w:ascii="仿宋_GB2312" w:hAnsi="仿宋_GB2312" w:cs="仿宋_GB2312" w:eastAsia="仿宋_GB2312"/>
        </w:rPr>
        <w:t>9、项目负责人：拟派项目负责人应具有勘察或测量或测绘相关专业中级及以上技术职称或注册土木工程师（岩土）执业资格或注册测绘师资格</w:t>
      </w:r>
    </w:p>
    <w:p>
      <w:pPr>
        <w:pStyle w:val="null3"/>
      </w:pPr>
      <w:r>
        <w:rPr>
          <w:rFonts w:ascii="仿宋_GB2312" w:hAnsi="仿宋_GB2312" w:cs="仿宋_GB2312" w:eastAsia="仿宋_GB2312"/>
        </w:rPr>
        <w:t>10、信用记录：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西安市高陵区住房和城乡建设局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西安市高陵区文卫路132号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程坤</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029-86915210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陕西省西安市雁塔区西三交村长丰园I区1幢C单元11层1110室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卜旭妮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18629537015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西安市高陵区采购管理科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王泽群</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029-86919290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供应商支付，参考国家计委关于印发《招标代理服务收费管理暂行办法》的通知（计价格〔2002〕1980号）、《国家发展和改革委员会办公厅关于招标代理服务收费有关问题的通知》（发改办价格〔2003〕857号）文件收费标准。</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西安市高陵区住房和城乡建设局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西安市高陵区住房和城乡建设局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西安市高陵区住房和城乡建设局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联系人：卜旭妮</w:t>
      </w:r>
    </w:p>
    <w:p>
      <w:pPr>
        <w:pStyle w:val="null3"/>
      </w:pPr>
      <w:r>
        <w:rPr>
          <w:rFonts w:ascii="仿宋_GB2312" w:hAnsi="仿宋_GB2312" w:cs="仿宋_GB2312" w:eastAsia="仿宋_GB2312"/>
        </w:rPr>
        <w:t>联系电话：18629537015</w:t>
      </w:r>
    </w:p>
    <w:p>
      <w:pPr>
        <w:pStyle w:val="null3"/>
      </w:pPr>
      <w:r>
        <w:rPr>
          <w:rFonts w:ascii="仿宋_GB2312" w:hAnsi="仿宋_GB2312" w:cs="仿宋_GB2312" w:eastAsia="仿宋_GB2312"/>
        </w:rPr>
        <w:t>地址：陕西省西安市雁塔区西三交村长丰园I区1幢C单元11层1110室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位于西安市高陵老城区，本次改造的线路总长度约19177m，其中东方红路雨污分流改造工程，改造范围西起热力公司，东至污水厂，全长3068m；上林一路雨污分流改造工程，改造范围西起西环南延伸，东至二干渠，全长1675m；鹿景路雨污分流改造工程，改造范围北起鹿歌路，南至环城南路，全长620m；北广场路雨污分流改造工程，改造范围西起城管局，东至环城东路，全长745m；环城北路雨污分流改造工程，改造范围西起北关路十字，东至东二环路，全长1458m；环城西路雨污分流改造工程，改造范围北起北广场路，南至东方红路，全长981m；西韩路雨污分流改造工程，改造范围北起二级路网，南至渭阳九路，全长4390m；环城东路雨污分流改造工程，改造范围北起环城北路，南至东方红路，全长1197m；环城南路雨污分流改造工程，改造范围西起西环南延伸，东至鹿景路，全长1841m；文卫路雨污分流改造工程，改造范围西起环城东路，东至高家村，全长1502m；鹿鸣路雨污分流改造工程，改造范围西起环城东路，东至高家村，全长1700m。除环城西路段采用明挖法施工外，其它路段均采用顶管施工。</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2,250,000.00</w:t>
      </w:r>
    </w:p>
    <w:p>
      <w:pPr>
        <w:pStyle w:val="null3"/>
      </w:pPr>
      <w:r>
        <w:rPr>
          <w:rFonts w:ascii="仿宋_GB2312" w:hAnsi="仿宋_GB2312" w:cs="仿宋_GB2312" w:eastAsia="仿宋_GB2312"/>
        </w:rPr>
        <w:t>采购包最高限价（元）: 2,250,000.00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老城区雨污分流改造项目深基坑监测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标的名称：老城区雨污分流改造项目深基坑监测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本项目深基坑监测及路面变形监测包括但不限于以下内容</w:t>
            </w:r>
            <w:r>
              <w:rPr>
                <w:rFonts w:ascii="仿宋_GB2312" w:hAnsi="仿宋_GB2312" w:cs="仿宋_GB2312" w:eastAsia="仿宋_GB2312"/>
                <w:sz w:val="28"/>
              </w:rPr>
              <w:t>：</w:t>
            </w:r>
          </w:p>
          <w:p>
            <w:pPr>
              <w:pStyle w:val="null3"/>
            </w:pPr>
            <w:r>
              <w:rPr>
                <w:rFonts w:ascii="仿宋_GB2312" w:hAnsi="仿宋_GB2312" w:cs="仿宋_GB2312" w:eastAsia="仿宋_GB2312"/>
              </w:rPr>
              <w:t>1、对项目十一条路变形基准网的设计及其变形监测基准点的埋设；</w:t>
            </w:r>
          </w:p>
          <w:p>
            <w:pPr>
              <w:pStyle w:val="null3"/>
            </w:pPr>
            <w:r>
              <w:rPr>
                <w:rFonts w:ascii="仿宋_GB2312" w:hAnsi="仿宋_GB2312" w:cs="仿宋_GB2312" w:eastAsia="仿宋_GB2312"/>
              </w:rPr>
              <w:t>2、整个服务期间对变形监测网的周期性复测检查；</w:t>
            </w:r>
          </w:p>
          <w:p>
            <w:pPr>
              <w:pStyle w:val="null3"/>
            </w:pPr>
            <w:r>
              <w:rPr>
                <w:rFonts w:ascii="仿宋_GB2312" w:hAnsi="仿宋_GB2312" w:cs="仿宋_GB2312" w:eastAsia="仿宋_GB2312"/>
              </w:rPr>
              <w:t>3、项目全部变形监测观测点及变形监测工作点的设置；</w:t>
            </w:r>
          </w:p>
          <w:p>
            <w:pPr>
              <w:pStyle w:val="null3"/>
            </w:pPr>
            <w:r>
              <w:rPr>
                <w:rFonts w:ascii="仿宋_GB2312" w:hAnsi="仿宋_GB2312" w:cs="仿宋_GB2312" w:eastAsia="仿宋_GB2312"/>
              </w:rPr>
              <w:t>4、对十一条道路施工期工作井支护体系坡顶竖向位移监测、坡顶水平位移监测及顶管施工路面的沉降监测；</w:t>
            </w:r>
          </w:p>
          <w:p>
            <w:pPr>
              <w:pStyle w:val="null3"/>
            </w:pPr>
            <w:r>
              <w:rPr>
                <w:rFonts w:ascii="仿宋_GB2312" w:hAnsi="仿宋_GB2312" w:cs="仿宋_GB2312" w:eastAsia="仿宋_GB2312"/>
                <w:sz w:val="21"/>
              </w:rPr>
              <w:t>5、服务期间异常情况时的应急响应。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配备的监测人员需符合相关国家标准、规范要求。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结合项目设计文件以及施工现场的实际情况，编制、申报监测方案，并确保监测方案符合有关规范、工程所在行政区域的相关建设行政主管部门和监督部门的要求，保证技术成果能够通过相关部门认可，确保不因监测工作影响本工程项目的建设进度和竣工验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开始工作至本项目工程结束，暂定二年(具体随工程项目进展调整）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西安市高陵区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1、乙方完成服务内容后，向甲方提出验收申请，甲方接到乙方验收申请后组织验收（必要时可聘请相应专家或委托相应部门验收）。参与验收的供应商或者第三方机构的意见作为验收书的参考资料一并存档。 2、最终验收：最终验收结果作为付款依据，乙方填写验收单，并向甲方提交实施过程中的所有资料，以便甲方日后管理和维护。 3、验收依据： 3.1合同文本、合同附件、竞争性磋商文件、成交供应商的响应文件。 3.2国内相应的标准、规范。 3.3其他适用的依据。</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进度款根据实际监测次数据实拨付，乙方于每月20日前向甲方报送当月已完成合格工程量进度表，甲方审核后，且乙方提供满足甲方要求的增值税发票及收据后，按完成工作量的80%支付进度款。，达到付款条件起60个工作日内，支付合同总金额的80.0%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其他，待整体监测工作完成后，出具符合要求的监测报告，达到付款条件起60个工作日内，支付合同总金额的20.0%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 （1）、乙方未按合同约定的时间进行监测或提交有关资料报告的，每逾期一日，按监测预算总价款的5‰向甲方支付违约金。逾期超过10日，甲方有权解除合同，乙方除应支付上述违约金外，还应按合同总价款的20％向甲方支付违约金。乙方应退还甲方所支付所有款项，甲方不再向乙方支付任何费用。 （2）、乙方在监测过程中，除不可抗力或甲方原因外不得以任何理由停工。非上述原因连续停工两个工作日以上的，甲方有权单方解除合同，乙方应退回甲方已付款项；造成甲方工期延误或其他损失的，乙方应予赔偿。 （3）、乙方人员在施工区内出现打架斗殴、损坏工程成品、安全事故等情况时，所产生的对乙方人员或第三人的损害由乙方承担责任并负责赔偿；由此造成的甲方的损失，由乙方负责全额赔偿，甲方可直接在应付乙方款项中扣除。 （4）、乙方不按时进场开工，在甲方发出书面通知后的5个工作日内仍不进场监测的，甲方有权单方解除合同。 （5）、若乙方所提交的监测报告及有关资料不完整，不齐全，或内容不符合甲方要求的，乙方应按甲方要求补充或重新进行监测作业，补齐有关资料，并承担相应费用。由此造成监测延误的，乙方应当承担逾期履行的违约责任。 （6）、若乙方在监测过程中，由于工作失误所提供的数据不准确，对甲方造成的损失由乙方自行承担全部责任。 2、争议解决途径：向有管辖权的人民法院提起诉讼。</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提供经审计的2024或2025年度财务报告或开标前六个月内其本公司银行账户出具的资信证明，供应商需在项目电子化交易系统中按要求上传相应证明文件并进行电子签章。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供应商应具有独立承担民事责任的能力的企业法人、事业法人、其他组织或自然人，出具合法有效的营业执照等相关证明文件，自然人参与的提供其身份证明。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法定代表人直接参加投标的，须出具法定代表人证明及法人身份证；法定代表人授权代表参加投标的，须出具法定代表人授权书及授权代表身份证。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提供经审计的2024或2025年度财务报告或开标前六个月内其本公司银行账户出具的资信证明。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供应商提供截止至开标时间前六个月任一月份的缴费凭据；依法免税的应提供相关文件证明。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供应商提供截止至开标时间前六个月任一月份的缴费凭据或社保机构开具的社会保险参保缴费情况证明；依法不需要缴纳社会保障资金的应提供相关文件证明。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具备专业技术能力</w:t>
            </w:r>
          </w:p>
        </w:tc>
        <w:tc>
          <w:tcPr>
            <w:tcW w:type="dxa" w:w="3322"/>
          </w:tcPr>
          <w:p>
            <w:pPr>
              <w:pStyle w:val="null3"/>
            </w:pPr>
            <w:r>
              <w:rPr>
                <w:rFonts w:ascii="仿宋_GB2312" w:hAnsi="仿宋_GB2312" w:cs="仿宋_GB2312" w:eastAsia="仿宋_GB2312"/>
              </w:rPr>
              <w:t>供应商提供具有履行本合同所必需的设备和专业技术能力的承诺函。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供应商应具备工程勘察综合甲级资质或工程勘察专业（工程测量） 乙级及以上资质或测绘乙级及以上资质（专业：工程测量）</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拟派项目负责人应具有勘察或测量或测绘相关专业中级及以上技术职称或注册土木工程师（岩土）执业资格或注册测绘师资格</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供应商应为中型企业、小型企业。供应商为中型企业、小型企业，提供《中小企业声明函》；（残疾人福利性单位、监狱企业视同小型、微型企业）。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投标文件组成</w:t>
            </w:r>
          </w:p>
        </w:tc>
        <w:tc>
          <w:tcPr>
            <w:tcW w:type="dxa" w:w="3322"/>
          </w:tcPr>
          <w:p>
            <w:pPr>
              <w:pStyle w:val="null3"/>
            </w:pPr>
            <w:r>
              <w:rPr>
                <w:rFonts w:ascii="仿宋_GB2312" w:hAnsi="仿宋_GB2312" w:cs="仿宋_GB2312" w:eastAsia="仿宋_GB2312"/>
              </w:rPr>
              <w:t>投标文件应包含以下部分： （1）投标文件封面 （2）投标函 （3）开标一览表 （4）标的清单（5）供应商概况 （6）资格证明材料 （7）中小企业声明函（8）服务内容及商务要求响应表（9）服务方案</w:t>
            </w:r>
          </w:p>
        </w:tc>
        <w:tc>
          <w:tcPr>
            <w:tcW w:type="dxa" w:w="1661"/>
          </w:tcPr>
          <w:p>
            <w:pPr>
              <w:pStyle w:val="null3"/>
            </w:pPr>
            <w:r>
              <w:rPr>
                <w:rFonts w:ascii="仿宋_GB2312" w:hAnsi="仿宋_GB2312" w:cs="仿宋_GB2312" w:eastAsia="仿宋_GB2312"/>
              </w:rPr>
              <w:t>开标一览表 服务内容及商务要求响应表.docx 投标函 中小企业声明函 残疾人福利性单位声明函 标的清单 投标文件封面 资格证明材料.docx 服务方案.docx 监狱企业的证明文件 供应商概况.docx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签章均符合招标文件要求，且无遗漏。</w:t>
            </w:r>
          </w:p>
        </w:tc>
        <w:tc>
          <w:tcPr>
            <w:tcW w:type="dxa" w:w="1661"/>
          </w:tcPr>
          <w:p>
            <w:pPr>
              <w:pStyle w:val="null3"/>
            </w:pPr>
            <w:r>
              <w:rPr>
                <w:rFonts w:ascii="仿宋_GB2312" w:hAnsi="仿宋_GB2312" w:cs="仿宋_GB2312" w:eastAsia="仿宋_GB2312"/>
              </w:rPr>
              <w:t>开标一览表 服务内容及商务要求响应表.docx 投标函 中小企业声明函 残疾人福利性单位声明函 标的清单 投标文件封面 资格证明材料.docx 服务方案.docx 监狱企业的证明文件 供应商概况.docx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语言和计量单位</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开标一览表 服务内容及商务要求响应表.docx 投标函 中小企业声明函 残疾人福利性单位声明函 标的清单 投标文件封面 资格证明材料.docx 服务方案.docx 监狱企业的证明文件 供应商概况.docx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 （1）货币单位符合招标文件要求 （2）报价符合唯一性要求 （3）未超出采购预算或最高限价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服务内容及商务要求</w:t>
            </w:r>
          </w:p>
        </w:tc>
        <w:tc>
          <w:tcPr>
            <w:tcW w:type="dxa" w:w="3322"/>
          </w:tcPr>
          <w:p>
            <w:pPr>
              <w:pStyle w:val="null3"/>
            </w:pPr>
            <w:r>
              <w:rPr>
                <w:rFonts w:ascii="仿宋_GB2312" w:hAnsi="仿宋_GB2312" w:cs="仿宋_GB2312" w:eastAsia="仿宋_GB2312"/>
              </w:rPr>
              <w:t>响应招标文件的服务内容、服务要求、商务要求，不允许负偏离</w:t>
            </w:r>
          </w:p>
        </w:tc>
        <w:tc>
          <w:tcPr>
            <w:tcW w:type="dxa" w:w="1661"/>
          </w:tcPr>
          <w:p>
            <w:pPr>
              <w:pStyle w:val="null3"/>
            </w:pPr>
            <w:r>
              <w:rPr>
                <w:rFonts w:ascii="仿宋_GB2312" w:hAnsi="仿宋_GB2312" w:cs="仿宋_GB2312" w:eastAsia="仿宋_GB2312"/>
              </w:rPr>
              <w:t>服务内容及商务要求响应表.docx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1.评审内容 提供针对本项目的服务方案，内容包含：①工作目标解析；②管理制度；③保障措施；④工作方法；⑤实施标准；⑥技术报告编写；⑦与采购人的沟通改进措施。 2.评审标准 ①完整性：方案须全面，对评审内容中的各项要求描述详细； ②可实施性：切合本项目 实际情况，实施步骤清晰、合理、可实现； ③针对性：方案能够紧扣项目具体情况，不能套搬、脱离具体实际，内容科学合理。 3.赋分依据（满分21分） 上述评审内容①-⑦：每完全满足一个评审标准得 1分，不满足不得分，满分21分。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1.评审内容 提供针对本项目的①重点、难点分析；②解决措施。 2.评审标准 ①完整性：描述须全面，对评审内容中的各项要求描述详细； ②可实施性：切合本项目实际情况，实施步骤清晰、合理、可实现； ③针对性：描述能够紧扣项目具体情况，不能套搬、脱离具体实际，内容科学合理。 3.赋分依据（满分6分） 上述评审内容①-②：每完全满足一个评审标准得1分，不满足不得分，满分6分。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 工作流程</w:t>
            </w:r>
          </w:p>
        </w:tc>
        <w:tc>
          <w:tcPr>
            <w:tcW w:type="dxa" w:w="2492"/>
          </w:tcPr>
          <w:p>
            <w:pPr>
              <w:pStyle w:val="null3"/>
            </w:pPr>
            <w:r>
              <w:rPr>
                <w:rFonts w:ascii="仿宋_GB2312" w:hAnsi="仿宋_GB2312" w:cs="仿宋_GB2312" w:eastAsia="仿宋_GB2312"/>
              </w:rPr>
              <w:t>1.评审内容 提供针对本项目的①工作制度；②工作流程。 2.评审标准 完整性：制度及流程须全面，对评审内容中的各项要求描述详细； 可实施性：切合本项目实际情况，实施步骤清晰、合理、可实现； 针对性：制度及流程能够紧扣项目具体情况，不能套搬、脱离具体实际，内容科学合理。 3.赋分依据（满分6分） 上述评审内容①-②：每完全满足一个评审标准得1分，不满足不得分，满分6分。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1.项目拟派人员0-5人（含5人）得2分，5-10人（含10人）得4分，10人以上得6分。 2.除项目负责人外，每具有一名相关专业高级职称人员得5分，满分10分。 3.除项目负责人外，每具有一名注册测绘师或注册土木工程师（岩土）或一级注册结构工程师得5分，满分10分。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设备配备</w:t>
            </w:r>
          </w:p>
        </w:tc>
        <w:tc>
          <w:tcPr>
            <w:tcW w:type="dxa" w:w="2492"/>
          </w:tcPr>
          <w:p>
            <w:pPr>
              <w:pStyle w:val="null3"/>
            </w:pPr>
            <w:r>
              <w:rPr>
                <w:rFonts w:ascii="仿宋_GB2312" w:hAnsi="仿宋_GB2312" w:cs="仿宋_GB2312" w:eastAsia="仿宋_GB2312"/>
              </w:rPr>
              <w:t>针对本项目的设备配备数量及先进程度，满足项目需求。赋分依据： 1.设备配备数量充足，自动化及先进程度高，完全满足项目需求，得7分； 2.设备配备数量较充足，自动化及先进程度较高，较能满足项目需求得5分； 3.设备配备数量不足，自动化及先进程度不高，但能满足项目基本需求，得3分； 4.不满足项目要求或未提供不计分。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2023年1月1日以来承接过类似项目的合同证明（以合同的签订日期为准）（每提供一个得4分，满分24分）。 （合同内容须清晰可辨认，无涂改，否则视为无效合同）。</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实质性满足招标文件要求且投标价格最低的投标报价为评标基准价，其价格分为满分10分， 其它投标报价得分=（评标基准价/投标报价）*10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详见附件：供应商概况.docx</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详见附件：服务内容及商务要求响应表.docx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