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1AD2A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一、基本要求</w:t>
      </w:r>
    </w:p>
    <w:p w14:paraId="29AF9B8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1、功能要求：</w:t>
      </w:r>
    </w:p>
    <w:p w14:paraId="46B9452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为深入贯彻"全民健身 运动三秦"品牌活动，大力弘扬中华体育精神与奥林匹克精神，充分发挥文艺培根铸魂、赋能发展的重要作用，以文艺之美点亮体育盛会、以丹青之力助力城市发展，深度融合体育文化与本土文艺资源，激活群众体育活力、丰富市民文体生活、提升城市文化品位，全面营造全民参与、全民支持、全民乐享省运的浓厚氛围。</w:t>
      </w:r>
    </w:p>
    <w:p w14:paraId="4632DDD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在省十八运会期间同步举办“丹青翰墨歌盛世·舞韵飞扬迎省运”主题活动，分为“欢迎到额渭南来·全民健身系列活动”和“丹青绘风采·体育美术作品展”两项活动，互为补充、一体推进，以“静态展览+动态展演”的双线融合模式，全面展示陕西省体育事业蓬勃发展成果及我市美术工作者的艺术素养与时代担当，助力打造全民喜迎省运、共筑健康渭南的城市氛围。</w:t>
      </w:r>
    </w:p>
    <w:p w14:paraId="4F8E88B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2、采购项目需要落实的政府采购政策：</w:t>
      </w:r>
    </w:p>
    <w:p w14:paraId="057BEDF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2.1《关于进一步加大政府采购支持中小企业力度的通知》（财库〔2022〕19号）、《政府采购促进中小企业发展管理办法》（财库〔2020〕46号）、《财政部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2FCC663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2.2《国务院办公厅关于建立政府强制采购节能产品制度的通知》（国办发〔2007〕51号）、《财政部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44B4BE8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2.3《关于运用政府采购政策支持乡村产业振兴的通知》（财库〔2021〕19 号）、《关于印发&lt;关于深入开展政府采购脱贫地区农副产品工作推进乡村产业振兴的实施意见&gt;的通知》（财库〔2021〕20 号）。</w:t>
      </w:r>
    </w:p>
    <w:p w14:paraId="6E942A5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2.4《国家互联网信息办公室 工业和信息化部 公安部 财政部 国家认证认可监督管理委员会关于调整网络安全专用产品安全管理有关事项的公告》（2023年第1号）。</w:t>
      </w:r>
    </w:p>
    <w:p w14:paraId="784F2D3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2.5《陕西省财政厅关于加快推进我省中小企业政府采购信用融资工作的通知》（陕财办采〔2020〕15 号）、《陕西省财政厅关于印发&lt;陕西省中小企业政府采购信用融资办法&gt;的通知》（陕财办采〔2018〕23 号）。</w:t>
      </w:r>
    </w:p>
    <w:p w14:paraId="4811FE0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2.6《关于扩大政府采购支持绿色建材促进建筑品质提升政策实施范围的通知》（财库〔2022〕35号）、《财政部办公厅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5A8AF0C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2.7《国务院办公厅关于在政府采购中实施本国产品标准及相关政策的通知》（国办发〔2025〕34号）。</w:t>
      </w:r>
    </w:p>
    <w:p w14:paraId="7881D2C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2.8《陕西省财政厅关于规范政府采购项目评审主观分赋分有关事项的通知》（陕财办采〔2026〕10号）</w:t>
      </w:r>
    </w:p>
    <w:p w14:paraId="4EF85DC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若享受以上政策优惠的企业，提供相应声明函或品目清单范围内产品的有效认证证书或相关证明。</w:t>
      </w:r>
    </w:p>
    <w:p w14:paraId="7B4B0DC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3、服务期限：</w:t>
      </w:r>
    </w:p>
    <w:p w14:paraId="0FF7904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合同签订后至2026年8月20日止。</w:t>
      </w:r>
    </w:p>
    <w:p w14:paraId="17CC3CD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4、服务地点：</w:t>
      </w:r>
    </w:p>
    <w:p w14:paraId="199E605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渭南市。</w:t>
      </w:r>
    </w:p>
    <w:p w14:paraId="4E778B7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二、需执行的国家相关标准、行业标准、地方标准或者其他标准、规范标准</w:t>
      </w:r>
    </w:p>
    <w:p w14:paraId="4A07C85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1.需满足国家相关标准及法律法规的其他要求。</w:t>
      </w:r>
    </w:p>
    <w:p w14:paraId="73E130F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2.本项目专门面向中小企业，供应商应为中小微企业或监狱企业或残疾人福利性单位。</w:t>
      </w:r>
    </w:p>
    <w:p w14:paraId="5B36500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三、服务指标的具体要求</w:t>
      </w:r>
    </w:p>
    <w:p w14:paraId="5D72FCD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（1）主题名称</w:t>
      </w:r>
    </w:p>
    <w:p w14:paraId="3BB6769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丹青翰墨歌盛世·舞韵飞扬迎省运</w:t>
      </w:r>
    </w:p>
    <w:p w14:paraId="31ADC1B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以“静态美术展览+动态群众健身”双线并行的方式，将体育美术创作与群众健身展演有机结合，静态展示体育之美、动态展现群众之活力，形成“可观、可感、可参与”的系列主题活动。</w:t>
      </w:r>
    </w:p>
    <w:p w14:paraId="0BBC50D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（2）组织机构</w:t>
      </w:r>
    </w:p>
    <w:p w14:paraId="3025420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主办：渭南市体育局</w:t>
      </w:r>
    </w:p>
    <w:p w14:paraId="16F1BA5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承办：渭南市文学艺术界联合会</w:t>
      </w:r>
    </w:p>
    <w:p w14:paraId="2CF247A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渭南市美术家协会</w:t>
      </w:r>
    </w:p>
    <w:p w14:paraId="746A063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渭南日报文化传媒有限公司</w:t>
      </w:r>
    </w:p>
    <w:p w14:paraId="0A7DD4F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（3）时间地点</w:t>
      </w:r>
    </w:p>
    <w:p w14:paraId="34F015D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（一）“欢迎到额渭南来·全民健身系列活动”</w:t>
      </w:r>
    </w:p>
    <w:p w14:paraId="529446B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活动时间：每日常态化展演，周末集中专场展示，避开暴雨、高温极端天气。展演100场。</w:t>
      </w:r>
    </w:p>
    <w:p w14:paraId="3C4D3F4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活动地点：渭南老街（沋河公园）、南湖公园、人民公园、朝阳公园（可根据现场人流、场地条件动态微调）。</w:t>
      </w:r>
    </w:p>
    <w:p w14:paraId="760D5F8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（二）“丹青绘风采·体育美术作品展”</w:t>
      </w:r>
    </w:p>
    <w:p w14:paraId="43B2DE0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活动时间：合同签订后至2026年8月20日，展览30场。</w:t>
      </w:r>
    </w:p>
    <w:p w14:paraId="5676C46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活动地点：渭南老街（沋河公园）、朝阳公园</w:t>
      </w:r>
    </w:p>
    <w:p w14:paraId="0B764D2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（三）双线联动安排</w:t>
      </w:r>
    </w:p>
    <w:p w14:paraId="7DE4502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美术作品展与健身活动在时间上相互衔接、在空间上共享场地资源。8月上旬美术展开幕期间，各公园健身展演同步升温，形成“展览+展演”联动效应；8月中旬集中专场展演阶段，可将美术展优秀作品在专场现场同步展示，实现静态艺术与动态健身的有机融合。</w:t>
      </w:r>
    </w:p>
    <w:p w14:paraId="087D4B4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（4）活动内容</w:t>
      </w:r>
    </w:p>
    <w:p w14:paraId="1D60D49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（一）公园全民健身活动</w:t>
      </w:r>
    </w:p>
    <w:p w14:paraId="7ADD98F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本次活动采用日常常态化展演+集中专场展演相结合的模式，覆盖渭南城区核心公园，形成多点联动、全域升温的迎省运健身氛围。</w:t>
      </w:r>
    </w:p>
    <w:p w14:paraId="029727A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1.全民健身展演</w:t>
      </w:r>
    </w:p>
    <w:p w14:paraId="0632E79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各公园固定时段开放群众健身展演，常规活动时段：每日清晨6:30—8:30、傍晚19:00—21:00（避开正午高温时段，夏季优先保障晚间活动安全舒适开展）。</w:t>
      </w:r>
    </w:p>
    <w:p w14:paraId="400F8C3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展演内容：广场舞集体展示、民族舞展示、群众趣味运动。</w:t>
      </w:r>
    </w:p>
    <w:p w14:paraId="41D11B0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2.集中专场展演（8月中旬）</w:t>
      </w:r>
    </w:p>
    <w:p w14:paraId="00EE628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在渭南老街举办主题专场活动，集中展示各队伍风采，设置互动、点评、风采展示环节，提升活动仪式感和氛围感。</w:t>
      </w:r>
    </w:p>
    <w:p w14:paraId="6FB70FA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专场标准流程（单场90分钟）：</w:t>
      </w:r>
    </w:p>
    <w:p w14:paraId="464434C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（1）开场预热（10分钟）：播放省运主题宣传音乐，主持人开场，介绍活动主题、省运理念、当日活动安排。</w:t>
      </w:r>
    </w:p>
    <w:p w14:paraId="1B18A7A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（2）队伍展演（60分钟）：各参赛队伍依次登台展示，广场舞、民族舞、空竹、舞龙等轮番展演。</w:t>
      </w:r>
    </w:p>
    <w:p w14:paraId="4CE5511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（3）互动体验（15分钟）：开放市民体验环节，现场教学简易舞龙、空竹等全民参与。</w:t>
      </w:r>
    </w:p>
    <w:p w14:paraId="2DC017B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（4）总结收尾（5分钟）：现场小结，合影留念，有序退场。</w:t>
      </w:r>
    </w:p>
    <w:p w14:paraId="4478639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（二）体育美术作品展</w:t>
      </w:r>
    </w:p>
    <w:p w14:paraId="3F8C49F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1.征稿范围</w:t>
      </w:r>
    </w:p>
    <w:p w14:paraId="2FB27AB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渭南市各县（市、区）年满18周岁美术从业者、美术爱好者均可自由投稿。</w:t>
      </w:r>
    </w:p>
    <w:p w14:paraId="6EC5024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2.画作选题</w:t>
      </w:r>
    </w:p>
    <w:p w14:paraId="398E4B8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此次征集的美术作品，必须为全民普及体育运动分类，涵盖日常健身、大众赛事、老少皆宜项目，包含以下任何一项运动的画作均可：跑步、骑行、游泳、广场舞、跳绳、划船、登山、篮球、足球、排球、羽毛球、乒乓球、太极拳、八段锦、五禽戏、武术、摔跤、舞龙舞狮、滚铁环、轮滑、滑板、滑雪、抖空竹、扇子舞、垂钓、体操、帆船、龙舟、冲浪等和体育运动群众健身相关联的画作内容，均可投稿。</w:t>
      </w:r>
    </w:p>
    <w:p w14:paraId="75CFF27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3.作品创作要求</w:t>
      </w:r>
    </w:p>
    <w:p w14:paraId="315100B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1）题材内容：作品紧扣中华体育精神、奥林匹克精神、中华传统体育民俗、竞技赛事、全民健身、青少年体育运动、运动员日常集训、场馆建设等体育主题，不拘限于主办方提供的创作选题，与体育相关内容均可。要求立意积极健康，紧扣时代主旋律，彰显新时代体育风貌与人文精神，贴合渭南城市发展新气象。</w:t>
      </w:r>
    </w:p>
    <w:p w14:paraId="08D5ADA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（2）画种与规格：参展品类为国画、油画、版画；画芯尺寸不大于60cm×60cm，作品原件无需装裱。</w:t>
      </w:r>
    </w:p>
    <w:p w14:paraId="70A736C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（3）版权规范：参评作品须为作者本人近期原创原作，杜绝代笔、临摹高仿、抄袭剽窃、重复投稿旧作等行为；若出现版权纠纷，全部法律责任由作者自行承担。</w:t>
      </w:r>
    </w:p>
    <w:p w14:paraId="50D398A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4.作者参展待遇</w:t>
      </w:r>
    </w:p>
    <w:p w14:paraId="6C7F141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本次展览精选入展作品共计70件，入展作品由主办方统一收藏，并核发收藏稿酬。所有入展艺术家统一颁发入展荣誉证书。</w:t>
      </w:r>
    </w:p>
    <w:p w14:paraId="482CF1A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5.收稿联系人</w:t>
      </w:r>
    </w:p>
    <w:p w14:paraId="5B3B1D9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贺海龙：19992382881</w:t>
      </w:r>
    </w:p>
    <w:p w14:paraId="5319FC6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（5）宣传推广方案</w:t>
      </w:r>
    </w:p>
    <w:p w14:paraId="1582A66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（一）现场氛围布置</w:t>
      </w:r>
    </w:p>
    <w:p w14:paraId="7F1EAD6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各活动公园及美术展览场地统一布置主题展板、活动旗帜、地贴等，内容围绕“我要上省运""丹青绘风采”“舞声飞扬 欢迎到额渭南来”等核心主题，营造浓厚迎省运氛围。活动现场摆放活动背景板，用于队伍展演、合影打卡。</w:t>
      </w:r>
    </w:p>
    <w:p w14:paraId="57CF19A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（二）线上宣传推送</w:t>
      </w:r>
    </w:p>
    <w:p w14:paraId="7E55476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拍摄活动照片、短视频，通过本地公众号、视频号、社群、朋友圈推送活动动态，展示群众健身风采和美术展览精品，普及省运知识、传播全民健身理念，扩大活动覆盖面和影响力。</w:t>
      </w:r>
    </w:p>
    <w:p w14:paraId="7271213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（三）线下氛围引导</w:t>
      </w:r>
    </w:p>
    <w:p w14:paraId="1157F6E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依托公园管理处、文体协会转发活动通知，广泛动员各健身队伍、市民群众参与展览参观与健身活动，引导全民关注省运、参与健身。同时通过美术协会渠道动员广大美术工作者积极投稿，形成“健身+创作”双轮驱动的宣传效果。</w:t>
      </w:r>
    </w:p>
    <w:p w14:paraId="563C204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（6）安全保障与应急方案</w:t>
      </w:r>
    </w:p>
    <w:p w14:paraId="35F79BF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严格遵循群众体育活动安全运营规范，全面落实场地、人员、天气、医疗、治安各项保障，杜绝安全事故，保障活动安全有序开展。</w:t>
      </w:r>
    </w:p>
    <w:p w14:paraId="0612EC3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（一）场地安全保障</w:t>
      </w:r>
    </w:p>
    <w:p w14:paraId="6524546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每日活动前对场地进行全面排查，清理杂物、消除障碍物；规范音响摆放，做好防踩踏、绊倒防护。美术展览场地确保展品固定牢靠，设置安全警示标识，防止展品倾倒伤人。</w:t>
      </w:r>
    </w:p>
    <w:p w14:paraId="00ADA03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（二）天气与防暑保障</w:t>
      </w:r>
    </w:p>
    <w:p w14:paraId="5462296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7—8月高温多雨，严格规避正午高温时段活动，晚间为主、清晨为辅；现场配备饮用水、藿香正气水、清凉油、冰袋等防暑物资；遇暴雨、大风、高温红色预警等极端天气，立即暂停当日活动，及时通知各队伍。</w:t>
      </w:r>
    </w:p>
    <w:p w14:paraId="50F2208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（三）人流与秩序保障</w:t>
      </w:r>
    </w:p>
    <w:p w14:paraId="019E4AC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现场工作人员全程值守，引导市民有序观赛、观展、文明健身，避免拥挤、扎堆、追逐打闹；规范队伍展演秩序，杜绝噪音扰民、无序占位等问题，维护公园公共秩序。</w:t>
      </w:r>
    </w:p>
    <w:p w14:paraId="45F3504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（四）风险防控要求</w:t>
      </w:r>
    </w:p>
    <w:p w14:paraId="2BAC930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所有参与群众自愿参与活动，高龄、体弱、慢病人员建议家属陪同参与；严禁危险动作、违规聚集，全程落实安全告知、风险提示制度，筑牢活动安全防线。</w:t>
      </w:r>
    </w:p>
    <w:p w14:paraId="2148A26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（7）成效总结</w:t>
      </w:r>
    </w:p>
    <w:p w14:paraId="379E462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活动结束后，工作组全面梳理活动开展情况，汇总活动数据、照片、视频、台账资料，总结活动亮点、经验做法，形成完整活动总结报告。梳理美术展览优秀作品和群众健身典型案例，持续推广全民健身理念，为陕西省第十八届运动会群众文体工作留存成果素材。</w:t>
      </w:r>
    </w:p>
    <w:p w14:paraId="447F0FE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同时，依托本次活动成效，持续放大陕西省第十八届运动会群众文体氛围效应，充分展现渭南本土文艺创作水平、群众精神风貌与城市文化底蕴，推动体育文化与本土文艺深度融合，丰富市民精神文化生活、提升城市文化品位，夯实全民喜迎省运、乐享运动健康的社会基础，为省十八运会圆满举办营造持久浓厚的群众氛围，也为渭南市体育事业、文化事业协同高质量发展留存优质的成果素材、典型案例与实践经验，助力文化强市、健康渭南建设走深走实。</w:t>
      </w:r>
    </w:p>
    <w:p w14:paraId="521CF4D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（8）工作要求</w:t>
      </w:r>
    </w:p>
    <w:p w14:paraId="146448D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（一）高度重视，压实责任</w:t>
      </w:r>
    </w:p>
    <w:p w14:paraId="0B926DA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各工作人员定岗定责、全程在岗，严格落实活动流程、安全保障、宣传记录各项工作，确保活动规范有序。</w:t>
      </w:r>
    </w:p>
    <w:p w14:paraId="198F7B0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（二）公益惠民，全民参与</w:t>
      </w:r>
    </w:p>
    <w:p w14:paraId="6ADE908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坚持公益性原则，不收取群众任何费用，开放平等参与通道，最大化调动市民健身热情和美术创作积极性。</w:t>
      </w:r>
    </w:p>
    <w:p w14:paraId="3248984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（三）文明展演，规范秩序</w:t>
      </w:r>
    </w:p>
    <w:p w14:paraId="4BBF78A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各参演队伍服从现场管理，遵守公园管理制度，文明展演、爱护环境、杜绝噪音扰民、违规占道。参展美术工作者遵守展览规程，文明参展。</w:t>
      </w:r>
    </w:p>
    <w:p w14:paraId="652E452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（四）注重宣传，营造氛围</w:t>
      </w:r>
    </w:p>
    <w:p w14:paraId="332F143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及时总结活动亮点、挖掘典型案例，持续放大活动效应，持续升温迎省运全民氛围。</w:t>
      </w:r>
    </w:p>
    <w:p w14:paraId="5327A64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（9）</w:t>
      </w:r>
    </w:p>
    <w:tbl>
      <w:tblPr>
        <w:tblW w:w="85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1130"/>
        <w:gridCol w:w="2655"/>
        <w:gridCol w:w="1131"/>
        <w:gridCol w:w="1131"/>
        <w:gridCol w:w="2464"/>
      </w:tblGrid>
      <w:tr w14:paraId="4BE9C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0070C0"/>
            <w:tcMar>
              <w:left w:w="105" w:type="dxa"/>
              <w:right w:w="105" w:type="dxa"/>
            </w:tcMar>
            <w:vAlign w:val="center"/>
          </w:tcPr>
          <w:p w14:paraId="3F0A936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Style w:val="6"/>
                <w:rFonts w:ascii="仿宋" w:hAnsi="仿宋" w:eastAsia="仿宋" w:cs="仿宋"/>
                <w:b w:val="0"/>
                <w:bCs w:val="0"/>
                <w:i w:val="0"/>
                <w:iCs w:val="0"/>
                <w:caps w:val="0"/>
                <w:color w:val="auto"/>
                <w:spacing w:val="0"/>
                <w:sz w:val="22"/>
                <w:szCs w:val="22"/>
                <w:bdr w:val="none" w:color="auto" w:sz="0" w:space="0"/>
              </w:rPr>
              <w:t>序号</w:t>
            </w:r>
          </w:p>
        </w:tc>
        <w:tc>
          <w:tcPr>
            <w:tcW w:w="0" w:type="auto"/>
            <w:tcBorders>
              <w:top w:val="single" w:color="auto" w:sz="6" w:space="0"/>
              <w:left w:val="nil"/>
              <w:bottom w:val="single" w:color="auto" w:sz="6" w:space="0"/>
              <w:right w:val="single" w:color="auto" w:sz="6" w:space="0"/>
            </w:tcBorders>
            <w:shd w:val="clear" w:color="auto" w:fill="0070C0"/>
            <w:tcMar>
              <w:left w:w="105" w:type="dxa"/>
              <w:right w:w="105" w:type="dxa"/>
            </w:tcMar>
            <w:vAlign w:val="center"/>
          </w:tcPr>
          <w:p w14:paraId="1EB35D0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Style w:val="6"/>
                <w:rFonts w:hint="eastAsia" w:ascii="仿宋" w:hAnsi="仿宋" w:eastAsia="仿宋" w:cs="仿宋"/>
                <w:b w:val="0"/>
                <w:bCs w:val="0"/>
                <w:i w:val="0"/>
                <w:iCs w:val="0"/>
                <w:caps w:val="0"/>
                <w:color w:val="auto"/>
                <w:spacing w:val="0"/>
                <w:sz w:val="22"/>
                <w:szCs w:val="22"/>
                <w:bdr w:val="none" w:color="auto" w:sz="0" w:space="0"/>
              </w:rPr>
              <w:t>名称</w:t>
            </w:r>
          </w:p>
        </w:tc>
        <w:tc>
          <w:tcPr>
            <w:tcW w:w="0" w:type="auto"/>
            <w:tcBorders>
              <w:top w:val="single" w:color="auto" w:sz="6" w:space="0"/>
              <w:left w:val="nil"/>
              <w:bottom w:val="single" w:color="auto" w:sz="6" w:space="0"/>
              <w:right w:val="single" w:color="auto" w:sz="6" w:space="0"/>
            </w:tcBorders>
            <w:shd w:val="clear" w:color="auto" w:fill="0070C0"/>
            <w:tcMar>
              <w:left w:w="105" w:type="dxa"/>
              <w:right w:w="105" w:type="dxa"/>
            </w:tcMar>
            <w:vAlign w:val="center"/>
          </w:tcPr>
          <w:p w14:paraId="267FE66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Style w:val="6"/>
                <w:rFonts w:hint="eastAsia" w:ascii="仿宋" w:hAnsi="仿宋" w:eastAsia="仿宋" w:cs="仿宋"/>
                <w:b w:val="0"/>
                <w:bCs w:val="0"/>
                <w:i w:val="0"/>
                <w:iCs w:val="0"/>
                <w:caps w:val="0"/>
                <w:color w:val="auto"/>
                <w:spacing w:val="0"/>
                <w:sz w:val="22"/>
                <w:szCs w:val="22"/>
                <w:bdr w:val="none" w:color="auto" w:sz="0" w:space="0"/>
              </w:rPr>
              <w:t>数量</w:t>
            </w:r>
          </w:p>
        </w:tc>
        <w:tc>
          <w:tcPr>
            <w:tcW w:w="0" w:type="auto"/>
            <w:tcBorders>
              <w:top w:val="single" w:color="auto" w:sz="6" w:space="0"/>
              <w:left w:val="nil"/>
              <w:bottom w:val="single" w:color="auto" w:sz="6" w:space="0"/>
              <w:right w:val="single" w:color="auto" w:sz="6" w:space="0"/>
            </w:tcBorders>
            <w:shd w:val="clear" w:color="auto" w:fill="0070C0"/>
            <w:tcMar>
              <w:left w:w="105" w:type="dxa"/>
              <w:right w:w="105" w:type="dxa"/>
            </w:tcMar>
            <w:vAlign w:val="center"/>
          </w:tcPr>
          <w:p w14:paraId="6D4D160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Style w:val="6"/>
                <w:rFonts w:hint="eastAsia" w:ascii="仿宋" w:hAnsi="仿宋" w:eastAsia="仿宋" w:cs="仿宋"/>
                <w:b w:val="0"/>
                <w:bCs w:val="0"/>
                <w:i w:val="0"/>
                <w:iCs w:val="0"/>
                <w:caps w:val="0"/>
                <w:color w:val="auto"/>
                <w:spacing w:val="0"/>
                <w:sz w:val="22"/>
                <w:szCs w:val="22"/>
                <w:bdr w:val="none" w:color="auto" w:sz="0" w:space="0"/>
              </w:rPr>
              <w:t>单位</w:t>
            </w:r>
          </w:p>
        </w:tc>
        <w:tc>
          <w:tcPr>
            <w:tcW w:w="2464" w:type="dxa"/>
            <w:tcBorders>
              <w:top w:val="single" w:color="auto" w:sz="6" w:space="0"/>
              <w:left w:val="nil"/>
              <w:bottom w:val="single" w:color="auto" w:sz="6" w:space="0"/>
              <w:right w:val="single" w:color="auto" w:sz="6" w:space="0"/>
            </w:tcBorders>
            <w:shd w:val="clear" w:color="auto" w:fill="0070C0"/>
            <w:tcMar>
              <w:left w:w="105" w:type="dxa"/>
              <w:right w:w="105" w:type="dxa"/>
            </w:tcMar>
            <w:vAlign w:val="center"/>
          </w:tcPr>
          <w:p w14:paraId="30D5343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Style w:val="6"/>
                <w:rFonts w:hint="eastAsia" w:ascii="仿宋" w:hAnsi="仿宋" w:eastAsia="仿宋" w:cs="仿宋"/>
                <w:b w:val="0"/>
                <w:bCs w:val="0"/>
                <w:i w:val="0"/>
                <w:iCs w:val="0"/>
                <w:caps w:val="0"/>
                <w:color w:val="auto"/>
                <w:spacing w:val="0"/>
                <w:sz w:val="22"/>
                <w:szCs w:val="22"/>
                <w:bdr w:val="none" w:color="auto" w:sz="0" w:space="0"/>
              </w:rPr>
              <w:t>备注</w:t>
            </w:r>
          </w:p>
        </w:tc>
      </w:tr>
      <w:tr w14:paraId="48B9F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351DD5D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2DE1AA8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主舞台</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4F8C97F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5714849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项</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107C972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12m*6m*0.8m</w:t>
            </w:r>
          </w:p>
        </w:tc>
      </w:tr>
      <w:tr w14:paraId="1BB5D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6A284FB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2</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0D1DBC4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舞台地毯</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06D281C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52BA26D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项</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735ABAC9">
            <w:pPr>
              <w:ind w:left="0" w:leftChars="0" w:right="0" w:rightChars="0" w:firstLine="0" w:firstLineChars="0"/>
              <w:jc w:val="left"/>
              <w:rPr>
                <w:rFonts w:hint="eastAsia" w:ascii="宋体" w:hAnsi="宋体" w:eastAsia="宋体" w:cs="宋体"/>
                <w:b w:val="0"/>
                <w:bCs w:val="0"/>
                <w:i w:val="0"/>
                <w:iCs w:val="0"/>
                <w:caps w:val="0"/>
                <w:color w:val="auto"/>
                <w:spacing w:val="0"/>
                <w:sz w:val="19"/>
                <w:szCs w:val="19"/>
              </w:rPr>
            </w:pPr>
          </w:p>
        </w:tc>
      </w:tr>
      <w:tr w14:paraId="7E922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1750E21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3</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0FD5411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主屏LED</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7BDEFED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33E6B51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项</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64BCC98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P3 8m*5m</w:t>
            </w:r>
          </w:p>
        </w:tc>
      </w:tr>
      <w:tr w14:paraId="5CAAB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178E5C5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4</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0EFB84A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侧屏LED</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58335C3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6BDF30A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项</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68FDBB8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P3 2m*5m*2</w:t>
            </w:r>
          </w:p>
        </w:tc>
      </w:tr>
      <w:tr w14:paraId="1D3E3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1B7DC81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5</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6FF52A1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雷亚架</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3688F80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6</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6872314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吨</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2D673669">
            <w:pPr>
              <w:ind w:left="0" w:leftChars="0" w:right="0" w:rightChars="0" w:firstLine="0" w:firstLineChars="0"/>
              <w:jc w:val="left"/>
              <w:rPr>
                <w:rFonts w:hint="eastAsia" w:ascii="宋体" w:hAnsi="宋体" w:eastAsia="宋体" w:cs="宋体"/>
                <w:b w:val="0"/>
                <w:bCs w:val="0"/>
                <w:i w:val="0"/>
                <w:iCs w:val="0"/>
                <w:caps w:val="0"/>
                <w:color w:val="auto"/>
                <w:spacing w:val="0"/>
                <w:sz w:val="19"/>
                <w:szCs w:val="19"/>
              </w:rPr>
            </w:pPr>
          </w:p>
        </w:tc>
      </w:tr>
      <w:tr w14:paraId="657AA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45BFB21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6</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4DD66A7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面光灯</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45E40DA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20</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581F377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个</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35810F17">
            <w:pPr>
              <w:ind w:left="0" w:leftChars="0" w:right="0" w:rightChars="0" w:firstLine="0" w:firstLineChars="0"/>
              <w:jc w:val="left"/>
              <w:rPr>
                <w:rFonts w:hint="eastAsia" w:ascii="宋体" w:hAnsi="宋体" w:eastAsia="宋体" w:cs="宋体"/>
                <w:b w:val="0"/>
                <w:bCs w:val="0"/>
                <w:i w:val="0"/>
                <w:iCs w:val="0"/>
                <w:caps w:val="0"/>
                <w:color w:val="auto"/>
                <w:spacing w:val="0"/>
                <w:sz w:val="19"/>
                <w:szCs w:val="19"/>
              </w:rPr>
            </w:pPr>
          </w:p>
        </w:tc>
      </w:tr>
      <w:tr w14:paraId="23B52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74EAF17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7</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108FE99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切割灯</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42781F1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6</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3878FBD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个</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5C787F67">
            <w:pPr>
              <w:ind w:left="0" w:leftChars="0" w:right="0" w:rightChars="0" w:firstLine="0" w:firstLineChars="0"/>
              <w:jc w:val="left"/>
              <w:rPr>
                <w:rFonts w:hint="eastAsia" w:ascii="宋体" w:hAnsi="宋体" w:eastAsia="宋体" w:cs="宋体"/>
                <w:b w:val="0"/>
                <w:bCs w:val="0"/>
                <w:i w:val="0"/>
                <w:iCs w:val="0"/>
                <w:caps w:val="0"/>
                <w:color w:val="auto"/>
                <w:spacing w:val="0"/>
                <w:sz w:val="19"/>
                <w:szCs w:val="19"/>
              </w:rPr>
            </w:pPr>
          </w:p>
        </w:tc>
      </w:tr>
      <w:tr w14:paraId="0B2C8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2735DEA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8</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0027AD8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光束灯</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031A63D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20</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13C261C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个</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02A1B0DE">
            <w:pPr>
              <w:ind w:left="0" w:leftChars="0" w:right="0" w:rightChars="0" w:firstLine="0" w:firstLineChars="0"/>
              <w:jc w:val="left"/>
              <w:rPr>
                <w:rFonts w:hint="eastAsia" w:ascii="宋体" w:hAnsi="宋体" w:eastAsia="宋体" w:cs="宋体"/>
                <w:b w:val="0"/>
                <w:bCs w:val="0"/>
                <w:i w:val="0"/>
                <w:iCs w:val="0"/>
                <w:caps w:val="0"/>
                <w:color w:val="auto"/>
                <w:spacing w:val="0"/>
                <w:sz w:val="19"/>
                <w:szCs w:val="19"/>
              </w:rPr>
            </w:pPr>
          </w:p>
        </w:tc>
      </w:tr>
      <w:tr w14:paraId="5BF2E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483C960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9</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2B1ECF4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线阵音响</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4367FB0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2D78D54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套</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7CD0EB0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含控台话筒</w:t>
            </w:r>
          </w:p>
        </w:tc>
      </w:tr>
      <w:tr w14:paraId="0C1C5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05D1E47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10</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2614B3C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注水道旗</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1503A31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20</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17CE31C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组</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3BA83DB2">
            <w:pPr>
              <w:ind w:left="0" w:leftChars="0" w:right="0" w:rightChars="0" w:firstLine="0" w:firstLineChars="0"/>
              <w:jc w:val="left"/>
              <w:rPr>
                <w:rFonts w:hint="eastAsia" w:ascii="宋体" w:hAnsi="宋体" w:eastAsia="宋体" w:cs="宋体"/>
                <w:b w:val="0"/>
                <w:bCs w:val="0"/>
                <w:i w:val="0"/>
                <w:iCs w:val="0"/>
                <w:caps w:val="0"/>
                <w:color w:val="auto"/>
                <w:spacing w:val="0"/>
                <w:sz w:val="19"/>
                <w:szCs w:val="19"/>
              </w:rPr>
            </w:pPr>
          </w:p>
        </w:tc>
      </w:tr>
      <w:tr w14:paraId="6696C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5D7C6F2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11</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2FF7906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蓝凳子</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4B0C09D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100</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7AE7A19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个</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582BC47F">
            <w:pPr>
              <w:ind w:left="0" w:leftChars="0" w:right="0" w:rightChars="0" w:firstLine="0" w:firstLineChars="0"/>
              <w:jc w:val="left"/>
              <w:rPr>
                <w:rFonts w:hint="eastAsia" w:ascii="宋体" w:hAnsi="宋体" w:eastAsia="宋体" w:cs="宋体"/>
                <w:b w:val="0"/>
                <w:bCs w:val="0"/>
                <w:i w:val="0"/>
                <w:iCs w:val="0"/>
                <w:caps w:val="0"/>
                <w:color w:val="auto"/>
                <w:spacing w:val="0"/>
                <w:sz w:val="19"/>
                <w:szCs w:val="19"/>
              </w:rPr>
            </w:pPr>
          </w:p>
        </w:tc>
      </w:tr>
      <w:tr w14:paraId="6F418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38EE5DF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12</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6608748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主持人</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0D10631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7158B3F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名</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1FE331D6">
            <w:pPr>
              <w:ind w:left="0" w:leftChars="0" w:right="0" w:rightChars="0" w:firstLine="0" w:firstLineChars="0"/>
              <w:jc w:val="left"/>
              <w:rPr>
                <w:rFonts w:hint="eastAsia" w:ascii="宋体" w:hAnsi="宋体" w:eastAsia="宋体" w:cs="宋体"/>
                <w:b w:val="0"/>
                <w:bCs w:val="0"/>
                <w:i w:val="0"/>
                <w:iCs w:val="0"/>
                <w:caps w:val="0"/>
                <w:color w:val="auto"/>
                <w:spacing w:val="0"/>
                <w:sz w:val="19"/>
                <w:szCs w:val="19"/>
              </w:rPr>
            </w:pPr>
          </w:p>
        </w:tc>
      </w:tr>
      <w:tr w14:paraId="56E8B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65C21F7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13</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24EA082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队伍补助</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5FBBA3F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5</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314CEF3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个</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16D5898C">
            <w:pPr>
              <w:ind w:left="0" w:leftChars="0" w:right="0" w:rightChars="0" w:firstLine="0" w:firstLineChars="0"/>
              <w:jc w:val="left"/>
              <w:rPr>
                <w:rFonts w:hint="eastAsia" w:ascii="宋体" w:hAnsi="宋体" w:eastAsia="宋体" w:cs="宋体"/>
                <w:b w:val="0"/>
                <w:bCs w:val="0"/>
                <w:i w:val="0"/>
                <w:iCs w:val="0"/>
                <w:caps w:val="0"/>
                <w:color w:val="auto"/>
                <w:spacing w:val="0"/>
                <w:sz w:val="19"/>
                <w:szCs w:val="19"/>
              </w:rPr>
            </w:pPr>
          </w:p>
        </w:tc>
      </w:tr>
      <w:tr w14:paraId="2D427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4A7090C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14</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5C0A540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参赛服装</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00BF9CB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150</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0856E4E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件</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76A696C7">
            <w:pPr>
              <w:ind w:left="0" w:leftChars="0" w:right="0" w:rightChars="0" w:firstLine="0" w:firstLineChars="0"/>
              <w:jc w:val="left"/>
              <w:rPr>
                <w:rFonts w:hint="eastAsia" w:ascii="宋体" w:hAnsi="宋体" w:eastAsia="宋体" w:cs="宋体"/>
                <w:b w:val="0"/>
                <w:bCs w:val="0"/>
                <w:i w:val="0"/>
                <w:iCs w:val="0"/>
                <w:caps w:val="0"/>
                <w:color w:val="auto"/>
                <w:spacing w:val="0"/>
                <w:sz w:val="19"/>
                <w:szCs w:val="19"/>
              </w:rPr>
            </w:pPr>
          </w:p>
        </w:tc>
      </w:tr>
      <w:tr w14:paraId="3DE9E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0AE8059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15</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0CF6F59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主题旗帜</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141F72C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5</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14DB819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个</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465AFFD3">
            <w:pPr>
              <w:ind w:left="0" w:leftChars="0" w:right="0" w:rightChars="0" w:firstLine="0" w:firstLineChars="0"/>
              <w:jc w:val="left"/>
              <w:rPr>
                <w:rFonts w:hint="eastAsia" w:ascii="宋体" w:hAnsi="宋体" w:eastAsia="宋体" w:cs="宋体"/>
                <w:b w:val="0"/>
                <w:bCs w:val="0"/>
                <w:i w:val="0"/>
                <w:iCs w:val="0"/>
                <w:caps w:val="0"/>
                <w:color w:val="auto"/>
                <w:spacing w:val="0"/>
                <w:sz w:val="19"/>
                <w:szCs w:val="19"/>
              </w:rPr>
            </w:pPr>
          </w:p>
        </w:tc>
      </w:tr>
      <w:tr w14:paraId="01A03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0DCE1D4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16</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5F3CF96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创意地贴</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022C2E8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10</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72698F8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个</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16DAB1CE">
            <w:pPr>
              <w:ind w:left="0" w:leftChars="0" w:right="0" w:rightChars="0" w:firstLine="0" w:firstLineChars="0"/>
              <w:jc w:val="left"/>
              <w:rPr>
                <w:rFonts w:hint="eastAsia" w:ascii="宋体" w:hAnsi="宋体" w:eastAsia="宋体" w:cs="宋体"/>
                <w:b w:val="0"/>
                <w:bCs w:val="0"/>
                <w:i w:val="0"/>
                <w:iCs w:val="0"/>
                <w:caps w:val="0"/>
                <w:color w:val="auto"/>
                <w:spacing w:val="0"/>
                <w:sz w:val="19"/>
                <w:szCs w:val="19"/>
              </w:rPr>
            </w:pPr>
          </w:p>
        </w:tc>
      </w:tr>
      <w:tr w14:paraId="738FF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7E882B3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17</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55AE227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手持拍照板</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1E76E92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2BBE765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项</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46D0B660">
            <w:pPr>
              <w:ind w:left="0" w:leftChars="0" w:right="0" w:rightChars="0" w:firstLine="0" w:firstLineChars="0"/>
              <w:jc w:val="left"/>
              <w:rPr>
                <w:rFonts w:hint="eastAsia" w:ascii="宋体" w:hAnsi="宋体" w:eastAsia="宋体" w:cs="宋体"/>
                <w:b w:val="0"/>
                <w:bCs w:val="0"/>
                <w:i w:val="0"/>
                <w:iCs w:val="0"/>
                <w:caps w:val="0"/>
                <w:color w:val="auto"/>
                <w:spacing w:val="0"/>
                <w:sz w:val="19"/>
                <w:szCs w:val="19"/>
              </w:rPr>
            </w:pPr>
          </w:p>
        </w:tc>
      </w:tr>
      <w:tr w14:paraId="39BA2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543F70C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18</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22D1A4E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画作装裱</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0C240D1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70</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0A32F0C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幅</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27583470">
            <w:pPr>
              <w:ind w:left="0" w:leftChars="0" w:right="0" w:rightChars="0" w:firstLine="0" w:firstLineChars="0"/>
              <w:jc w:val="left"/>
              <w:rPr>
                <w:rFonts w:hint="eastAsia" w:ascii="宋体" w:hAnsi="宋体" w:eastAsia="宋体" w:cs="宋体"/>
                <w:b w:val="0"/>
                <w:bCs w:val="0"/>
                <w:i w:val="0"/>
                <w:iCs w:val="0"/>
                <w:caps w:val="0"/>
                <w:color w:val="auto"/>
                <w:spacing w:val="0"/>
                <w:sz w:val="19"/>
                <w:szCs w:val="19"/>
              </w:rPr>
            </w:pPr>
          </w:p>
        </w:tc>
      </w:tr>
      <w:tr w14:paraId="4EDF3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0124DC5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19</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4A17ACA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画架</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28E221B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70</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21C77E7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个</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7F6E1E4B">
            <w:pPr>
              <w:ind w:left="0" w:leftChars="0" w:right="0" w:rightChars="0" w:firstLine="0" w:firstLineChars="0"/>
              <w:jc w:val="left"/>
              <w:rPr>
                <w:rFonts w:hint="eastAsia" w:ascii="宋体" w:hAnsi="宋体" w:eastAsia="宋体" w:cs="宋体"/>
                <w:b w:val="0"/>
                <w:bCs w:val="0"/>
                <w:i w:val="0"/>
                <w:iCs w:val="0"/>
                <w:caps w:val="0"/>
                <w:color w:val="auto"/>
                <w:spacing w:val="0"/>
                <w:sz w:val="19"/>
                <w:szCs w:val="19"/>
              </w:rPr>
            </w:pPr>
          </w:p>
        </w:tc>
      </w:tr>
      <w:tr w14:paraId="2CCC2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2BB9E3B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20</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6AEE537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作品收藏费</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27B2F91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70</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0DADDE6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幅</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4A5C4AC4">
            <w:pPr>
              <w:ind w:left="0" w:leftChars="0" w:right="0" w:rightChars="0" w:firstLine="0" w:firstLineChars="0"/>
              <w:jc w:val="left"/>
              <w:rPr>
                <w:rFonts w:hint="eastAsia" w:ascii="宋体" w:hAnsi="宋体" w:eastAsia="宋体" w:cs="宋体"/>
                <w:b w:val="0"/>
                <w:bCs w:val="0"/>
                <w:i w:val="0"/>
                <w:iCs w:val="0"/>
                <w:caps w:val="0"/>
                <w:color w:val="auto"/>
                <w:spacing w:val="0"/>
                <w:sz w:val="19"/>
                <w:szCs w:val="19"/>
              </w:rPr>
            </w:pPr>
          </w:p>
        </w:tc>
      </w:tr>
      <w:tr w14:paraId="3F57D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6D5E425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21</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6630685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展示场地搭建</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0B32465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0DD0138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项</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66ABB21B">
            <w:pPr>
              <w:ind w:left="0" w:leftChars="0" w:right="0" w:rightChars="0" w:firstLine="0" w:firstLineChars="0"/>
              <w:jc w:val="left"/>
              <w:rPr>
                <w:rFonts w:hint="eastAsia" w:ascii="宋体" w:hAnsi="宋体" w:eastAsia="宋体" w:cs="宋体"/>
                <w:b w:val="0"/>
                <w:bCs w:val="0"/>
                <w:i w:val="0"/>
                <w:iCs w:val="0"/>
                <w:caps w:val="0"/>
                <w:color w:val="auto"/>
                <w:spacing w:val="0"/>
                <w:sz w:val="19"/>
                <w:szCs w:val="19"/>
              </w:rPr>
            </w:pPr>
          </w:p>
        </w:tc>
      </w:tr>
      <w:tr w14:paraId="2C87E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70DC520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22</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3687747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荣誉证书</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41DCDCF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w:t>
            </w:r>
          </w:p>
        </w:tc>
        <w:tc>
          <w:tcPr>
            <w:tcW w:w="0" w:type="auto"/>
            <w:tcBorders>
              <w:top w:val="nil"/>
              <w:left w:val="nil"/>
              <w:bottom w:val="single" w:color="auto" w:sz="6" w:space="0"/>
              <w:right w:val="single" w:color="auto" w:sz="6" w:space="0"/>
            </w:tcBorders>
            <w:shd w:val="clear" w:color="auto" w:fill="F2F2F2"/>
            <w:tcMar>
              <w:left w:w="105" w:type="dxa"/>
              <w:right w:w="105" w:type="dxa"/>
            </w:tcMar>
            <w:vAlign w:val="center"/>
          </w:tcPr>
          <w:p w14:paraId="20C9F2D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项</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397E0991">
            <w:pPr>
              <w:ind w:left="0" w:leftChars="0" w:right="0" w:rightChars="0" w:firstLine="0" w:firstLineChars="0"/>
              <w:jc w:val="left"/>
              <w:rPr>
                <w:rFonts w:hint="eastAsia" w:ascii="宋体" w:hAnsi="宋体" w:eastAsia="宋体" w:cs="宋体"/>
                <w:b w:val="0"/>
                <w:bCs w:val="0"/>
                <w:i w:val="0"/>
                <w:iCs w:val="0"/>
                <w:caps w:val="0"/>
                <w:color w:val="auto"/>
                <w:spacing w:val="0"/>
                <w:sz w:val="19"/>
                <w:szCs w:val="19"/>
              </w:rPr>
            </w:pPr>
          </w:p>
        </w:tc>
      </w:tr>
      <w:tr w14:paraId="08876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130" w:type="dxa"/>
            <w:tcBorders>
              <w:top w:val="nil"/>
              <w:left w:val="single" w:color="auto" w:sz="6" w:space="0"/>
              <w:bottom w:val="single" w:color="auto" w:sz="6" w:space="0"/>
              <w:right w:val="single" w:color="auto" w:sz="6" w:space="0"/>
            </w:tcBorders>
            <w:shd w:val="clear" w:color="auto" w:fill="F2F2F2"/>
            <w:tcMar>
              <w:left w:w="105" w:type="dxa"/>
              <w:right w:w="105" w:type="dxa"/>
            </w:tcMar>
            <w:vAlign w:val="center"/>
          </w:tcPr>
          <w:p w14:paraId="6E60E90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23</w:t>
            </w:r>
          </w:p>
        </w:tc>
        <w:tc>
          <w:tcPr>
            <w:tcW w:w="2655" w:type="dxa"/>
            <w:tcBorders>
              <w:top w:val="nil"/>
              <w:left w:val="nil"/>
              <w:bottom w:val="single" w:color="auto" w:sz="6" w:space="0"/>
              <w:right w:val="single" w:color="auto" w:sz="6" w:space="0"/>
            </w:tcBorders>
            <w:shd w:val="clear" w:color="auto" w:fill="F2F2F2"/>
            <w:tcMar>
              <w:left w:w="105" w:type="dxa"/>
              <w:right w:w="105" w:type="dxa"/>
            </w:tcMar>
            <w:vAlign w:val="center"/>
          </w:tcPr>
          <w:p w14:paraId="6F0F158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藿香正气水等</w:t>
            </w:r>
          </w:p>
        </w:tc>
        <w:tc>
          <w:tcPr>
            <w:tcW w:w="1131" w:type="dxa"/>
            <w:tcBorders>
              <w:top w:val="nil"/>
              <w:left w:val="nil"/>
              <w:bottom w:val="single" w:color="auto" w:sz="6" w:space="0"/>
              <w:right w:val="single" w:color="auto" w:sz="6" w:space="0"/>
            </w:tcBorders>
            <w:shd w:val="clear" w:color="auto" w:fill="F2F2F2"/>
            <w:tcMar>
              <w:left w:w="105" w:type="dxa"/>
              <w:right w:w="105" w:type="dxa"/>
            </w:tcMar>
            <w:vAlign w:val="center"/>
          </w:tcPr>
          <w:p w14:paraId="604BABC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1</w:t>
            </w:r>
          </w:p>
        </w:tc>
        <w:tc>
          <w:tcPr>
            <w:tcW w:w="1131" w:type="dxa"/>
            <w:tcBorders>
              <w:top w:val="nil"/>
              <w:left w:val="nil"/>
              <w:bottom w:val="single" w:color="auto" w:sz="6" w:space="0"/>
              <w:right w:val="single" w:color="auto" w:sz="6" w:space="0"/>
            </w:tcBorders>
            <w:shd w:val="clear" w:color="auto" w:fill="F2F2F2"/>
            <w:tcMar>
              <w:left w:w="105" w:type="dxa"/>
              <w:right w:w="105" w:type="dxa"/>
            </w:tcMar>
            <w:vAlign w:val="center"/>
          </w:tcPr>
          <w:p w14:paraId="07F4443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auto"/>
                <w:sz w:val="18"/>
                <w:szCs w:val="18"/>
              </w:rPr>
            </w:pPr>
            <w:r>
              <w:rPr>
                <w:rFonts w:hint="eastAsia" w:ascii="仿宋" w:hAnsi="仿宋" w:eastAsia="仿宋" w:cs="仿宋"/>
                <w:b w:val="0"/>
                <w:bCs w:val="0"/>
                <w:i w:val="0"/>
                <w:iCs w:val="0"/>
                <w:caps w:val="0"/>
                <w:color w:val="auto"/>
                <w:spacing w:val="0"/>
                <w:sz w:val="22"/>
                <w:szCs w:val="22"/>
                <w:bdr w:val="none" w:color="auto" w:sz="0" w:space="0"/>
              </w:rPr>
              <w:t>项</w:t>
            </w:r>
          </w:p>
        </w:tc>
        <w:tc>
          <w:tcPr>
            <w:tcW w:w="2464" w:type="dxa"/>
            <w:tcBorders>
              <w:top w:val="nil"/>
              <w:left w:val="nil"/>
              <w:bottom w:val="single" w:color="auto" w:sz="6" w:space="0"/>
              <w:right w:val="single" w:color="auto" w:sz="6" w:space="0"/>
            </w:tcBorders>
            <w:shd w:val="clear" w:color="auto" w:fill="F2F2F2"/>
            <w:tcMar>
              <w:left w:w="105" w:type="dxa"/>
              <w:right w:w="105" w:type="dxa"/>
            </w:tcMar>
            <w:vAlign w:val="center"/>
          </w:tcPr>
          <w:p w14:paraId="273950C3">
            <w:pPr>
              <w:ind w:left="0" w:leftChars="0" w:right="0" w:rightChars="0" w:firstLine="0" w:firstLineChars="0"/>
              <w:jc w:val="left"/>
              <w:rPr>
                <w:rFonts w:hint="eastAsia" w:ascii="宋体" w:hAnsi="宋体" w:eastAsia="宋体" w:cs="宋体"/>
                <w:b w:val="0"/>
                <w:bCs w:val="0"/>
                <w:i w:val="0"/>
                <w:iCs w:val="0"/>
                <w:caps w:val="0"/>
                <w:color w:val="auto"/>
                <w:spacing w:val="0"/>
                <w:sz w:val="19"/>
                <w:szCs w:val="19"/>
              </w:rPr>
            </w:pPr>
          </w:p>
        </w:tc>
      </w:tr>
    </w:tbl>
    <w:p w14:paraId="48987C0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四、拟投入本项目的费用测算</w:t>
      </w:r>
    </w:p>
    <w:p w14:paraId="7BCAA69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本项目总投资20万元，包括完成本项目并达到磋商文件要求所需要的全部费用，包括但不限于完成本次项目所需的设备费、人工费、服务费、管理费、税金等所有费用。</w:t>
      </w:r>
    </w:p>
    <w:p w14:paraId="1692CC6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五、服务质量、标准、期限等</w:t>
      </w:r>
    </w:p>
    <w:p w14:paraId="67FF0FF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服务质量、标准：满足国家及行业相关质量要求和标准。</w:t>
      </w:r>
    </w:p>
    <w:p w14:paraId="405BBF6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服务期限：合同签订后至2026年8月20日止。</w:t>
      </w:r>
    </w:p>
    <w:p w14:paraId="08E31F0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六、付款方式</w:t>
      </w:r>
    </w:p>
    <w:p w14:paraId="63585F5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预付款：合同生效后，达到付款条件起15个工作日内，支付合同总金额的40%；</w:t>
      </w:r>
    </w:p>
    <w:p w14:paraId="0E49603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进度款：赛事活动结束后，提交参展展板，相关总结报告、影像资料纸质版及电子版，经验收合格完成，达到付款条件起15个</w:t>
      </w:r>
      <w:bookmarkStart w:id="0" w:name="_GoBack"/>
      <w:bookmarkEnd w:id="0"/>
      <w:r>
        <w:rPr>
          <w:rFonts w:hint="eastAsia" w:ascii="宋体" w:hAnsi="宋体" w:eastAsia="宋体" w:cs="宋体"/>
          <w:b w:val="0"/>
          <w:bCs w:val="0"/>
          <w:i w:val="0"/>
          <w:iCs w:val="0"/>
          <w:caps w:val="0"/>
          <w:color w:val="auto"/>
          <w:spacing w:val="0"/>
          <w:sz w:val="18"/>
          <w:szCs w:val="18"/>
          <w:bdr w:val="none" w:color="auto" w:sz="0" w:space="0"/>
          <w:shd w:val="clear" w:fill="FFFFFF"/>
        </w:rPr>
        <w:t>工作日内，支付合同总金额的60%。</w:t>
      </w:r>
    </w:p>
    <w:p w14:paraId="24B8258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七、验收标准</w:t>
      </w:r>
    </w:p>
    <w:p w14:paraId="7E15F3E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00"/>
        <w:jc w:val="both"/>
        <w:rPr>
          <w:rFonts w:hint="eastAsia" w:ascii="宋体" w:hAnsi="宋体" w:eastAsia="宋体" w:cs="宋体"/>
          <w:b w:val="0"/>
          <w:bCs w:val="0"/>
          <w:i w:val="0"/>
          <w:iCs w:val="0"/>
          <w:caps w:val="0"/>
          <w:color w:val="auto"/>
          <w:spacing w:val="0"/>
          <w:sz w:val="18"/>
          <w:szCs w:val="18"/>
        </w:rPr>
      </w:pPr>
      <w:r>
        <w:rPr>
          <w:rFonts w:hint="eastAsia" w:ascii="宋体" w:hAnsi="宋体" w:eastAsia="宋体" w:cs="宋体"/>
          <w:b w:val="0"/>
          <w:bCs w:val="0"/>
          <w:i w:val="0"/>
          <w:iCs w:val="0"/>
          <w:caps w:val="0"/>
          <w:color w:val="auto"/>
          <w:spacing w:val="0"/>
          <w:sz w:val="18"/>
          <w:szCs w:val="18"/>
          <w:bdr w:val="none" w:color="auto" w:sz="0" w:space="0"/>
          <w:shd w:val="clear" w:fill="FFFFFF"/>
        </w:rPr>
        <w:t>依据竞争性磋商文件、磋商响应文件、成交通知书、合同文件及国家相关规范及标准进行验收。</w:t>
      </w:r>
    </w:p>
    <w:p w14:paraId="2211465A">
      <w:pPr>
        <w:rPr>
          <w:b w:val="0"/>
          <w:bCs w:val="0"/>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212"/>
    <w:rsid w:val="008E7212"/>
    <w:rsid w:val="6A1F0B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line="360" w:lineRule="auto"/>
    </w:pPr>
    <w:rPr>
      <w:rFonts w:ascii="仿宋_GB2312" w:hAnsi="Times New Roman" w:eastAsia="仿宋_GB2312" w:cs="Times New Roman"/>
      <w:kern w:val="0"/>
      <w:sz w:val="28"/>
      <w:szCs w:val="20"/>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233</Words>
  <Characters>284</Characters>
  <Lines>0</Lines>
  <Paragraphs>0</Paragraphs>
  <TotalTime>0</TotalTime>
  <ScaleCrop>false</ScaleCrop>
  <LinksUpToDate>false</LinksUpToDate>
  <CharactersWithSpaces>358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2026-07-17T06:55:00Z</dcterms:created>
  <dc:creator>叶子</dc:creator>
  <cp:lastModifiedBy>叶子</cp:lastModifiedBy>
  <dcterms:modified xsi:type="dcterms:W3CDTF">2026-07-17T10:22:06Z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F6FCE0006A4C45AAAAAF463A22853878_11</vt:lpwstr>
  </property>
  <property fmtid="{D5CDD505-2E9C-101B-9397-08002B2CF9AE}" pid="4" name="KSOTemplateDocerSaveRecord">
    <vt:lpwstr>eyJoZGlkIjoiZjE1YjQ4NWY2MWE2Y2ZiNzE4NTU1MjQ3YTY1ZWQwZjAiLCJ1c2VySWQiOiIzMjkyNDM1OTcifQ==</vt:lpwstr>
  </property>
</Properties>
</file>