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D8BC1">
      <w:pPr>
        <w:pStyle w:val="2"/>
        <w:jc w:val="center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黑体" w:hAnsi="黑体" w:eastAsia="黑体" w:cs="Calibri Light"/>
          <w:b w:val="0"/>
          <w:bCs w:val="0"/>
          <w:color w:val="auto"/>
          <w:kern w:val="2"/>
          <w:sz w:val="28"/>
          <w:szCs w:val="32"/>
          <w:highlight w:val="none"/>
          <w:lang w:val="en-US" w:eastAsia="zh-CN" w:bidi="ar-SA"/>
        </w:rPr>
        <w:t>已标价工程量清单报价表</w:t>
      </w:r>
    </w:p>
    <w:p w14:paraId="766257D3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</w:pPr>
    </w:p>
    <w:p w14:paraId="4FE6E5E1">
      <w:pPr>
        <w:spacing w:line="360" w:lineRule="auto"/>
        <w:ind w:firstLine="562" w:firstLineChars="200"/>
        <w:rPr>
          <w:rFonts w:hint="default" w:ascii="仿宋" w:hAnsi="仿宋" w:eastAsia="仿宋" w:cs="仿宋"/>
          <w:b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36"/>
          <w:highlight w:val="none"/>
          <w:lang w:val="en-US" w:eastAsia="zh-CN"/>
        </w:rPr>
        <w:t>供应商自行由广联达等工具导出的表格；</w:t>
      </w:r>
      <w:r>
        <w:rPr>
          <w:rFonts w:hint="eastAsia" w:ascii="仿宋" w:hAnsi="仿宋" w:eastAsia="仿宋" w:cs="仿宋"/>
          <w:b/>
          <w:color w:val="FF0000"/>
          <w:sz w:val="28"/>
          <w:szCs w:val="36"/>
          <w:highlight w:val="none"/>
          <w:lang w:val="en-US" w:eastAsia="zh-CN"/>
        </w:rPr>
        <w:t>封皮或扉页必须加盖公章、造价人员签字及执业章；否则磋商响应无效。</w:t>
      </w:r>
    </w:p>
    <w:p w14:paraId="440382CC">
      <w:pPr>
        <w:spacing w:line="360" w:lineRule="auto"/>
        <w:ind w:firstLine="420" w:firstLineChars="200"/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</w:rPr>
        <w:t>构成合同文件的已标价工程量清单包括但不限于报价汇总表，单位工程造价汇总表，分部分项工程量清单计价表，措施项目清单计价表，规费、税金项目清单计价表，工程量清单综合单价分析表，主要材料价格表（表格样式以投软件生成格式为准）；</w:t>
      </w:r>
    </w:p>
    <w:p w14:paraId="212652CC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1EF77A09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0986E2B1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</w:p>
    <w:p w14:paraId="3DC79D3D">
      <w:pPr>
        <w:spacing w:line="360" w:lineRule="auto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注：1.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已标价工程量清单分部分项等缺项漏项的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信息内容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视为已包含在项目报价中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。</w:t>
      </w:r>
    </w:p>
    <w:p w14:paraId="66D29979">
      <w:pPr>
        <w:pStyle w:val="9"/>
        <w:spacing w:after="0"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2.如不提供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上述已标价工程量清单报价表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，将视为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重大缺项，磋商响应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无效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本项目招标文件中第二章2.4.7响应报价中说明的“不再提供已标价工程量清单”修改为“提供已标价工程量清单”，并已此条款为准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。</w:t>
      </w:r>
    </w:p>
    <w:p w14:paraId="46DC8CA4">
      <w:pPr>
        <w:pStyle w:val="5"/>
        <w:spacing w:after="0" w:line="360" w:lineRule="auto"/>
        <w:ind w:firstLine="211"/>
      </w:pP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 xml:space="preserve">  3.供应商所报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价总价格超过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限价的，其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21"/>
          <w:szCs w:val="24"/>
          <w:highlight w:val="none"/>
        </w:rPr>
        <w:t>将被否决。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5E2715"/>
    <w:rsid w:val="4320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/>
      <w:spacing w:after="120" w:line="240" w:lineRule="auto"/>
      <w:jc w:val="left"/>
    </w:pPr>
    <w:rPr>
      <w:rFonts w:ascii="微软雅黑" w:hAnsi="微软雅黑" w:eastAsia="方正仿宋_GB2312" w:cs="Times New Roman"/>
      <w:kern w:val="0"/>
      <w:sz w:val="32"/>
      <w:szCs w:val="22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cs="Times New Roman"/>
      <w:kern w:val="0"/>
      <w:sz w:val="20"/>
      <w:szCs w:val="24"/>
    </w:rPr>
  </w:style>
  <w:style w:type="paragraph" w:styleId="5">
    <w:name w:val="Body Text First Indent"/>
    <w:basedOn w:val="3"/>
    <w:next w:val="6"/>
    <w:qFormat/>
    <w:uiPriority w:val="0"/>
    <w:pPr>
      <w:adjustRightInd w:val="0"/>
      <w:spacing w:after="0"/>
      <w:ind w:firstLine="420"/>
      <w:jc w:val="left"/>
      <w:textAlignment w:val="baseline"/>
    </w:pPr>
    <w:rPr>
      <w:kern w:val="0"/>
    </w:rPr>
  </w:style>
  <w:style w:type="paragraph" w:styleId="6">
    <w:name w:val="Body Text First Indent 2"/>
    <w:basedOn w:val="4"/>
    <w:qFormat/>
    <w:uiPriority w:val="99"/>
    <w:pPr>
      <w:ind w:firstLine="420" w:firstLineChars="200"/>
    </w:pPr>
  </w:style>
  <w:style w:type="paragraph" w:customStyle="1" w:styleId="9">
    <w:name w:val="_Style 35"/>
    <w:basedOn w:val="3"/>
    <w:next w:val="5"/>
    <w:autoRedefine/>
    <w:unhideWhenUsed/>
    <w:qFormat/>
    <w:uiPriority w:val="0"/>
    <w:pPr>
      <w:ind w:firstLine="420" w:firstLineChars="100"/>
    </w:pPr>
    <w:rPr>
      <w:rFonts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2026-07-13T08:41:14Z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