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版本号：ZX2026-07-80.20260903001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面向复杂场景先进通信技术实验平台建设与高水平成果培育项目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ZX2026-07-80.</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面向复杂场景先进通信技术实验平台建设与高水平成果培育项目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面向复杂场景先进通信技术实验平台建设与高水平成果培育项目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本项目为面向复杂场景先进通信技术实验平台建设与高水平成果培育项目，1批，具体详见谈判文件第三章。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王琦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采购包1保证金金额：16,780.00元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代理服务费收费标准：参照国家计委计价格[2002]1980号及发改办价格[2003]857号通知规定，按成交金额的77.5%计取。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本项目为面向复杂场景先进通信技术实验平台建设与高水平成果培育项目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面向复杂场景先进通信技术实验平台建设与高水平成果培育项目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标的名称：面向复杂场景先进通信技术实验平台建设与高水平成果培育项目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一、采购清单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sz w:val="24"/>
                      <w:b/>
                    </w:rPr>
                    <w:t>设备</w:t>
                  </w:r>
                  <w:r>
                    <w:rPr>
                      <w:rFonts w:ascii="仿宋_GB2312" w:hAnsi="仿宋_GB2312" w:cs="仿宋_GB2312" w:eastAsia="仿宋_GB2312"/>
                      <w:sz w:val="24"/>
                      <w:b/>
                    </w:rPr>
                    <w:t>名称</w:t>
                  </w:r>
                </w:p>
              </w:tc>
              <w:tc>
                <w:tcPr>
                  <w:tcW w:type="dxa" w:w="851"/>
                </w:tcPr>
                <w:p>
                  <w:pPr>
                    <w:pStyle w:val="null3"/>
                    <w:jc w:val="center"/>
                  </w:pPr>
                  <w:r>
                    <w:rPr>
                      <w:rFonts w:ascii="仿宋_GB2312" w:hAnsi="仿宋_GB2312" w:cs="仿宋_GB2312" w:eastAsia="仿宋_GB2312"/>
                      <w:sz w:val="24"/>
                      <w:b/>
                    </w:rPr>
                    <w:t>数量</w:t>
                  </w:r>
                </w:p>
              </w:tc>
              <w:tc>
                <w:tcPr>
                  <w:tcW w:type="dxa" w:w="851"/>
                </w:tcPr>
                <w:p>
                  <w:pPr>
                    <w:pStyle w:val="null3"/>
                    <w:jc w:val="center"/>
                  </w:pPr>
                  <w:r>
                    <w:rPr>
                      <w:rFonts w:ascii="仿宋_GB2312" w:hAnsi="仿宋_GB2312" w:cs="仿宋_GB2312" w:eastAsia="仿宋_GB2312"/>
                      <w:sz w:val="24"/>
                      <w:b/>
                    </w:rPr>
                    <w:t>备注</w:t>
                  </w:r>
                </w:p>
              </w:tc>
            </w:tr>
            <w:tr>
              <w:tc>
                <w:tcPr>
                  <w:tcW w:type="dxa" w:w="851"/>
                </w:tcPr>
                <w:p>
                  <w:pPr>
                    <w:pStyle w:val="null3"/>
                    <w:jc w:val="center"/>
                  </w:pPr>
                  <w:r>
                    <w:rPr>
                      <w:rFonts w:ascii="仿宋_GB2312" w:hAnsi="仿宋_GB2312" w:cs="仿宋_GB2312" w:eastAsia="仿宋_GB2312"/>
                      <w:sz w:val="24"/>
                    </w:rPr>
                    <w:t>复杂场景先进通信技术实验平台</w:t>
                  </w:r>
                </w:p>
              </w:tc>
              <w:tc>
                <w:tcPr>
                  <w:tcW w:type="dxa" w:w="851"/>
                </w:tcPr>
                <w:p>
                  <w:pPr>
                    <w:pStyle w:val="null3"/>
                    <w:jc w:val="center"/>
                  </w:pPr>
                  <w:r>
                    <w:rPr>
                      <w:rFonts w:ascii="仿宋_GB2312" w:hAnsi="仿宋_GB2312" w:cs="仿宋_GB2312" w:eastAsia="仿宋_GB2312"/>
                      <w:sz w:val="24"/>
                    </w:rPr>
                    <w:t>1套</w:t>
                  </w:r>
                </w:p>
              </w:tc>
              <w:tc>
                <w:tcPr>
                  <w:tcW w:type="dxa" w:w="851"/>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二、参数要求</w:t>
            </w:r>
          </w:p>
          <w:p>
            <w:pPr>
              <w:pStyle w:val="null3"/>
            </w:pPr>
            <w:r>
              <w:rPr>
                <w:rFonts w:ascii="仿宋_GB2312" w:hAnsi="仿宋_GB2312" w:cs="仿宋_GB2312" w:eastAsia="仿宋_GB2312"/>
                <w:sz w:val="24"/>
                <w:b/>
              </w:rPr>
              <w:t>（一）复杂场景通信器件及无线信道综合测试系统：</w:t>
            </w:r>
            <w:r>
              <w:rPr>
                <w:rFonts w:ascii="仿宋_GB2312" w:hAnsi="仿宋_GB2312" w:cs="仿宋_GB2312" w:eastAsia="仿宋_GB2312"/>
                <w:sz w:val="24"/>
              </w:rPr>
              <w:t>具备矢量网络分析仪和频谱仪的功能；</w:t>
            </w:r>
          </w:p>
          <w:p>
            <w:pPr>
              <w:pStyle w:val="null3"/>
            </w:pPr>
            <w:r>
              <w:rPr>
                <w:rFonts w:ascii="仿宋_GB2312" w:hAnsi="仿宋_GB2312" w:cs="仿宋_GB2312" w:eastAsia="仿宋_GB2312"/>
                <w:sz w:val="24"/>
              </w:rPr>
              <w:t>具体指标有：</w:t>
            </w:r>
          </w:p>
          <w:p>
            <w:pPr>
              <w:pStyle w:val="null3"/>
            </w:pPr>
            <w:r>
              <w:rPr>
                <w:rFonts w:ascii="仿宋_GB2312" w:hAnsi="仿宋_GB2312" w:cs="仿宋_GB2312" w:eastAsia="仿宋_GB2312"/>
                <w:sz w:val="24"/>
              </w:rPr>
              <w:t>▲1 频率范围：10MHz～20GHz；</w:t>
            </w:r>
          </w:p>
          <w:p>
            <w:pPr>
              <w:pStyle w:val="null3"/>
            </w:pPr>
            <w:r>
              <w:rPr>
                <w:rFonts w:ascii="仿宋_GB2312" w:hAnsi="仿宋_GB2312" w:cs="仿宋_GB2312" w:eastAsia="仿宋_GB2312"/>
                <w:sz w:val="24"/>
              </w:rPr>
              <w:t>2 频率分辨率：≤0.1Hz；</w:t>
            </w:r>
          </w:p>
          <w:p>
            <w:pPr>
              <w:pStyle w:val="null3"/>
            </w:pPr>
            <w:r>
              <w:rPr>
                <w:rFonts w:ascii="仿宋_GB2312" w:hAnsi="仿宋_GB2312" w:cs="仿宋_GB2312" w:eastAsia="仿宋_GB2312"/>
                <w:sz w:val="24"/>
              </w:rPr>
              <w:t>3 端口数：≥2</w:t>
            </w:r>
          </w:p>
          <w:p>
            <w:pPr>
              <w:pStyle w:val="null3"/>
            </w:pPr>
            <w:r>
              <w:rPr>
                <w:rFonts w:ascii="仿宋_GB2312" w:hAnsi="仿宋_GB2312" w:cs="仿宋_GB2312" w:eastAsia="仿宋_GB2312"/>
                <w:sz w:val="24"/>
              </w:rPr>
              <w:t>▲4 中频带宽：1Hz～35MHz；</w:t>
            </w:r>
          </w:p>
          <w:p>
            <w:pPr>
              <w:pStyle w:val="null3"/>
            </w:pPr>
            <w:r>
              <w:rPr>
                <w:rFonts w:ascii="仿宋_GB2312" w:hAnsi="仿宋_GB2312" w:cs="仿宋_GB2312" w:eastAsia="仿宋_GB2312"/>
                <w:sz w:val="24"/>
              </w:rPr>
              <w:t>5 迹线噪声：≤0.002dB（0.5～20GHz）；</w:t>
            </w:r>
          </w:p>
          <w:p>
            <w:pPr>
              <w:pStyle w:val="null3"/>
            </w:pPr>
            <w:r>
              <w:rPr>
                <w:rFonts w:ascii="仿宋_GB2312" w:hAnsi="仿宋_GB2312" w:cs="仿宋_GB2312" w:eastAsia="仿宋_GB2312"/>
                <w:sz w:val="24"/>
              </w:rPr>
              <w:t>6▲最大扫描点数：≥210000点；</w:t>
            </w:r>
          </w:p>
          <w:p>
            <w:pPr>
              <w:pStyle w:val="null3"/>
            </w:pPr>
            <w:r>
              <w:rPr>
                <w:rFonts w:ascii="仿宋_GB2312" w:hAnsi="仿宋_GB2312" w:cs="仿宋_GB2312" w:eastAsia="仿宋_GB2312"/>
                <w:sz w:val="24"/>
              </w:rPr>
              <w:t>7 系统动态范围：≥130dB（0.5～20GHz）；</w:t>
            </w:r>
          </w:p>
          <w:p>
            <w:pPr>
              <w:pStyle w:val="null3"/>
            </w:pPr>
            <w:r>
              <w:rPr>
                <w:rFonts w:ascii="仿宋_GB2312" w:hAnsi="仿宋_GB2312" w:cs="仿宋_GB2312" w:eastAsia="仿宋_GB2312"/>
                <w:sz w:val="24"/>
              </w:rPr>
              <w:t>8 最大输出功率：≥13dBm；</w:t>
            </w:r>
          </w:p>
          <w:p>
            <w:pPr>
              <w:pStyle w:val="null3"/>
            </w:pPr>
            <w:r>
              <w:rPr>
                <w:rFonts w:ascii="仿宋_GB2312" w:hAnsi="仿宋_GB2312" w:cs="仿宋_GB2312" w:eastAsia="仿宋_GB2312"/>
                <w:sz w:val="24"/>
              </w:rPr>
              <w:t>9.具有面板跳线；</w:t>
            </w:r>
          </w:p>
          <w:p>
            <w:pPr>
              <w:pStyle w:val="null3"/>
            </w:pPr>
            <w:r>
              <w:rPr>
                <w:rFonts w:ascii="仿宋_GB2312" w:hAnsi="仿宋_GB2312" w:cs="仿宋_GB2312" w:eastAsia="仿宋_GB2312"/>
                <w:sz w:val="24"/>
              </w:rPr>
              <w:t>10 支持中文操作界面，具有触摸显示屏，支持多点触控；</w:t>
            </w:r>
          </w:p>
          <w:p>
            <w:pPr>
              <w:pStyle w:val="null3"/>
            </w:pPr>
            <w:r>
              <w:rPr>
                <w:rFonts w:ascii="仿宋_GB2312" w:hAnsi="仿宋_GB2312" w:cs="仿宋_GB2312" w:eastAsia="仿宋_GB2312"/>
                <w:sz w:val="24"/>
              </w:rPr>
              <w:t>11▲ 具备Windows和Linux双操作系统；</w:t>
            </w:r>
          </w:p>
          <w:p>
            <w:pPr>
              <w:pStyle w:val="null3"/>
            </w:pPr>
            <w:r>
              <w:rPr>
                <w:rFonts w:ascii="仿宋_GB2312" w:hAnsi="仿宋_GB2312" w:cs="仿宋_GB2312" w:eastAsia="仿宋_GB2312"/>
                <w:sz w:val="24"/>
              </w:rPr>
              <w:t>12 具备频谱测量分析功能，每个端口可以完成频谱图的测试，可标记带内功率，邻道功率比等功能；</w:t>
            </w:r>
          </w:p>
          <w:p>
            <w:pPr>
              <w:pStyle w:val="null3"/>
            </w:pPr>
            <w:r>
              <w:rPr>
                <w:rFonts w:ascii="仿宋_GB2312" w:hAnsi="仿宋_GB2312" w:cs="仿宋_GB2312" w:eastAsia="仿宋_GB2312"/>
                <w:sz w:val="24"/>
              </w:rPr>
              <w:t>13 具备3.5mm校准件1套，3.5mm电缆两根；</w:t>
            </w:r>
          </w:p>
          <w:p>
            <w:pPr>
              <w:pStyle w:val="null3"/>
            </w:pPr>
            <w:r>
              <w:rPr>
                <w:rFonts w:ascii="仿宋_GB2312" w:hAnsi="仿宋_GB2312" w:cs="仿宋_GB2312" w:eastAsia="仿宋_GB2312"/>
                <w:sz w:val="24"/>
              </w:rPr>
              <w:t>14.射频屏蔽系统：屏蔽效果≥30dB。</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（二）无人机及指挥调度系统：</w:t>
            </w:r>
          </w:p>
          <w:p>
            <w:pPr>
              <w:pStyle w:val="null3"/>
            </w:pPr>
            <w:r>
              <w:rPr>
                <w:rFonts w:ascii="仿宋_GB2312" w:hAnsi="仿宋_GB2312" w:cs="仿宋_GB2312" w:eastAsia="仿宋_GB2312"/>
                <w:sz w:val="24"/>
              </w:rPr>
              <w:t>1、核心架构</w:t>
            </w:r>
          </w:p>
          <w:p>
            <w:pPr>
              <w:pStyle w:val="null3"/>
            </w:pPr>
            <w:r>
              <w:rPr>
                <w:rFonts w:ascii="仿宋_GB2312" w:hAnsi="仿宋_GB2312" w:cs="仿宋_GB2312" w:eastAsia="仿宋_GB2312"/>
                <w:sz w:val="24"/>
              </w:rPr>
              <w:t>平台基于分布式流媒体服务器集群，支持动态扩容，端到端直播延迟≤1s，B/S架构，支持国产化部署。</w:t>
            </w:r>
          </w:p>
          <w:p>
            <w:pPr>
              <w:pStyle w:val="null3"/>
            </w:pPr>
            <w:r>
              <w:rPr>
                <w:rFonts w:ascii="仿宋_GB2312" w:hAnsi="仿宋_GB2312" w:cs="仿宋_GB2312" w:eastAsia="仿宋_GB2312"/>
                <w:sz w:val="24"/>
              </w:rPr>
              <w:t>2、信创与安全</w:t>
            </w:r>
          </w:p>
          <w:p>
            <w:pPr>
              <w:pStyle w:val="null3"/>
            </w:pPr>
            <w:r>
              <w:rPr>
                <w:rFonts w:ascii="仿宋_GB2312" w:hAnsi="仿宋_GB2312" w:cs="仿宋_GB2312" w:eastAsia="仿宋_GB2312"/>
                <w:sz w:val="24"/>
              </w:rPr>
              <w:t>支持国密SM2/SM4加密传输，提供操作日志接口与审计日志导出功能，可对接等保系统。</w:t>
            </w:r>
          </w:p>
          <w:p>
            <w:pPr>
              <w:pStyle w:val="null3"/>
            </w:pPr>
            <w:r>
              <w:rPr>
                <w:rFonts w:ascii="仿宋_GB2312" w:hAnsi="仿宋_GB2312" w:cs="仿宋_GB2312" w:eastAsia="仿宋_GB2312"/>
                <w:sz w:val="24"/>
              </w:rPr>
              <w:t>3、无人机实时直播与交互控制</w:t>
            </w:r>
          </w:p>
          <w:p>
            <w:pPr>
              <w:pStyle w:val="null3"/>
            </w:pPr>
            <w:r>
              <w:rPr>
                <w:rFonts w:ascii="仿宋_GB2312" w:hAnsi="仿宋_GB2312" w:cs="仿宋_GB2312" w:eastAsia="仿宋_GB2312"/>
                <w:sz w:val="24"/>
              </w:rPr>
              <w:t>支持≥50台无人机在线注册与状态监控（心跳间隔≤5s）；同时推流≥10路；支持四分屏/九分屏/十六分屏直播，点击地图标记点显示对应无人机画面，远程一键起飞/返航/降落，显示响应状态。</w:t>
            </w:r>
          </w:p>
          <w:p>
            <w:pPr>
              <w:pStyle w:val="null3"/>
            </w:pPr>
            <w:r>
              <w:rPr>
                <w:rFonts w:ascii="仿宋_GB2312" w:hAnsi="仿宋_GB2312" w:cs="仿宋_GB2312" w:eastAsia="仿宋_GB2312"/>
                <w:sz w:val="24"/>
              </w:rPr>
              <w:t>4、飞行轨迹与数据可视化</w:t>
            </w:r>
          </w:p>
          <w:p>
            <w:pPr>
              <w:pStyle w:val="null3"/>
            </w:pPr>
            <w:r>
              <w:rPr>
                <w:rFonts w:ascii="仿宋_GB2312" w:hAnsi="仿宋_GB2312" w:cs="仿宋_GB2312" w:eastAsia="仿宋_GB2312"/>
                <w:sz w:val="24"/>
              </w:rPr>
              <w:t>无人机移动时自动绘制轨迹（颜色区分高度/速度），支持导出；拍照后回传照片并显示位置/姿态数据（俯仰/横滚/偏航），列表自动刷新。</w:t>
            </w:r>
          </w:p>
          <w:p>
            <w:pPr>
              <w:pStyle w:val="null3"/>
            </w:pPr>
            <w:r>
              <w:rPr>
                <w:rFonts w:ascii="仿宋_GB2312" w:hAnsi="仿宋_GB2312" w:cs="仿宋_GB2312" w:eastAsia="仿宋_GB2312"/>
                <w:sz w:val="24"/>
              </w:rPr>
              <w:t>5、流媒体与录制点播</w:t>
            </w:r>
          </w:p>
          <w:p>
            <w:pPr>
              <w:pStyle w:val="null3"/>
            </w:pPr>
            <w:r>
              <w:rPr>
                <w:rFonts w:ascii="仿宋_GB2312" w:hAnsi="仿宋_GB2312" w:cs="仿宋_GB2312" w:eastAsia="仿宋_GB2312"/>
                <w:sz w:val="24"/>
              </w:rPr>
              <w:t>支持Web配置推流地址，APP端推流；断流自动生成MP4，支持点播/下载/回放；</w:t>
            </w:r>
          </w:p>
          <w:p>
            <w:pPr>
              <w:pStyle w:val="null3"/>
            </w:pPr>
            <w:r>
              <w:rPr>
                <w:rFonts w:ascii="仿宋_GB2312" w:hAnsi="仿宋_GB2312" w:cs="仿宋_GB2312" w:eastAsia="仿宋_GB2312"/>
                <w:sz w:val="24"/>
              </w:rPr>
              <w:t>6、高可用与扩展性</w:t>
            </w:r>
          </w:p>
          <w:p>
            <w:pPr>
              <w:pStyle w:val="null3"/>
            </w:pPr>
            <w:r>
              <w:rPr>
                <w:rFonts w:ascii="仿宋_GB2312" w:hAnsi="仿宋_GB2312" w:cs="仿宋_GB2312" w:eastAsia="仿宋_GB2312"/>
                <w:sz w:val="24"/>
              </w:rPr>
              <w:t>支持Redis 3节点集群 + 一主多从，提供API供第三方系统（GIS、应急指挥）集成；能够接入大疆（DJI）、道通智能、极飞、亿航、纵横、昊翔等品牌无人机。</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三、近场波束调控与同步验证实验系统：</w:t>
            </w:r>
            <w:r>
              <w:rPr>
                <w:rFonts w:ascii="仿宋_GB2312" w:hAnsi="仿宋_GB2312" w:cs="仿宋_GB2312" w:eastAsia="仿宋_GB2312"/>
                <w:sz w:val="24"/>
              </w:rPr>
              <w:t>包含宽带射频信号收发与采集模块；</w:t>
            </w:r>
          </w:p>
          <w:p>
            <w:pPr>
              <w:pStyle w:val="null3"/>
            </w:pPr>
            <w:r>
              <w:rPr>
                <w:rFonts w:ascii="仿宋_GB2312" w:hAnsi="仿宋_GB2312" w:cs="仿宋_GB2312" w:eastAsia="仿宋_GB2312"/>
                <w:sz w:val="24"/>
              </w:rPr>
              <w:t>1.频率范围至少覆盖：70 MHz到6 GHz</w:t>
            </w:r>
          </w:p>
          <w:p>
            <w:pPr>
              <w:pStyle w:val="null3"/>
            </w:pPr>
            <w:r>
              <w:rPr>
                <w:rFonts w:ascii="仿宋_GB2312" w:hAnsi="仿宋_GB2312" w:cs="仿宋_GB2312" w:eastAsia="仿宋_GB2312"/>
                <w:sz w:val="24"/>
              </w:rPr>
              <w:t>2.ADC分辨率：≥12 bits</w:t>
            </w:r>
          </w:p>
          <w:p>
            <w:pPr>
              <w:pStyle w:val="null3"/>
            </w:pPr>
            <w:r>
              <w:rPr>
                <w:rFonts w:ascii="仿宋_GB2312" w:hAnsi="仿宋_GB2312" w:cs="仿宋_GB2312" w:eastAsia="仿宋_GB2312"/>
                <w:sz w:val="24"/>
              </w:rPr>
              <w:t>3.ADC SFDR：≥78 dBc</w:t>
            </w:r>
          </w:p>
          <w:p>
            <w:pPr>
              <w:pStyle w:val="null3"/>
            </w:pPr>
            <w:r>
              <w:rPr>
                <w:rFonts w:ascii="仿宋_GB2312" w:hAnsi="仿宋_GB2312" w:cs="仿宋_GB2312" w:eastAsia="仿宋_GB2312"/>
                <w:sz w:val="24"/>
              </w:rPr>
              <w:t>4.DAC采样速率：≥61 MS/s</w:t>
            </w:r>
          </w:p>
          <w:p>
            <w:pPr>
              <w:pStyle w:val="null3"/>
            </w:pPr>
            <w:r>
              <w:rPr>
                <w:rFonts w:ascii="仿宋_GB2312" w:hAnsi="仿宋_GB2312" w:cs="仿宋_GB2312" w:eastAsia="仿宋_GB2312"/>
                <w:sz w:val="24"/>
              </w:rPr>
              <w:t>5.DAC分辨率：≥12 bits</w:t>
            </w:r>
          </w:p>
          <w:p>
            <w:pPr>
              <w:pStyle w:val="null3"/>
            </w:pPr>
            <w:r>
              <w:rPr>
                <w:rFonts w:ascii="仿宋_GB2312" w:hAnsi="仿宋_GB2312" w:cs="仿宋_GB2312" w:eastAsia="仿宋_GB2312"/>
                <w:sz w:val="24"/>
              </w:rPr>
              <w:t>6.与主机最大速率(16b)：≥61 MS/s（USB 3.0接口）</w:t>
            </w:r>
          </w:p>
          <w:p>
            <w:pPr>
              <w:pStyle w:val="null3"/>
            </w:pPr>
            <w:r>
              <w:rPr>
                <w:rFonts w:ascii="仿宋_GB2312" w:hAnsi="仿宋_GB2312" w:cs="仿宋_GB2312" w:eastAsia="仿宋_GB2312"/>
                <w:sz w:val="24"/>
              </w:rPr>
              <w:t>7.标准配件：电源线，电源适配器，USB 3.0数据线，天线*4</w:t>
            </w:r>
          </w:p>
          <w:p>
            <w:pPr>
              <w:pStyle w:val="null3"/>
            </w:pPr>
            <w:r>
              <w:rPr>
                <w:rFonts w:ascii="仿宋_GB2312" w:hAnsi="仿宋_GB2312" w:cs="仿宋_GB2312" w:eastAsia="仿宋_GB2312"/>
                <w:sz w:val="24"/>
              </w:rPr>
              <w:t>可实现近场波束调控、同步验证相关实验功能。</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注：</w:t>
            </w:r>
          </w:p>
          <w:p>
            <w:pPr>
              <w:pStyle w:val="null3"/>
            </w:pPr>
            <w:r>
              <w:rPr>
                <w:rFonts w:ascii="仿宋_GB2312" w:hAnsi="仿宋_GB2312" w:cs="仿宋_GB2312" w:eastAsia="仿宋_GB2312"/>
                <w:sz w:val="24"/>
              </w:rPr>
              <w:t>1、本项目上述所有参数要求均须满足或优于谈判文件要求，否则按无效文件处理。</w:t>
            </w:r>
          </w:p>
          <w:p>
            <w:pPr>
              <w:pStyle w:val="null3"/>
            </w:pPr>
            <w:r>
              <w:rPr>
                <w:rFonts w:ascii="仿宋_GB2312" w:hAnsi="仿宋_GB2312" w:cs="仿宋_GB2312" w:eastAsia="仿宋_GB2312"/>
                <w:sz w:val="24"/>
              </w:rPr>
              <w:t>2、 本项目“▲项”参数必须提供佐证材料；未提供佐证材料或提供的佐证材料无法证明参数满足的，按无效文件处理。佐证材料可为检测报告或产品彩页或官网截图或加盖生产厂家公章的技术证明材料。</w:t>
            </w:r>
          </w:p>
          <w:p>
            <w:pPr>
              <w:pStyle w:val="null3"/>
            </w:pPr>
            <w:r>
              <w:rPr>
                <w:rFonts w:ascii="仿宋_GB2312" w:hAnsi="仿宋_GB2312" w:cs="仿宋_GB2312" w:eastAsia="仿宋_GB2312"/>
                <w:sz w:val="24"/>
              </w:rPr>
              <w:t>3、未标“▲项”参数以供应商技术响应偏离表响应情况为准。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签订合同时需出示“复杂场景通信器件及无线信道综合测试系统”的合法来源证明文件(包括但不限于原厂授权或销售协议或代理协议等）。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合同签订后2个月内完成供货、安装、调试、培训</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质保期：设备验收合格后1年。 售后服务响应时间（质保期内）：即时响应（包括电话响应）；电话响应无法解决 48小时内到达现场。修复时间 96 小时内解决；如在 96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付款条件相关要求：（1）非中小企业中标付款方式：签订合同前向学校缴纳5%的履约保证金，国内产品安装调试经学校验收合格后一次性支付全款，同时缴纳的5%履约保证金无质量问题一次性无息退还。（2）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 二、投标保证金注意事项：（1）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2559647209@qq.com（邮件命名：项目编号），并将保函原件单独递交至代理机构财务；供应商应在文件中附保函复印件。保函必须由具有开具投标保函资格的单位开具；若供应商违约，开具保函单位承担连带责任；（2）投标保证金的提交金额、时间不满足招标文件要求的，投标无效；（3）投标保证金以采购代理机构到账凭证为准，供应商无需更换交纳凭证，由采购代理机构统一提供。（4）未按指定账户提交的，我公司将退回，供应商须在文件递交截止时间前按照指定账户再次提交。 三、根据法律规定中标公告只公布主要标的的名称、规格型号、数量、单价，本项目主要标的为：核心产品。 四、本项目落实《国务院办公厅关于在政府采购中实施本国产品标准及相关政策的通知》-(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供应商需在项目电子化交易系统中按要求填写《响应函》完成承诺并进行电子签章、提供直接控股和直接管理关系清单。若与其他供应商存在单位负责人为同一人或者存在直接控股、管理关系的，则谈判无效。</w:t>
            </w:r>
          </w:p>
        </w:tc>
        <w:tc>
          <w:tcPr>
            <w:tcW w:type="dxa" w:w="1661"/>
          </w:tcPr>
          <w:p>
            <w:pPr>
              <w:pStyle w:val="null3"/>
            </w:pPr>
            <w:r>
              <w:rPr>
                <w:rFonts w:ascii="仿宋_GB2312" w:hAnsi="仿宋_GB2312" w:cs="仿宋_GB2312" w:eastAsia="仿宋_GB2312"/>
              </w:rPr>
              <w:t>响应函 3供应商资格证明文件.docx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3供应商资格证明文件.docx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3供应商资格证明文件.docx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 (1)响应文件未按照谈判文件规定要求签署、盖章的； (2)不满足本谈判文件中“交货时间、交货地点、采购资金的支付方式及约定、验收标准和方法、质量保修范围和保修期”的实质性条款要求的； (3)响应有效期不足的或无有效期的； (4)报价超过谈判文件中规定的采购预算或最高限价； (5)法律、法规和谈判文件规定的其他无效情形。</w:t>
            </w:r>
          </w:p>
        </w:tc>
        <w:tc>
          <w:tcPr>
            <w:tcW w:type="dxa" w:w="1661"/>
          </w:tcPr>
          <w:p>
            <w:pPr>
              <w:pStyle w:val="null3"/>
            </w:pPr>
            <w:r>
              <w:rPr>
                <w:rFonts w:ascii="仿宋_GB2312" w:hAnsi="仿宋_GB2312" w:cs="仿宋_GB2312" w:eastAsia="仿宋_GB2312"/>
              </w:rPr>
              <w:t>响应文件封面 7节能环保.docx 6技术方案及实施方案、组织机构、售后服务承诺.docx 5技术响应与偏离表.docx 4承诺书.docx 1分项价格表.docx 标的清单 2商务部分偏离表.docx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一、谈判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二、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谈判小组应当将其作为无效投标（响应）处理。</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详见附件：3供应商资格证明文件.docx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详见附件：6技术方案及实施方案、组织机构、售后服务承诺.docx</w:t>
      </w:r>
    </w:p>
    <w:p>
      <w:pPr>
        <w:pStyle w:val="null3"/>
        <w:ind w:firstLine="960"/>
      </w:pPr>
      <w:r>
        <w:rPr>
          <w:rFonts w:ascii="仿宋_GB2312" w:hAnsi="仿宋_GB2312" w:cs="仿宋_GB2312" w:eastAsia="仿宋_GB2312"/>
        </w:rPr>
        <w:t>详见附件：7节能环保.docx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