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版本号：FHZB-202600320260511001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铜川市矿产资源总体规划（2026-2030年）编制项目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FHZB-2026003</w:t>
      </w:r>
      <w:r>
        <w:br/>
      </w:r>
      <w:r>
        <w:br/>
      </w:r>
      <w:r>
        <w:br/>
      </w:r>
    </w:p>
    <w:p>
      <w:pPr>
        <w:pStyle w:val="null3"/>
        <w:jc w:val="center"/>
        <w:outlineLvl w:val="2"/>
      </w:pPr>
      <w:r>
        <w:rPr>
          <w:rFonts w:ascii="仿宋_GB2312" w:hAnsi="仿宋_GB2312" w:cs="仿宋_GB2312" w:eastAsia="仿宋_GB2312"/>
          <w:sz w:val="28"/>
          <w:b/>
        </w:rPr>
        <w:t>铜川市地质环境监测站</w:t>
      </w:r>
    </w:p>
    <w:p>
      <w:pPr>
        <w:pStyle w:val="null3"/>
        <w:jc w:val="center"/>
        <w:outlineLvl w:val="2"/>
      </w:pPr>
      <w:r>
        <w:rPr>
          <w:rFonts w:ascii="仿宋_GB2312" w:hAnsi="仿宋_GB2312" w:cs="仿宋_GB2312" w:eastAsia="仿宋_GB2312"/>
          <w:sz w:val="28"/>
          <w:b/>
        </w:rPr>
        <w:t>陕西凡华建设项目管理有限公司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陕西凡华建设项目管理有限公司</w:t>
      </w:r>
      <w:r>
        <w:rPr>
          <w:rFonts w:ascii="仿宋_GB2312" w:hAnsi="仿宋_GB2312" w:cs="仿宋_GB2312" w:eastAsia="仿宋_GB2312"/>
        </w:rPr>
        <w:t>（以下简称“代理机构”）受</w:t>
      </w:r>
      <w:r>
        <w:rPr>
          <w:rFonts w:ascii="仿宋_GB2312" w:hAnsi="仿宋_GB2312" w:cs="仿宋_GB2312" w:eastAsia="仿宋_GB2312"/>
        </w:rPr>
        <w:t>铜川市地质环境监测站</w:t>
      </w:r>
      <w:r>
        <w:rPr>
          <w:rFonts w:ascii="仿宋_GB2312" w:hAnsi="仿宋_GB2312" w:cs="仿宋_GB2312" w:eastAsia="仿宋_GB2312"/>
        </w:rPr>
        <w:t>委托，拟对</w:t>
      </w:r>
      <w:r>
        <w:rPr>
          <w:rFonts w:ascii="仿宋_GB2312" w:hAnsi="仿宋_GB2312" w:cs="仿宋_GB2312" w:eastAsia="仿宋_GB2312"/>
        </w:rPr>
        <w:t>铜川市矿产资源总体规划（2026-2030年）编制项目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FHZB-2026003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铜川市矿产资源总体规划（2026-2030年）编制项目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省自然资源厅《陕西省自然资源厅关于全面开展“十四五”矿产资源规划总结评估及“十五五”规划编制工作的通知》（陕自然资矿保发【2025】751号）要求，在基础调查、规划实施评估、地热资源勘查开发与保护布局专题研究等的基础上，根据全市矿产资源禀赋、勘查开发，落实国家矿产资源战略，加强全市矿产资源管理，对全市的矿产资源勘查、开采、利用和保护工作进行规划部署，包括规划文本、附表、说明、附图及数据库建设等内容，完成《铜川市矿产资源总体规划（2026-2030年）》编制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采购包1（铜川市矿产资源总体规划（2026-2030年）编制项目）：属于专门面向中小企业采购。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法定代表人身份证明或法定代表人授权委托书：如授权代表投标需提供法定代表人授权委托书（附法定代表人及被授权人身份证复印件），如法定代表人直接投标须提交法定代表人身份证明（附法定代表人身份证复印件）；</w:t>
      </w:r>
    </w:p>
    <w:p>
      <w:pPr>
        <w:pStyle w:val="null3"/>
      </w:pPr>
      <w:r>
        <w:rPr>
          <w:rFonts w:ascii="仿宋_GB2312" w:hAnsi="仿宋_GB2312" w:cs="仿宋_GB2312" w:eastAsia="仿宋_GB2312"/>
        </w:rPr>
        <w:t>3、财务状况报告：提供2024或2025任一年度经审计的财务审计报告（2026年成立的公司提供成立后企业的资产负债表和利润表），或提供开标前三个月内基本存款账户开户银行开具的资信证明及基本户开户信息；</w:t>
      </w:r>
    </w:p>
    <w:p>
      <w:pPr>
        <w:pStyle w:val="null3"/>
      </w:pPr>
      <w:r>
        <w:rPr>
          <w:rFonts w:ascii="仿宋_GB2312" w:hAnsi="仿宋_GB2312" w:cs="仿宋_GB2312" w:eastAsia="仿宋_GB2312"/>
        </w:rPr>
        <w:t>4、税收缴纳证明：提供2025年05月01日至今任意一个月的缴纳税收的证明材料,(依法免税的单位应提供相关证明材料)；</w:t>
      </w:r>
    </w:p>
    <w:p>
      <w:pPr>
        <w:pStyle w:val="null3"/>
      </w:pPr>
      <w:r>
        <w:rPr>
          <w:rFonts w:ascii="仿宋_GB2312" w:hAnsi="仿宋_GB2312" w:cs="仿宋_GB2312" w:eastAsia="仿宋_GB2312"/>
        </w:rPr>
        <w:t>5、社会保障资金缴纳证明：提供2025年05月01日至今任意一个月的依法缴纳社会保障资金的证明材料（依法不需要缴纳社会保障资金的单位应提供相关证明材料）；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9、企业关联关系：单位负责人为同一人或者存在直接控股、管理关系的不同供应商不得同时参加本项目磋商；</w:t>
      </w:r>
    </w:p>
    <w:p>
      <w:pPr>
        <w:pStyle w:val="null3"/>
      </w:pPr>
      <w:r>
        <w:rPr>
          <w:rFonts w:ascii="仿宋_GB2312" w:hAnsi="仿宋_GB2312" w:cs="仿宋_GB2312" w:eastAsia="仿宋_GB2312"/>
        </w:rPr>
        <w:t>10、非联合体承诺书：本项目不接受联合体磋商(提供非联合体承诺书)。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铜川市地质环境监测站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铜川新区正阳路斯明街2号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13909196260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陕西凡华建设项目管理有限公司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陕西省西安市雁塔区朱雀大街南段6号紫郡长安小区7栋1单元28层07号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18329998557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文件规定标准收取。可以采取现金、支票、银行汇票、电汇、网银等方式，中标/成交投标人在中标（成交）结果公告发布之日起5日内，向招标代理机构缴纳招标代理服务费/中标（成交）服务费。 开户名称：陕西凡华建设项目管理有限公司，开户行：中国农业银行股份有限公司西安长丰园小区支行，银行账户：26110201040016041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铜川市地质环境监测站</w:t>
      </w:r>
      <w:r>
        <w:rPr>
          <w:rFonts w:ascii="仿宋_GB2312" w:hAnsi="仿宋_GB2312" w:cs="仿宋_GB2312" w:eastAsia="仿宋_GB2312"/>
        </w:rPr>
        <w:t>和</w:t>
      </w:r>
      <w:r>
        <w:rPr>
          <w:rFonts w:ascii="仿宋_GB2312" w:hAnsi="仿宋_GB2312" w:cs="仿宋_GB2312" w:eastAsia="仿宋_GB2312"/>
        </w:rPr>
        <w:t>陕西凡华建设项目管理有限公司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铜川市地质环境监测站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陕西凡华建设项目管理有限公司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铜川市地质环境监测站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陕西凡华建设项目管理有限公司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2）是否邀请本项目的其他供应商：否；3）是否邀请专家：是；4）是否邀请服务对象：是；5）是否邀请第三方检测机构：否；6）履约验收程序：一次性验收；7）履约验收时间：供应商提出验收申请之日起15日内组织验收；8）验收组织的其他事项：供应商提出验收申请前应将成果文件交采购人初步审核，如有不合格处及时修改。9）履约验收标准：符合国家、省市、行业标准和地方相关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联系电话：18329998557</w:t>
      </w:r>
    </w:p>
    <w:p>
      <w:pPr>
        <w:pStyle w:val="null3"/>
      </w:pPr>
      <w:r>
        <w:rPr>
          <w:rFonts w:ascii="仿宋_GB2312" w:hAnsi="仿宋_GB2312" w:cs="仿宋_GB2312" w:eastAsia="仿宋_GB2312"/>
        </w:rPr>
        <w:t>地址：陕西省西安市雁塔区朱雀大街南段6号紫郡长安小区7栋1单元28层07号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省自然资源厅《陕西省自然资源厅关于全面开展“十四五”矿产资源规划总结评估及“十五五”规划编制工作的通知》（陕自然资矿保发【2025】751号）要求，在基础调查、规划实施评估、地热资源勘查开发与保护布局专题研究等的基础上，根据全市矿产资源禀赋、勘查开发，落实国家矿产资源战略，加强全市矿产资源管理，对全市的矿产资源勘查、开采、利用和保护工作进行规划部署，包括规划文本、附表、说明、附图及数据库建设等内容，完成《铜川市矿产资源总体规划（2026-2030年）》编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铜川市矿产资源总体规划（2026-2030年）编制项目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标的名称：铜川市矿产资源总体规划（2026-2030年）编制项目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项目内容</w:t>
            </w:r>
          </w:p>
          <w:p>
            <w:pPr>
              <w:pStyle w:val="null3"/>
              <w:ind w:firstLine="560"/>
              <w:jc w:val="both"/>
            </w:pPr>
            <w:r>
              <w:rPr>
                <w:rFonts w:ascii="仿宋_GB2312" w:hAnsi="仿宋_GB2312" w:cs="仿宋_GB2312" w:eastAsia="仿宋_GB2312"/>
                <w:sz w:val="28"/>
                <w:color w:val="000000"/>
              </w:rPr>
              <w:t>按照陕西省自然资源厅《关于全面开展</w:t>
            </w:r>
            <w:r>
              <w:rPr>
                <w:rFonts w:ascii="仿宋_GB2312" w:hAnsi="仿宋_GB2312" w:cs="仿宋_GB2312" w:eastAsia="仿宋_GB2312"/>
                <w:sz w:val="28"/>
                <w:color w:val="000000"/>
              </w:rPr>
              <w:t>“十四五”矿产资源规划总结评估及“十五五”规划编制工作的通知》（陕自然资矿保发【2025】751号）要求，</w:t>
            </w:r>
            <w:r>
              <w:rPr>
                <w:rFonts w:ascii="仿宋_GB2312" w:hAnsi="仿宋_GB2312" w:cs="仿宋_GB2312" w:eastAsia="仿宋_GB2312"/>
                <w:sz w:val="28"/>
                <w:color w:val="000000"/>
              </w:rPr>
              <w:t>在基础调查、规划实施评估、地热资源勘查开发与保护布局专题研究等的基础上</w:t>
            </w:r>
            <w:r>
              <w:rPr>
                <w:rFonts w:ascii="仿宋_GB2312" w:hAnsi="仿宋_GB2312" w:cs="仿宋_GB2312" w:eastAsia="仿宋_GB2312"/>
                <w:sz w:val="28"/>
                <w:color w:val="000000"/>
              </w:rPr>
              <w:t>，根据全市矿产资源禀赋、勘查开发，落实国家矿产资源战略，加强全市矿产资源管理，对全市的矿产资源勘查、开采、利用和保护工作进行规划部署，</w:t>
            </w:r>
            <w:r>
              <w:rPr>
                <w:rFonts w:ascii="仿宋_GB2312" w:hAnsi="仿宋_GB2312" w:cs="仿宋_GB2312" w:eastAsia="仿宋_GB2312"/>
                <w:sz w:val="28"/>
                <w:color w:val="000000"/>
              </w:rPr>
              <w:t>包括规划文本、附表、说明、附图及数据库建设等内容，</w:t>
            </w:r>
            <w:r>
              <w:rPr>
                <w:rFonts w:ascii="仿宋_GB2312" w:hAnsi="仿宋_GB2312" w:cs="仿宋_GB2312" w:eastAsia="仿宋_GB2312"/>
                <w:sz w:val="28"/>
                <w:color w:val="000000"/>
              </w:rPr>
              <w:t>完成《</w:t>
            </w:r>
            <w:r>
              <w:rPr>
                <w:rFonts w:ascii="仿宋_GB2312" w:hAnsi="仿宋_GB2312" w:cs="仿宋_GB2312" w:eastAsia="仿宋_GB2312"/>
                <w:sz w:val="28"/>
                <w:color w:val="000000"/>
              </w:rPr>
              <w:t>铜川市矿产资源总体规划（</w:t>
            </w:r>
            <w:r>
              <w:rPr>
                <w:rFonts w:ascii="仿宋_GB2312" w:hAnsi="仿宋_GB2312" w:cs="仿宋_GB2312" w:eastAsia="仿宋_GB2312"/>
                <w:sz w:val="28"/>
                <w:color w:val="000000"/>
              </w:rPr>
              <w:t>2026-2030年）</w:t>
            </w:r>
            <w:r>
              <w:rPr>
                <w:rFonts w:ascii="仿宋_GB2312" w:hAnsi="仿宋_GB2312" w:cs="仿宋_GB2312" w:eastAsia="仿宋_GB2312"/>
                <w:sz w:val="28"/>
                <w:color w:val="000000"/>
              </w:rPr>
              <w:t>》编制工作。</w:t>
            </w:r>
          </w:p>
          <w:p>
            <w:pPr>
              <w:pStyle w:val="null3"/>
              <w:ind w:firstLine="562"/>
              <w:jc w:val="both"/>
            </w:pPr>
            <w:r>
              <w:rPr>
                <w:rFonts w:ascii="仿宋_GB2312" w:hAnsi="仿宋_GB2312" w:cs="仿宋_GB2312" w:eastAsia="仿宋_GB2312"/>
                <w:sz w:val="28"/>
                <w:b/>
                <w:color w:val="000000"/>
              </w:rPr>
              <w:t>二、技术要求</w:t>
            </w:r>
          </w:p>
          <w:p>
            <w:pPr>
              <w:pStyle w:val="null3"/>
              <w:ind w:firstLine="560"/>
              <w:jc w:val="both"/>
            </w:pPr>
            <w:r>
              <w:rPr>
                <w:rFonts w:ascii="仿宋_GB2312" w:hAnsi="仿宋_GB2312" w:cs="仿宋_GB2312" w:eastAsia="仿宋_GB2312"/>
                <w:sz w:val="28"/>
                <w:color w:val="000000"/>
              </w:rPr>
              <w:t>（一）工作目标</w:t>
            </w:r>
          </w:p>
          <w:p>
            <w:pPr>
              <w:pStyle w:val="null3"/>
              <w:ind w:firstLine="560"/>
              <w:jc w:val="both"/>
            </w:pPr>
            <w:r>
              <w:rPr>
                <w:rFonts w:ascii="仿宋_GB2312" w:hAnsi="仿宋_GB2312" w:cs="仿宋_GB2312" w:eastAsia="仿宋_GB2312"/>
                <w:sz w:val="28"/>
                <w:color w:val="000000"/>
              </w:rPr>
              <w:t>在全面分析基础调查、规划实施评估、地热资源勘查开发与保护布局专题研究等的基础上，根据全市矿产资源禀赋、勘查开发，落实国家矿产资源战略，加强全市矿产资源管理，对全市的矿产资源勘查、开采、利用和保护工作进行规划部署，完成《</w:t>
            </w:r>
            <w:r>
              <w:rPr>
                <w:rFonts w:ascii="仿宋_GB2312" w:hAnsi="仿宋_GB2312" w:cs="仿宋_GB2312" w:eastAsia="仿宋_GB2312"/>
                <w:sz w:val="28"/>
                <w:color w:val="000000"/>
              </w:rPr>
              <w:t>铜川市矿产资源总体规划（</w:t>
            </w:r>
            <w:r>
              <w:rPr>
                <w:rFonts w:ascii="仿宋_GB2312" w:hAnsi="仿宋_GB2312" w:cs="仿宋_GB2312" w:eastAsia="仿宋_GB2312"/>
                <w:sz w:val="28"/>
                <w:color w:val="000000"/>
              </w:rPr>
              <w:t>2026-2030年）</w:t>
            </w:r>
            <w:r>
              <w:rPr>
                <w:rFonts w:ascii="仿宋_GB2312" w:hAnsi="仿宋_GB2312" w:cs="仿宋_GB2312" w:eastAsia="仿宋_GB2312"/>
                <w:sz w:val="28"/>
                <w:color w:val="000000"/>
              </w:rPr>
              <w:t>》编制工作。</w:t>
            </w:r>
          </w:p>
          <w:p>
            <w:pPr>
              <w:pStyle w:val="null3"/>
              <w:ind w:firstLine="560"/>
              <w:jc w:val="both"/>
            </w:pPr>
            <w:r>
              <w:rPr>
                <w:rFonts w:ascii="仿宋_GB2312" w:hAnsi="仿宋_GB2312" w:cs="仿宋_GB2312" w:eastAsia="仿宋_GB2312"/>
                <w:sz w:val="28"/>
                <w:color w:val="000000"/>
              </w:rPr>
              <w:t>（二）工作内容</w:t>
            </w:r>
          </w:p>
          <w:p>
            <w:pPr>
              <w:pStyle w:val="null3"/>
              <w:ind w:firstLine="560"/>
              <w:jc w:val="both"/>
            </w:pPr>
            <w:r>
              <w:rPr>
                <w:rFonts w:ascii="仿宋_GB2312" w:hAnsi="仿宋_GB2312" w:cs="仿宋_GB2312" w:eastAsia="仿宋_GB2312"/>
                <w:sz w:val="28"/>
                <w:color w:val="000000"/>
              </w:rPr>
              <w:t>1、全面收集上轮规划期间全市矿产资源领域资料和数据。对收集到的资料和数据进行统计分析研究，在此基础上评估上轮规划目标任务的完成情况、实施成效，分析规划实施过程中存在的问题和原因。</w:t>
            </w:r>
          </w:p>
          <w:p>
            <w:pPr>
              <w:pStyle w:val="null3"/>
              <w:ind w:firstLine="560"/>
              <w:jc w:val="both"/>
            </w:pPr>
            <w:r>
              <w:rPr>
                <w:rFonts w:ascii="仿宋_GB2312" w:hAnsi="仿宋_GB2312" w:cs="仿宋_GB2312" w:eastAsia="仿宋_GB2312"/>
                <w:sz w:val="28"/>
                <w:color w:val="000000"/>
              </w:rPr>
              <w:t>2、根据全市矿产资源禀赋和经济社会发展需要，在野外调查的基础上，选择突出的问题进行专题研究，提出可行的解决方案和建议。</w:t>
            </w:r>
          </w:p>
          <w:p>
            <w:pPr>
              <w:pStyle w:val="null3"/>
              <w:ind w:firstLine="560"/>
              <w:jc w:val="both"/>
            </w:pPr>
            <w:r>
              <w:rPr>
                <w:rFonts w:ascii="仿宋_GB2312" w:hAnsi="仿宋_GB2312" w:cs="仿宋_GB2312" w:eastAsia="仿宋_GB2312"/>
                <w:sz w:val="28"/>
                <w:color w:val="000000"/>
              </w:rPr>
              <w:t>3、在充分调查研究的基础上，根据全市实际情况，提出规划的指导思想和基本原则，制定矿业经济、矿产资源勘查开采与保护、矿业高质量发展等方面的目标，对本级审批发证的矿产资源的勘查开发利用与保护活动进行详细部署和安排，提出保障规划实施的相关措施。按照相关要求，形成《</w:t>
            </w:r>
            <w:r>
              <w:rPr>
                <w:rFonts w:ascii="仿宋_GB2312" w:hAnsi="仿宋_GB2312" w:cs="仿宋_GB2312" w:eastAsia="仿宋_GB2312"/>
                <w:sz w:val="28"/>
                <w:color w:val="000000"/>
              </w:rPr>
              <w:t>铜川市矿产资源总体规划（</w:t>
            </w:r>
            <w:r>
              <w:rPr>
                <w:rFonts w:ascii="仿宋_GB2312" w:hAnsi="仿宋_GB2312" w:cs="仿宋_GB2312" w:eastAsia="仿宋_GB2312"/>
                <w:sz w:val="28"/>
                <w:color w:val="000000"/>
              </w:rPr>
              <w:t>2026-2030年）</w:t>
            </w:r>
            <w:r>
              <w:rPr>
                <w:rFonts w:ascii="仿宋_GB2312" w:hAnsi="仿宋_GB2312" w:cs="仿宋_GB2312" w:eastAsia="仿宋_GB2312"/>
                <w:sz w:val="28"/>
                <w:color w:val="000000"/>
              </w:rPr>
              <w:t>》文本、附表、附图、编制说明等成果。</w:t>
            </w:r>
          </w:p>
          <w:p>
            <w:pPr>
              <w:pStyle w:val="null3"/>
              <w:ind w:firstLine="560"/>
              <w:jc w:val="both"/>
            </w:pPr>
            <w:r>
              <w:rPr>
                <w:rFonts w:ascii="仿宋_GB2312" w:hAnsi="仿宋_GB2312" w:cs="仿宋_GB2312" w:eastAsia="仿宋_GB2312"/>
                <w:sz w:val="28"/>
                <w:color w:val="000000"/>
              </w:rPr>
              <w:t>4、根据矿产资源规划数据库建设最新要求，建设市级矿产资源规划数据库。</w:t>
            </w:r>
          </w:p>
          <w:p>
            <w:pPr>
              <w:pStyle w:val="null3"/>
              <w:ind w:firstLine="560"/>
              <w:jc w:val="both"/>
            </w:pPr>
            <w:r>
              <w:rPr>
                <w:rFonts w:ascii="仿宋_GB2312" w:hAnsi="仿宋_GB2312" w:cs="仿宋_GB2312" w:eastAsia="仿宋_GB2312"/>
                <w:sz w:val="28"/>
                <w:color w:val="000000"/>
              </w:rPr>
              <w:t>5、按照生态环境部、自然资源部相关要求，开展规划环境影响评价工作，确保矿产资源勘查开发与生态环境保护相协调。</w:t>
            </w:r>
          </w:p>
          <w:p>
            <w:pPr>
              <w:pStyle w:val="null3"/>
              <w:ind w:firstLine="562"/>
              <w:jc w:val="both"/>
            </w:pPr>
            <w:r>
              <w:rPr>
                <w:rFonts w:ascii="仿宋_GB2312" w:hAnsi="仿宋_GB2312" w:cs="仿宋_GB2312" w:eastAsia="仿宋_GB2312"/>
                <w:sz w:val="28"/>
                <w:b/>
                <w:color w:val="000000"/>
              </w:rPr>
              <w:t>三、服务要求</w:t>
            </w:r>
          </w:p>
          <w:p>
            <w:pPr>
              <w:pStyle w:val="null3"/>
              <w:ind w:firstLine="560"/>
              <w:jc w:val="both"/>
            </w:pPr>
            <w:r>
              <w:rPr>
                <w:rFonts w:ascii="仿宋_GB2312" w:hAnsi="仿宋_GB2312" w:cs="仿宋_GB2312" w:eastAsia="仿宋_GB2312"/>
                <w:sz w:val="28"/>
                <w:color w:val="000000"/>
              </w:rPr>
              <w:t>（一）保密要求</w:t>
            </w:r>
          </w:p>
          <w:p>
            <w:pPr>
              <w:pStyle w:val="null3"/>
              <w:ind w:firstLine="560"/>
              <w:jc w:val="both"/>
            </w:pPr>
            <w:r>
              <w:rPr>
                <w:rFonts w:ascii="仿宋_GB2312" w:hAnsi="仿宋_GB2312" w:cs="仿宋_GB2312" w:eastAsia="仿宋_GB2312"/>
                <w:sz w:val="28"/>
                <w:color w:val="000000"/>
              </w:rPr>
              <w:t>1、中标人应严格遵守国家有关数据安全保密的有关法律法规，确保数据安全。</w:t>
            </w:r>
          </w:p>
          <w:p>
            <w:pPr>
              <w:pStyle w:val="null3"/>
              <w:ind w:firstLine="560"/>
              <w:jc w:val="both"/>
            </w:pPr>
            <w:r>
              <w:rPr>
                <w:rFonts w:ascii="仿宋_GB2312" w:hAnsi="仿宋_GB2312" w:cs="仿宋_GB2312" w:eastAsia="仿宋_GB2312"/>
                <w:sz w:val="28"/>
                <w:color w:val="000000"/>
              </w:rPr>
              <w:t>2、中标人严格遵守采购方的保密管理规定，确保内网环境安全运行。</w:t>
            </w:r>
          </w:p>
          <w:p>
            <w:pPr>
              <w:pStyle w:val="null3"/>
              <w:ind w:firstLine="560"/>
              <w:jc w:val="both"/>
            </w:pPr>
            <w:r>
              <w:rPr>
                <w:rFonts w:ascii="仿宋_GB2312" w:hAnsi="仿宋_GB2312" w:cs="仿宋_GB2312" w:eastAsia="仿宋_GB2312"/>
                <w:sz w:val="28"/>
                <w:color w:val="000000"/>
              </w:rPr>
              <w:t>（二）人员要求</w:t>
            </w:r>
          </w:p>
          <w:p>
            <w:pPr>
              <w:pStyle w:val="null3"/>
              <w:ind w:firstLine="560"/>
              <w:jc w:val="both"/>
            </w:pPr>
            <w:r>
              <w:rPr>
                <w:rFonts w:ascii="仿宋_GB2312" w:hAnsi="仿宋_GB2312" w:cs="仿宋_GB2312" w:eastAsia="仿宋_GB2312"/>
                <w:sz w:val="28"/>
                <w:color w:val="000000"/>
              </w:rPr>
              <w:t>1、人员数量要求：为保证项目进度，投标人应确保投入本项目的工作人员数量充足，能够保证项目顺利实施。</w:t>
            </w:r>
          </w:p>
          <w:p>
            <w:pPr>
              <w:pStyle w:val="null3"/>
              <w:ind w:firstLine="560"/>
              <w:jc w:val="both"/>
            </w:pPr>
            <w:r>
              <w:rPr>
                <w:rFonts w:ascii="仿宋_GB2312" w:hAnsi="仿宋_GB2312" w:cs="仿宋_GB2312" w:eastAsia="仿宋_GB2312"/>
                <w:sz w:val="28"/>
                <w:color w:val="000000"/>
              </w:rPr>
              <w:t>2、项目负责人应具有项目所需的专业职称和相关工作经验。</w:t>
            </w:r>
          </w:p>
          <w:p>
            <w:pPr>
              <w:pStyle w:val="null3"/>
              <w:ind w:firstLine="560"/>
              <w:jc w:val="both"/>
            </w:pPr>
            <w:r>
              <w:rPr>
                <w:rFonts w:ascii="仿宋_GB2312" w:hAnsi="仿宋_GB2312" w:cs="仿宋_GB2312" w:eastAsia="仿宋_GB2312"/>
                <w:sz w:val="28"/>
                <w:color w:val="000000"/>
              </w:rPr>
              <w:t>（三）服务期限</w:t>
            </w:r>
          </w:p>
          <w:p>
            <w:pPr>
              <w:pStyle w:val="null3"/>
              <w:ind w:firstLine="560"/>
              <w:jc w:val="both"/>
            </w:pPr>
            <w:r>
              <w:rPr>
                <w:rFonts w:ascii="仿宋_GB2312" w:hAnsi="仿宋_GB2312" w:cs="仿宋_GB2312" w:eastAsia="仿宋_GB2312"/>
                <w:sz w:val="28"/>
                <w:color w:val="000000"/>
              </w:rPr>
              <w:t>合同签订后，8月底之前提交规划初稿；9月底之前根据评审意见完成修订，提交规划终稿</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（四）服务标准：</w:t>
            </w:r>
          </w:p>
          <w:p>
            <w:pPr>
              <w:pStyle w:val="null3"/>
              <w:ind w:firstLine="560"/>
              <w:jc w:val="both"/>
            </w:pPr>
            <w:r>
              <w:rPr>
                <w:rFonts w:ascii="仿宋_GB2312" w:hAnsi="仿宋_GB2312" w:cs="仿宋_GB2312" w:eastAsia="仿宋_GB2312"/>
                <w:sz w:val="28"/>
                <w:color w:val="000000"/>
              </w:rPr>
              <w:t>在工作中必须执行下述标准</w:t>
            </w:r>
            <w:r>
              <w:rPr>
                <w:rFonts w:ascii="仿宋_GB2312" w:hAnsi="仿宋_GB2312" w:cs="仿宋_GB2312" w:eastAsia="仿宋_GB2312"/>
                <w:sz w:val="28"/>
                <w:color w:val="000000"/>
              </w:rPr>
              <w:t>、规范</w:t>
            </w:r>
            <w:r>
              <w:rPr>
                <w:rFonts w:ascii="仿宋_GB2312" w:hAnsi="仿宋_GB2312" w:cs="仿宋_GB2312" w:eastAsia="仿宋_GB2312"/>
                <w:sz w:val="28"/>
                <w:color w:val="000000"/>
              </w:rPr>
              <w:t>(包括但不限于):</w:t>
            </w:r>
          </w:p>
          <w:p>
            <w:pPr>
              <w:pStyle w:val="null3"/>
              <w:ind w:firstLine="560"/>
              <w:jc w:val="both"/>
            </w:pPr>
            <w:r>
              <w:rPr>
                <w:rFonts w:ascii="仿宋_GB2312" w:hAnsi="仿宋_GB2312" w:cs="仿宋_GB2312" w:eastAsia="仿宋_GB2312"/>
                <w:sz w:val="28"/>
                <w:color w:val="000000"/>
              </w:rPr>
              <w:t>《市县级矿产资源规划编制技术要点》</w:t>
            </w:r>
          </w:p>
          <w:p>
            <w:pPr>
              <w:pStyle w:val="null3"/>
              <w:ind w:firstLine="560"/>
              <w:jc w:val="both"/>
            </w:pPr>
            <w:r>
              <w:rPr>
                <w:rFonts w:ascii="仿宋_GB2312" w:hAnsi="仿宋_GB2312" w:cs="仿宋_GB2312" w:eastAsia="仿宋_GB2312"/>
                <w:sz w:val="28"/>
                <w:color w:val="000000"/>
              </w:rPr>
              <w:t>《规划环境影响评价条例》</w:t>
            </w:r>
          </w:p>
          <w:p>
            <w:pPr>
              <w:pStyle w:val="null3"/>
              <w:ind w:firstLine="560"/>
              <w:jc w:val="both"/>
            </w:pPr>
            <w:r>
              <w:rPr>
                <w:rFonts w:ascii="仿宋_GB2312" w:hAnsi="仿宋_GB2312" w:cs="仿宋_GB2312" w:eastAsia="仿宋_GB2312"/>
                <w:sz w:val="28"/>
                <w:color w:val="000000"/>
              </w:rPr>
              <w:t>《规划环境影响评价技术导则总纲》（</w:t>
            </w:r>
            <w:r>
              <w:rPr>
                <w:rFonts w:ascii="仿宋_GB2312" w:hAnsi="仿宋_GB2312" w:cs="仿宋_GB2312" w:eastAsia="仿宋_GB2312"/>
                <w:sz w:val="28"/>
                <w:color w:val="000000"/>
              </w:rPr>
              <w:t>HJ130）</w:t>
            </w:r>
          </w:p>
          <w:p>
            <w:pPr>
              <w:pStyle w:val="null3"/>
              <w:ind w:firstLine="560"/>
              <w:jc w:val="both"/>
            </w:pPr>
            <w:r>
              <w:rPr>
                <w:rFonts w:ascii="仿宋_GB2312" w:hAnsi="仿宋_GB2312" w:cs="仿宋_GB2312" w:eastAsia="仿宋_GB2312"/>
                <w:sz w:val="28"/>
                <w:color w:val="000000"/>
              </w:rPr>
              <w:t>《生态环境状况评价技术规范》（</w:t>
            </w:r>
            <w:r>
              <w:rPr>
                <w:rFonts w:ascii="仿宋_GB2312" w:hAnsi="仿宋_GB2312" w:cs="仿宋_GB2312" w:eastAsia="仿宋_GB2312"/>
                <w:sz w:val="28"/>
                <w:color w:val="000000"/>
              </w:rPr>
              <w:t>HJ192）</w:t>
            </w:r>
          </w:p>
          <w:p>
            <w:pPr>
              <w:pStyle w:val="null3"/>
              <w:ind w:firstLine="560"/>
              <w:jc w:val="both"/>
            </w:pPr>
            <w:r>
              <w:rPr>
                <w:rFonts w:ascii="仿宋_GB2312" w:hAnsi="仿宋_GB2312" w:cs="仿宋_GB2312" w:eastAsia="仿宋_GB2312"/>
                <w:sz w:val="28"/>
                <w:color w:val="000000"/>
              </w:rPr>
              <w:t>《矿产资源规划数据库标准（</w:t>
            </w:r>
            <w:r>
              <w:rPr>
                <w:rFonts w:ascii="仿宋_GB2312" w:hAnsi="仿宋_GB2312" w:cs="仿宋_GB2312" w:eastAsia="仿宋_GB2312"/>
                <w:sz w:val="28"/>
                <w:color w:val="000000"/>
              </w:rPr>
              <w:t>DZ/T 0226-2020）》</w:t>
            </w:r>
          </w:p>
          <w:p>
            <w:pPr>
              <w:pStyle w:val="null3"/>
              <w:ind w:firstLine="560"/>
              <w:jc w:val="both"/>
            </w:pPr>
            <w:r>
              <w:rPr>
                <w:rFonts w:ascii="仿宋_GB2312" w:hAnsi="仿宋_GB2312" w:cs="仿宋_GB2312" w:eastAsia="仿宋_GB2312"/>
                <w:sz w:val="28"/>
                <w:color w:val="000000"/>
              </w:rPr>
              <w:t>《矿产资源规划数据库建设指南》</w:t>
            </w:r>
          </w:p>
          <w:p>
            <w:pPr>
              <w:pStyle w:val="null3"/>
              <w:ind w:firstLine="560"/>
              <w:jc w:val="both"/>
            </w:pPr>
            <w:r>
              <w:rPr>
                <w:rFonts w:ascii="仿宋_GB2312" w:hAnsi="仿宋_GB2312" w:cs="仿宋_GB2312" w:eastAsia="仿宋_GB2312"/>
                <w:sz w:val="28"/>
                <w:color w:val="000000"/>
              </w:rPr>
              <w:t>《矿产资源规划图示图例（</w:t>
            </w:r>
            <w:r>
              <w:rPr>
                <w:rFonts w:ascii="仿宋_GB2312" w:hAnsi="仿宋_GB2312" w:cs="仿宋_GB2312" w:eastAsia="仿宋_GB2312"/>
                <w:sz w:val="28"/>
                <w:color w:val="000000"/>
              </w:rPr>
              <w:t>DZ/T 0350-2020）》</w:t>
            </w:r>
          </w:p>
          <w:p>
            <w:pPr>
              <w:pStyle w:val="null3"/>
              <w:ind w:firstLine="560"/>
              <w:jc w:val="both"/>
            </w:pPr>
            <w:r>
              <w:rPr>
                <w:rFonts w:ascii="仿宋_GB2312" w:hAnsi="仿宋_GB2312" w:cs="仿宋_GB2312" w:eastAsia="仿宋_GB2312"/>
                <w:sz w:val="28"/>
                <w:color w:val="000000"/>
              </w:rPr>
              <w:t>《矿产资源规划数据库建设规范》</w:t>
            </w:r>
          </w:p>
          <w:p>
            <w:pPr>
              <w:pStyle w:val="null3"/>
              <w:ind w:firstLine="560"/>
              <w:jc w:val="both"/>
            </w:pPr>
            <w:r>
              <w:rPr>
                <w:rFonts w:ascii="仿宋_GB2312" w:hAnsi="仿宋_GB2312" w:cs="仿宋_GB2312" w:eastAsia="仿宋_GB2312"/>
                <w:sz w:val="28"/>
                <w:color w:val="000000"/>
              </w:rPr>
              <w:t>《矿产资源规划数据质量检查及汇交规范》</w:t>
            </w:r>
          </w:p>
          <w:p>
            <w:pPr>
              <w:pStyle w:val="null3"/>
              <w:ind w:firstLine="560"/>
              <w:jc w:val="both"/>
            </w:pPr>
            <w:r>
              <w:rPr>
                <w:rFonts w:ascii="仿宋_GB2312" w:hAnsi="仿宋_GB2312" w:cs="仿宋_GB2312" w:eastAsia="仿宋_GB2312"/>
                <w:sz w:val="28"/>
                <w:color w:val="000000"/>
              </w:rPr>
              <w:t>（五）服务依据：</w:t>
            </w:r>
          </w:p>
          <w:p>
            <w:pPr>
              <w:pStyle w:val="null3"/>
              <w:ind w:firstLine="560"/>
              <w:jc w:val="both"/>
            </w:pPr>
            <w:r>
              <w:rPr>
                <w:rFonts w:ascii="仿宋_GB2312" w:hAnsi="仿宋_GB2312" w:cs="仿宋_GB2312" w:eastAsia="仿宋_GB2312"/>
                <w:sz w:val="28"/>
                <w:color w:val="000000"/>
              </w:rPr>
              <w:t>陕西省自然资源厅</w:t>
            </w:r>
            <w:r>
              <w:rPr>
                <w:rFonts w:ascii="仿宋_GB2312" w:hAnsi="仿宋_GB2312" w:cs="仿宋_GB2312" w:eastAsia="仿宋_GB2312"/>
                <w:sz w:val="28"/>
                <w:color w:val="000000"/>
              </w:rPr>
              <w:t>《</w:t>
            </w:r>
            <w:r>
              <w:rPr>
                <w:rFonts w:ascii="仿宋_GB2312" w:hAnsi="仿宋_GB2312" w:cs="仿宋_GB2312" w:eastAsia="仿宋_GB2312"/>
                <w:sz w:val="28"/>
                <w:color w:val="000000"/>
              </w:rPr>
              <w:t>关于全面开展“十四五”矿产资源规划总结评估及“十五五”规划编制工作的通知》（陕自然资矿保发【2025】751号）</w:t>
            </w:r>
          </w:p>
          <w:p>
            <w:pPr>
              <w:pStyle w:val="null3"/>
              <w:ind w:firstLine="560"/>
              <w:jc w:val="both"/>
            </w:pPr>
            <w:r>
              <w:rPr>
                <w:rFonts w:ascii="仿宋_GB2312" w:hAnsi="仿宋_GB2312" w:cs="仿宋_GB2312" w:eastAsia="仿宋_GB2312"/>
                <w:sz w:val="28"/>
                <w:color w:val="000000"/>
              </w:rPr>
              <w:t>（六）成果资料：</w:t>
            </w:r>
          </w:p>
          <w:p>
            <w:pPr>
              <w:pStyle w:val="null3"/>
              <w:ind w:firstLine="560"/>
              <w:jc w:val="both"/>
            </w:pPr>
            <w:r>
              <w:rPr>
                <w:rFonts w:ascii="仿宋_GB2312" w:hAnsi="仿宋_GB2312" w:cs="仿宋_GB2312" w:eastAsia="仿宋_GB2312"/>
                <w:sz w:val="28"/>
                <w:color w:val="000000"/>
              </w:rPr>
              <w:t>1.提交《</w:t>
            </w:r>
            <w:r>
              <w:rPr>
                <w:rFonts w:ascii="仿宋_GB2312" w:hAnsi="仿宋_GB2312" w:cs="仿宋_GB2312" w:eastAsia="仿宋_GB2312"/>
                <w:sz w:val="28"/>
                <w:color w:val="000000"/>
              </w:rPr>
              <w:t>铜川市矿产资源总体规划（</w:t>
            </w:r>
            <w:r>
              <w:rPr>
                <w:rFonts w:ascii="仿宋_GB2312" w:hAnsi="仿宋_GB2312" w:cs="仿宋_GB2312" w:eastAsia="仿宋_GB2312"/>
                <w:sz w:val="28"/>
                <w:color w:val="000000"/>
              </w:rPr>
              <w:t>2026-2030年）</w:t>
            </w:r>
            <w:r>
              <w:rPr>
                <w:rFonts w:ascii="仿宋_GB2312" w:hAnsi="仿宋_GB2312" w:cs="仿宋_GB2312" w:eastAsia="仿宋_GB2312"/>
                <w:sz w:val="28"/>
                <w:color w:val="000000"/>
              </w:rPr>
              <w:t>》文本、附表、附图。</w:t>
            </w:r>
          </w:p>
          <w:p>
            <w:pPr>
              <w:pStyle w:val="null3"/>
              <w:ind w:firstLine="560"/>
              <w:jc w:val="both"/>
            </w:pPr>
            <w:r>
              <w:rPr>
                <w:rFonts w:ascii="仿宋_GB2312" w:hAnsi="仿宋_GB2312" w:cs="仿宋_GB2312" w:eastAsia="仿宋_GB2312"/>
                <w:sz w:val="28"/>
                <w:color w:val="000000"/>
              </w:rPr>
              <w:t>2.提交《</w:t>
            </w:r>
            <w:r>
              <w:rPr>
                <w:rFonts w:ascii="仿宋_GB2312" w:hAnsi="仿宋_GB2312" w:cs="仿宋_GB2312" w:eastAsia="仿宋_GB2312"/>
                <w:sz w:val="28"/>
                <w:color w:val="000000"/>
              </w:rPr>
              <w:t>铜川市矿产资源总体规划（</w:t>
            </w:r>
            <w:r>
              <w:rPr>
                <w:rFonts w:ascii="仿宋_GB2312" w:hAnsi="仿宋_GB2312" w:cs="仿宋_GB2312" w:eastAsia="仿宋_GB2312"/>
                <w:sz w:val="28"/>
                <w:color w:val="000000"/>
              </w:rPr>
              <w:t>2026-2030年）</w:t>
            </w:r>
            <w:r>
              <w:rPr>
                <w:rFonts w:ascii="仿宋_GB2312" w:hAnsi="仿宋_GB2312" w:cs="仿宋_GB2312" w:eastAsia="仿宋_GB2312"/>
                <w:sz w:val="28"/>
                <w:color w:val="000000"/>
              </w:rPr>
              <w:t>》编制说明。</w:t>
            </w:r>
          </w:p>
          <w:p>
            <w:pPr>
              <w:pStyle w:val="null3"/>
              <w:ind w:firstLine="560"/>
              <w:jc w:val="both"/>
            </w:pPr>
            <w:r>
              <w:rPr>
                <w:rFonts w:ascii="仿宋_GB2312" w:hAnsi="仿宋_GB2312" w:cs="仿宋_GB2312" w:eastAsia="仿宋_GB2312"/>
                <w:sz w:val="28"/>
                <w:color w:val="000000"/>
              </w:rPr>
              <w:t>3.提交《</w:t>
            </w:r>
            <w:r>
              <w:rPr>
                <w:rFonts w:ascii="仿宋_GB2312" w:hAnsi="仿宋_GB2312" w:cs="仿宋_GB2312" w:eastAsia="仿宋_GB2312"/>
                <w:sz w:val="28"/>
                <w:color w:val="000000"/>
              </w:rPr>
              <w:t>铜川市矿产资源总体规划（</w:t>
            </w:r>
            <w:r>
              <w:rPr>
                <w:rFonts w:ascii="仿宋_GB2312" w:hAnsi="仿宋_GB2312" w:cs="仿宋_GB2312" w:eastAsia="仿宋_GB2312"/>
                <w:sz w:val="28"/>
                <w:color w:val="000000"/>
              </w:rPr>
              <w:t>2026-2030年）</w:t>
            </w:r>
            <w:r>
              <w:rPr>
                <w:rFonts w:ascii="仿宋_GB2312" w:hAnsi="仿宋_GB2312" w:cs="仿宋_GB2312" w:eastAsia="仿宋_GB2312"/>
                <w:sz w:val="28"/>
                <w:color w:val="000000"/>
              </w:rPr>
              <w:t>》数据库。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具有履行合同所必需的专业技术能力人员，满足磋商文件要求，满足项目需求。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符合合同条款要求。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合同签订后，8月底之前提交规划初稿；9月底之前根据评审意见完成修订，提交规划终稿。</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行业标准和地方相关规范要求（1）服务质量必须与合同要求一致，未按合同或磋商文件要求提供服务或服务质量不能满足采购人要求，采购单位有权终止合同，甚至对供应商违约行为进行追究； （2）验收依据： ①磋商文件、响应文件、澄清表（函）； ②本合同及附件文本；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待初稿完成交付采购人后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向采购人交付经审查验收合格的终稿后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1、按《中华人民共和国民法典》中的相关条款执行。2、中标供应商未按合同要求 提供服务或服务质量不能满足技术要求的，采购人有权终止合同，并对成交单位违约行为进行追究，同时按《中华人民共和国政府采购法》及实施条例的有关规定进行处罚。（具体约定详见供需双方签订的合同）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1.落实的政府采购政策:（1）《政府采购促进中小企业发展管理办法》（财库〔2020〕46号）；（2）财政部 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 (8)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 《关于进一步加大政府采购支持中小企业力度的通知》（财库〔2022〕19号）；（12） 其他需要落实的政府采购政策。 (如有最新颁布的政府采购政策，按最新的文件执行。如需享受相关政策需提供相关证明材料）。2.本项目专门面向中小企业采购，参加政府采购活动的中小微企业应当提供《中小企业声明函》。依照&lt;财政部、司法部关于政府采购支持监狱企业发展有关问题的通知&gt;（财库〔2014〕68号）之规定，在政府采购活动时，监狱企业视同小型、微型企业，供应商为监狱企业的，应当提供由省级以上监狱管理局、戒毒管理局（含新疆生产建设兵团）出具的属于监狱企业的证明文件。残疾人福利性单位视同小型、微型企业，符合条件的残疾人福利性单位在参加政府采购活动时，应当提供《财政部、民政部、中国残疾人联合会关于促进残疾人就业政府采购政策的通知》（财库〔2017〕141号）规定的《残疾人福利性单位声明函》。以上未提供相应证明或提供不符合要求的，在评审时不享受政府采购优惠政策。3.按《工业和信息化部、国家统计局、国家发展和改革委员会、财政部关于印发&lt;中小企业划型标准规定&gt;的通知》（工信部联企业【2011】300 号）文件规定，本项目所属行业为：其他未列明行业；从业人员300人以下的为中小微型企业。其中，从业人员100人及以上的为中型企业;从业人员10人及以上的为小型企业;从业人员10人以下的为微型企业。 4、为保障政府采购电子化交易平台项目实施，供应商需要在线提交所有通过电子化交易平台实施的政府采购项目的响应文件，中标（成交）后中标（成交）供应商需在2个工作日内提供纸质响应文件正本一套、副本二套（电子版文件二份含完整的电子文件PDF版本），纸质响应文件应通过专用制作软件直接打印，确保与项目电子化交易系统中的电子响应文件保持一致，不允许修改和补充。递交文件地点：铜川市王益区红旗街正大国际新城C座502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开标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如授权代表投标需提供法定代表人授权委托书（附法定代表人及被授权人身份证复印件），如法定代表人直接投标须提交法定代表人身份证明（附法定代表人身份证复印件）；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提供2024或2025任一年度经审计的财务审计报告（2026年成立的公司提供成立后企业的资产负债表和利润表），或提供开标前三个月内基本存款账户开户银行开具的资信证明及基本户开户信息；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提供2025年05月01日至今任意一个月的缴纳税收的证明材料,(依法免税的单位应提供相关证明材料)；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提供2025年05月01日至今任意一个月的依法缴纳社会保障资金的证明材料（依法不需要缴纳社会保障资金的单位应提供相关证明材料）；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本项目不接受联合体磋商(提供非联合体承诺书)。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 （响应）报价&lt;采购项目最高限价×45%； （4）评审委员会基于专业判断，认为供应商报价过低，有可能影响产品质量或者不能诚信履约的其他情形。 4.评审委员会启动异常低价投标（响应）审查后，属于前述第1项至第4项情形 的，应当要求相关供应商在评审现场合理的时间内对投标（响应）价格作出解释，提供项目具体成本测算等与报价合理性相关的书面说明及必要的证明材料，包括但不限于原材料成本、人工成本、制造费用等，给予相关供应商的 合理时间为30分钟。其中，属于第3项情形，供应商已随投标（响应）文件一并提交相关书面说明及必要的证明材料的，在评审现场可不再重复提交。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有效性及响应性评审</w:t>
            </w:r>
          </w:p>
        </w:tc>
        <w:tc>
          <w:tcPr>
            <w:tcW w:type="dxa" w:w="3322"/>
          </w:tcPr>
          <w:p>
            <w:pPr>
              <w:pStyle w:val="null3"/>
            </w:pPr>
            <w:r>
              <w:rPr>
                <w:rFonts w:ascii="仿宋_GB2312" w:hAnsi="仿宋_GB2312" w:cs="仿宋_GB2312" w:eastAsia="仿宋_GB2312"/>
              </w:rPr>
              <w:t>（1）响应文件的签署盖章及格式：磋商文件要求必须响应的内容齐全，有格式要求的按要求提供；供应商名称需与公章名称一致，要求签字或盖章的，按文件规定签字或盖章齐全；（2）报价唯一：只能有一个有效报价，不得提交选择性报价，且报价不超过采购预算和最高限价；（3）服务期限、服务地点： 应满足磋商文件的要求；（4）响应有效期：应满足磋商文件中的规定；（5）其他：不能有任何采购人不能接受的附加条件。</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响应文件封面 残疾人福利性单位声明函 拒绝政府采购领域商业贿赂承诺书.docx 标的清单 供应商资格证明文件.docx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1、评审内容：供应商针对本项目提供完整的项目实施方案，内容包含：①对本项目的建设背景、目标和内容理解分析，能充分体现项目需求；②内控管理制度；③实施进度计划；④应急保障措施；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①对本项目的建设背景、目标和内容理解分析，能充分体现项目需求；每完全满足一个评审标准得1分，满分3分，未提供不得分； ②内控管理制度；每完全满足一个评审标准得1分，满分3分，未提供不得分； ③实施进度计划；每完全满足一个评审标准得1分，满分3分，未提供不得分； ④应急保障措施；每完全满足一个评审标准得1分，满分3分，未提供不得分；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技术目标及内容</w:t>
            </w:r>
          </w:p>
        </w:tc>
        <w:tc>
          <w:tcPr>
            <w:tcW w:type="dxa" w:w="2492"/>
          </w:tcPr>
          <w:p>
            <w:pPr>
              <w:pStyle w:val="null3"/>
            </w:pPr>
            <w:r>
              <w:rPr>
                <w:rFonts w:ascii="仿宋_GB2312" w:hAnsi="仿宋_GB2312" w:cs="仿宋_GB2312" w:eastAsia="仿宋_GB2312"/>
              </w:rPr>
              <w:t>1、评审内容：本项目实施过程中技术目标及内容包括①规划实施评估研究，确保规划实施评估数据完整，问题分析深入，经验总结到位；②重点区域矿产勘查开发与布局优化研究，确保区域划分科学、勘查开发布局合理，产业联动规划完整；③规划管控政策研究，针对矿产资源开发利用中的突出问题（如乱采滥挖、生态修复滞后等），制定针对性（如政策与问题匹配）、可行性（政策内容符合国家法律法规及陕西省相关要求，且考虑经济社会发展实际，政策落地实施条件成熟）、政策保障措施（如资金保障、监管机制、考核评价机制等），保障措施覆盖政策实施全流程；④矿业绿色高质量发展研究，如绿色矿山建设规划、资源循环利用方案、生态修复规划；⑤数据库建设重点工作，数据录入完整、数据更新及时、数据库易用；⑥规划环评专题研究，如环评范围全面性、环境影响预测准确性、环境影响预测准确性； 2、评审标准： ①完整性：方案须全面，对评审内容中的各项要求有详细描述及说明； ②可实施性：切合本项目实际情况，实施步骤清晰、科学、合理； ③针对性：方案能够紧扣项目实际情况，内容全面、科学合理、详细具体。:3、赋分标准： ①规划实施评估研究，确保规划实施评估数据完整，问题分析深入，经验总结到位；每完全满足一个评审标准得2分，满分6分，未提供不得分； ②重点区域矿产勘查开发与布局优化研究，确保区域划分科学、勘查开发布局合理，产业联动规划完整；每完全满足一个评审标准得2分，满分6分，未提供不得分； ③规划管控政策研究，针对矿产资源开发利用中的突出问题（如乱采滥挖、生态修复滞后等），制定针对性（如政策与问题匹配）、可行性（政策内容符合国家法律法规及陕西省相关要求，且考虑经济社会发展实际，政策落地实施条件成熟）、政策保障措施（如资金保障、监管机制、考核评价机制等），保障措施覆盖政策实施全流程；每完全满足一个评审标准得2分，满分6分，未提供不得分； ④矿业绿色高质量发展研究，如绿色矿山建设规划、资源循环利用方案、生态修复规划；每完全满足一个评审标准得2分，满分6分，未提供不得分； ⑤数据库建设重点工作，数据录入完整、数据更新及时、数据库易用。每完全满足一个评审标准得2分，满分6分，未提供不得分；⑥规划环评专题研究，如环评范围全面性、环境影响预测准确性、环境影响预测准确性；每完全满足一个评审标准得2分，满分6分，未提供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技术难点及解决方案</w:t>
            </w:r>
          </w:p>
        </w:tc>
        <w:tc>
          <w:tcPr>
            <w:tcW w:type="dxa" w:w="2492"/>
          </w:tcPr>
          <w:p>
            <w:pPr>
              <w:pStyle w:val="null3"/>
            </w:pPr>
            <w:r>
              <w:rPr>
                <w:rFonts w:ascii="仿宋_GB2312" w:hAnsi="仿宋_GB2312" w:cs="仿宋_GB2312" w:eastAsia="仿宋_GB2312"/>
              </w:rPr>
              <w:t>1、评审内容：根据项目实际情况全面分析本项目技术难点，并对其技术难点给出科学合理的解决方案；2、评审标准：①完整性：方案须全面，对评审内容中的各项要求有详细描述及说明； ②可实施性：切合本项目实际情况，实施步骤清晰、科学、合理； ③针对性：方案能够紧扣项目实际情况，内容全面、科学合理、详细具体。 3、赋分标准：根据项目实际情况全面分析本项目技术难点，并对其技术难点给出科学合理的解决方案；每完全满足一个评审标准得分2分，满分6分，未提供不得分；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1、评审内容：根据项目实际需求，提供质量保证方案。内容包含①质量保证目标及任务；②质量保证方法及措施； 2、评审标准 ：①完整性：方案须全面，对评审内容中的各项要求有详细描述及说明； ②可实施性：切合本项目实际情况，实施步骤清晰、科学、合理； ③针对性：方案能够紧扣项目实际情况，内容全面、科学合理、详细具体。:3、赋分标准：①质量保证目标及任务：每完全满足一个评审标准得1分，满分3分，未提供不得分； ②质量保证方法及措施：每完全满足一个评审标准得1分，满分3分，未提供不得分；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1、评审内容：供应商根据本项目的服务内容，做出切实可行的服务承诺，确保项目能按时按质完成，达到服务要求且能保证项目质量。 2、评审标准：①完整性：承诺内容清晰、承诺指标明确，后续服务具有可延续性。 ②可实施性：切合本项目实际情况，实施步骤清晰、科学、合理； ③针对性：方案能够紧扣项目实际情况，内容全面、科学合理、详细具体。 3、赋分标准：供应商根据本项目的服务内容，做出切实可行的服务承诺，确保项目能按时按质完成，达到服务要求且能保证项目质量。每完全满足一个评审标准得1分，满分3分，未提供不得分；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1、评审内容：供应商根据本项目服务内容制定科学、合理的保密措施； 2、评审标准：①完整性：有完善的保密机制或具备保密能力，保密措施完善、承诺满足项目需求。 ②可实施性：切合本项目实际情况，实施步骤清晰、科学、合理； ③针对性：承诺参与本次项目的所有实施人员必须与采购人签订保密协议，确保信息数据不外泄。 3、赋分标准：供应商根据本项目服务内容制定科学、合理的保密措施；每完全满足一个评审标准得1.5 分，满分4.5分，未提供不得分；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资料档案管理</w:t>
            </w:r>
          </w:p>
        </w:tc>
        <w:tc>
          <w:tcPr>
            <w:tcW w:type="dxa" w:w="2492"/>
          </w:tcPr>
          <w:p>
            <w:pPr>
              <w:pStyle w:val="null3"/>
            </w:pPr>
            <w:r>
              <w:rPr>
                <w:rFonts w:ascii="仿宋_GB2312" w:hAnsi="仿宋_GB2312" w:cs="仿宋_GB2312" w:eastAsia="仿宋_GB2312"/>
              </w:rPr>
              <w:t>1、评审内容：根据本项目制定详细的资料档案管理及移交方案 ； 2、评审标准：①完整性：方案须全面，对评审内容中的各项要求有详细描述及说明； ②可实施性：切合本项目实际情况，实施步骤清晰、科学、合理； ③针对性：方案能够紧扣项目实际情况，内容全面、科学合理、详细具体。 3、赋分标准：根据本项目制定详细的资料档案管理及移交方案；每完全满足一个评审标准得1分，满分3分，未提供不得分；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1、评审内容：供应商需结合本项目的实际情况提出有益于本项目在技术、质量、进度或管理等方面进行改进的合理化建议；2、评审标准：①完整性：方案须全面，对评审内容中的各项要求有详细描述及说明； ②可实施性：切合本项目实际情况，实施步骤清晰、科学、合理； ③针对性：方案能够紧扣项目实际情况，内容全面、科学合理、详细具体；3、赋分标准：供应商需结合本项目的实际情况提出有益于本项目在技术、质量、进度或管理等方面进行改进的合理化建议，每完全满足一个评审标准得1.5分。满分4.5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（1）项目负责人要求（3分）：具有相关专业高级及以上职称得3分，其他不得分； （2）其他人员基本要求（5分）：开展本项目的相关专业中级及以上职称的技术人员不少于5名，（不包括项目负责人），满足基本要求得5分，每少1人扣1分扣完为止。 （3）项目实施团队（5分），技术人员中（5人基础上，不包括项目负责人）每增加1名中级及以上职称的技术人员加1分，本项满分5分。 （注：响应文件中需提供以上所有人员相应证书复印件或扫描件及相关人员在本单位的社保缴纳证明，退休人员提供合同证明文件，专业类别应涵盖地质、测绘、规划、环境等专业，证明材料需加盖供应商公章。未按要求提供证明材料的不得分；复印件或扫描件需清晰完整，否则造成的不予认可结果投标供应商自行负责）</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2021年05月01日至今期间任意时段已完成的类似项目业绩，每提供一份得1分，最高2分。 评审依据：以加盖投标单位公章的业绩合同或协议书复印件或扫描件为准，时间以合同或协议书签订日期为准。响应文件中所附合同或协议复印件或扫描件需清晰完整，否则造成的不予认可结果投标供应商自行负责。</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磋商基准价/最后磋商报价）×价格权值 （即10%）×100（保留小数点后两位）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