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版本号：ZX2026-06-8320260729001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掘锚机实体模型及控制台项目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ZX2026-06-83</w:t>
      </w:r>
      <w:r>
        <w:br/>
      </w:r>
      <w:r>
        <w:br/>
      </w:r>
      <w:r>
        <w:br/>
      </w:r>
    </w:p>
    <w:p>
      <w:pPr>
        <w:pStyle w:val="null3"/>
        <w:jc w:val="center"/>
        <w:outlineLvl w:val="2"/>
      </w:pPr>
      <w:r>
        <w:rPr>
          <w:rFonts w:ascii="仿宋_GB2312" w:hAnsi="仿宋_GB2312" w:cs="仿宋_GB2312" w:eastAsia="仿宋_GB2312"/>
          <w:sz w:val="28"/>
          <w:b/>
        </w:rPr>
        <w:t>陕西能源职业技术学院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陕西能源职业技术学院</w:t>
      </w:r>
      <w:r>
        <w:rPr>
          <w:rFonts w:ascii="仿宋_GB2312" w:hAnsi="仿宋_GB2312" w:cs="仿宋_GB2312" w:eastAsia="仿宋_GB2312"/>
        </w:rPr>
        <w:t>委托，拟对</w:t>
      </w:r>
      <w:r>
        <w:rPr>
          <w:rFonts w:ascii="仿宋_GB2312" w:hAnsi="仿宋_GB2312" w:cs="仿宋_GB2312" w:eastAsia="仿宋_GB2312"/>
        </w:rPr>
        <w:t>掘锚机实体模型及控制台项目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ZX2026-06-83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掘锚机实体模型及控制台项目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本项目为掘锚机实体模型及控制台项目。1项。具体详见招标文件第三章。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陕西能源职业技术学院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咸阳市文林路中段29号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710127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029-33665117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李雨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采购包1保证金金额：10,683.00元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应在收到中标(成交)通知书后、合同签订前5个工作日内，向采购人提交合同总价5%的履约保证金；2、设备到货并由采购人最终验收合格后，采购人在收到供应商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代理服务费收费标准：参照国家计委计价格[2002]1980号及发改办价格[2003]857号通知规定下浮15%，由中标人支付代理服务费。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陕西能源职业技术学院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陕西能源职业技术学院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陕西能源职业技术学院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按招标文件、投标文件及合同约定执行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联系人：崔文、祁鑫</w:t>
      </w:r>
    </w:p>
    <w:p>
      <w:pPr>
        <w:pStyle w:val="null3"/>
      </w:pPr>
      <w:r>
        <w:rPr>
          <w:rFonts w:ascii="仿宋_GB2312" w:hAnsi="仿宋_GB2312" w:cs="仿宋_GB2312" w:eastAsia="仿宋_GB2312"/>
        </w:rPr>
        <w:t>联系电话：029-88110800转8032</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本项目为掘锚机实体模型及控制台项目。1项。具体详见招标文件第三章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掘锚机实体模型及控制台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标的名称：掘锚机实体模型及控制台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b/>
              </w:rPr>
              <w:t>产品清单：</w:t>
            </w:r>
            <w:r>
              <w:br/>
            </w:r>
            <w:r>
              <w:rPr>
                <w:rFonts w:ascii="仿宋_GB2312" w:hAnsi="仿宋_GB2312" w:cs="仿宋_GB2312" w:eastAsia="仿宋_GB2312"/>
                <w:sz w:val="24"/>
                <w:b/>
              </w:rPr>
              <w:t>一、模拟掘进巷道</w:t>
            </w:r>
            <w:r>
              <w:br/>
            </w:r>
            <w:r>
              <w:rPr>
                <w:rFonts w:ascii="仿宋_GB2312" w:hAnsi="仿宋_GB2312" w:cs="仿宋_GB2312" w:eastAsia="仿宋_GB2312"/>
              </w:rPr>
              <w:t xml:space="preserve">  </w:t>
            </w:r>
          </w:p>
          <w:tbl>
            <w:tblPr>
              <w:tblInd w:type="dxa" w:w="135"/>
              <w:tblBorders>
                <w:top w:val="none" w:color="000000" w:sz="4"/>
                <w:left w:val="none" w:color="000000" w:sz="4"/>
                <w:bottom w:val="none" w:color="000000" w:sz="4"/>
                <w:right w:val="none" w:color="000000" w:sz="4"/>
                <w:insideH w:val="none"/>
                <w:insideV w:val="none"/>
              </w:tblBorders>
            </w:tblPr>
            <w:tblGrid>
              <w:gridCol w:w="255"/>
              <w:gridCol w:w="1414"/>
              <w:gridCol w:w="259"/>
              <w:gridCol w:w="268"/>
              <w:gridCol w:w="356"/>
            </w:tblGrid>
            <w:tr>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jc w:val="center"/>
                  </w:pPr>
                  <w:r>
                    <w:rPr>
                      <w:rFonts w:ascii="仿宋_GB2312" w:hAnsi="仿宋_GB2312" w:cs="仿宋_GB2312" w:eastAsia="仿宋_GB2312"/>
                      <w:sz w:val="21"/>
                      <w:b/>
                    </w:rPr>
                    <w:t>序号</w:t>
                  </w:r>
                </w:p>
              </w:tc>
              <w:tc>
                <w:tcPr>
                  <w:tcW w:type="dxa" w:w="1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jc w:val="center"/>
                  </w:pPr>
                  <w:r>
                    <w:rPr>
                      <w:rFonts w:ascii="仿宋_GB2312" w:hAnsi="仿宋_GB2312" w:cs="仿宋_GB2312" w:eastAsia="仿宋_GB2312"/>
                      <w:sz w:val="21"/>
                      <w:b/>
                    </w:rPr>
                    <w:t>设备名称</w:t>
                  </w:r>
                </w:p>
              </w:tc>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模拟掘进巷道</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掘锚一体机仿真实操装置</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105"/>
                    <w:jc w:val="center"/>
                  </w:pPr>
                  <w:r>
                    <w:rPr>
                      <w:rFonts w:ascii="仿宋_GB2312" w:hAnsi="仿宋_GB2312" w:cs="仿宋_GB2312" w:eastAsia="仿宋_GB2312"/>
                      <w:sz w:val="21"/>
                    </w:rPr>
                    <w:t>核心产品</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掘锚一体机培训考核系统</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掘锚一体机显示系统</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掘锚一体机小模型</w:t>
                  </w:r>
                </w:p>
                <w:p>
                  <w:pPr>
                    <w:pStyle w:val="null3"/>
                    <w:jc w:val="center"/>
                  </w:pPr>
                  <w:r>
                    <w:rPr>
                      <w:rFonts w:ascii="仿宋_GB2312" w:hAnsi="仿宋_GB2312" w:cs="仿宋_GB2312" w:eastAsia="仿宋_GB2312"/>
                      <w:sz w:val="21"/>
                    </w:rPr>
                    <w:t>尺寸：长</w:t>
                  </w:r>
                  <w:r>
                    <w:rPr>
                      <w:rFonts w:ascii="仿宋_GB2312" w:hAnsi="仿宋_GB2312" w:cs="仿宋_GB2312" w:eastAsia="仿宋_GB2312"/>
                      <w:sz w:val="21"/>
                    </w:rPr>
                    <w:t>1m×</w:t>
                  </w:r>
                  <w:r>
                    <w:rPr>
                      <w:rFonts w:ascii="仿宋_GB2312" w:hAnsi="仿宋_GB2312" w:cs="仿宋_GB2312" w:eastAsia="仿宋_GB2312"/>
                      <w:sz w:val="21"/>
                    </w:rPr>
                    <w:t>宽</w:t>
                  </w:r>
                  <w:r>
                    <w:rPr>
                      <w:rFonts w:ascii="仿宋_GB2312" w:hAnsi="仿宋_GB2312" w:cs="仿宋_GB2312" w:eastAsia="仿宋_GB2312"/>
                      <w:sz w:val="21"/>
                    </w:rPr>
                    <w:t>0.35m×</w:t>
                  </w:r>
                  <w:r>
                    <w:rPr>
                      <w:rFonts w:ascii="仿宋_GB2312" w:hAnsi="仿宋_GB2312" w:cs="仿宋_GB2312" w:eastAsia="仿宋_GB2312"/>
                      <w:sz w:val="21"/>
                    </w:rPr>
                    <w:t>高</w:t>
                  </w:r>
                  <w:r>
                    <w:rPr>
                      <w:rFonts w:ascii="仿宋_GB2312" w:hAnsi="仿宋_GB2312" w:cs="仿宋_GB2312" w:eastAsia="仿宋_GB2312"/>
                      <w:sz w:val="21"/>
                    </w:rPr>
                    <w:t>0.33m</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r>
                    <w:rPr>
                      <w:rFonts w:ascii="仿宋_GB2312" w:hAnsi="仿宋_GB2312" w:cs="仿宋_GB2312" w:eastAsia="仿宋_GB2312"/>
                      <w:sz w:val="21"/>
                    </w:rPr>
                    <w:t>工位</w:t>
                  </w:r>
                  <w:r>
                    <w:rPr>
                      <w:rFonts w:ascii="仿宋_GB2312" w:hAnsi="仿宋_GB2312" w:cs="仿宋_GB2312" w:eastAsia="仿宋_GB2312"/>
                      <w:sz w:val="21"/>
                    </w:rPr>
                    <w:t>操作</w:t>
                  </w:r>
                  <w:r>
                    <w:rPr>
                      <w:rFonts w:ascii="仿宋_GB2312" w:hAnsi="仿宋_GB2312" w:cs="仿宋_GB2312" w:eastAsia="仿宋_GB2312"/>
                      <w:sz w:val="21"/>
                    </w:rPr>
                    <w:t>台（长</w:t>
                  </w:r>
                  <w:r>
                    <w:rPr>
                      <w:rFonts w:ascii="仿宋_GB2312" w:hAnsi="仿宋_GB2312" w:cs="仿宋_GB2312" w:eastAsia="仿宋_GB2312"/>
                      <w:sz w:val="21"/>
                    </w:rPr>
                    <w:t>1200mm</w:t>
                  </w:r>
                  <w:r>
                    <w:rPr>
                      <w:rFonts w:ascii="仿宋_GB2312" w:hAnsi="仿宋_GB2312" w:cs="仿宋_GB2312" w:eastAsia="仿宋_GB2312"/>
                      <w:sz w:val="21"/>
                    </w:rPr>
                    <w:t>高度</w:t>
                  </w:r>
                  <w:r>
                    <w:rPr>
                      <w:rFonts w:ascii="仿宋_GB2312" w:hAnsi="仿宋_GB2312" w:cs="仿宋_GB2312" w:eastAsia="仿宋_GB2312"/>
                      <w:sz w:val="21"/>
                    </w:rPr>
                    <w:t>750mm</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矿用隔爆兼本质安全型多回路真空电磁起动器</w:t>
                  </w:r>
                  <w:r>
                    <w:rPr>
                      <w:rFonts w:ascii="仿宋_GB2312" w:hAnsi="仿宋_GB2312" w:cs="仿宋_GB2312" w:eastAsia="仿宋_GB2312"/>
                      <w:sz w:val="21"/>
                    </w:rPr>
                    <w:t>QJZ-480/1140(660)-4</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120</w:t>
                  </w:r>
                  <w:r>
                    <w:rPr>
                      <w:rFonts w:ascii="仿宋_GB2312" w:hAnsi="仿宋_GB2312" w:cs="仿宋_GB2312" w:eastAsia="仿宋_GB2312"/>
                      <w:sz w:val="21"/>
                    </w:rPr>
                    <w:t>）</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矿用隔爆兼本质安全型真空电磁起动器</w:t>
                  </w:r>
                  <w:r>
                    <w:rPr>
                      <w:rFonts w:ascii="仿宋_GB2312" w:hAnsi="仿宋_GB2312" w:cs="仿宋_GB2312" w:eastAsia="仿宋_GB2312"/>
                      <w:sz w:val="21"/>
                    </w:rPr>
                    <w:t>QJZ-400</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矿用隔爆兼本质安全型低压永磁机构真空馈电开关</w:t>
                  </w:r>
                  <w:r>
                    <w:rPr>
                      <w:rFonts w:ascii="仿宋_GB2312" w:hAnsi="仿宋_GB2312" w:cs="仿宋_GB2312" w:eastAsia="仿宋_GB2312"/>
                      <w:sz w:val="21"/>
                    </w:rPr>
                    <w:t>KJZ-200/1140(660)Y</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0</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矿用隔爆兼本质安全型低压永磁机构真空馈电开关</w:t>
                  </w:r>
                  <w:r>
                    <w:rPr>
                      <w:rFonts w:ascii="仿宋_GB2312" w:hAnsi="仿宋_GB2312" w:cs="仿宋_GB2312" w:eastAsia="仿宋_GB2312"/>
                      <w:sz w:val="21"/>
                    </w:rPr>
                    <w:t>KJZ-400/1140(660)Y</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1</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矿用隔爆兼本质安全型低压永磁机构真空馈电开关</w:t>
                  </w:r>
                  <w:r>
                    <w:rPr>
                      <w:rFonts w:ascii="仿宋_GB2312" w:hAnsi="仿宋_GB2312" w:cs="仿宋_GB2312" w:eastAsia="仿宋_GB2312"/>
                      <w:sz w:val="21"/>
                    </w:rPr>
                    <w:t>KJZ-630/1140(660)Y</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2</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矿用隔爆兼本质安全型低压永磁机构真空馈电开关</w:t>
                  </w:r>
                  <w:r>
                    <w:rPr>
                      <w:rFonts w:ascii="仿宋_GB2312" w:hAnsi="仿宋_GB2312" w:cs="仿宋_GB2312" w:eastAsia="仿宋_GB2312"/>
                      <w:sz w:val="21"/>
                    </w:rPr>
                    <w:t>KJZ-500/1140(660)Y</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3</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矿用隔爆兼本质安全型低压永磁机构真空馈电开关</w:t>
                  </w:r>
                  <w:r>
                    <w:rPr>
                      <w:rFonts w:ascii="仿宋_GB2312" w:hAnsi="仿宋_GB2312" w:cs="仿宋_GB2312" w:eastAsia="仿宋_GB2312"/>
                      <w:sz w:val="21"/>
                    </w:rPr>
                    <w:t>KJZ-1000/1140(660)Y</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电气开关柜及工具</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rPr>
              <w:t>巷道断面需为矩形断面，方钢骨架，巷道煤壁表面需采用环氧树脂注塑浮雕，体现锚网、锚杆支护形式。锚网支护（尼龙网）、隔爆水袋（</w:t>
            </w:r>
            <w:r>
              <w:rPr>
                <w:rFonts w:ascii="仿宋_GB2312" w:hAnsi="仿宋_GB2312" w:cs="仿宋_GB2312" w:eastAsia="仿宋_GB2312"/>
                <w:sz w:val="24"/>
              </w:rPr>
              <w:t>PVC不燃塑料）。巷道附属设施：电缆挂钩（6连勾）、部分管线（由PE管组成）等。防潮设施良好，保障各类设备长期停放及正常运转。</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1）辅助隔爆水棚（防止爆炸事故的扩大）</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2）矿井压风供水自救装置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3）局部通风机型号YBT两台及风筒</w:t>
            </w:r>
          </w:p>
          <w:p>
            <w:pPr>
              <w:pStyle w:val="null3"/>
              <w:ind w:firstLine="480"/>
              <w:jc w:val="both"/>
            </w:pPr>
            <w:r>
              <w:rPr>
                <w:rFonts w:ascii="仿宋_GB2312" w:hAnsi="仿宋_GB2312" w:cs="仿宋_GB2312" w:eastAsia="仿宋_GB2312"/>
                <w:sz w:val="24"/>
              </w:rPr>
              <w:t>规格：壁帮长</w:t>
            </w:r>
            <w:r>
              <w:rPr>
                <w:rFonts w:ascii="仿宋_GB2312" w:hAnsi="仿宋_GB2312" w:cs="仿宋_GB2312" w:eastAsia="仿宋_GB2312"/>
                <w:sz w:val="24"/>
              </w:rPr>
              <w:t>10m；矩形断面2m*2m（巷道为半敞开是巷道）</w:t>
            </w:r>
          </w:p>
          <w:p>
            <w:pPr>
              <w:pStyle w:val="null3"/>
              <w:jc w:val="both"/>
              <w:outlineLvl w:val="0"/>
            </w:pPr>
            <w:r>
              <w:rPr>
                <w:rFonts w:ascii="仿宋_GB2312" w:hAnsi="仿宋_GB2312" w:cs="仿宋_GB2312" w:eastAsia="仿宋_GB2312"/>
                <w:sz w:val="24"/>
                <w:b/>
              </w:rPr>
              <w:t>二、掘锚一体机模型</w:t>
            </w:r>
          </w:p>
          <w:p>
            <w:pPr>
              <w:pStyle w:val="null3"/>
              <w:ind w:firstLine="560"/>
              <w:jc w:val="both"/>
            </w:pPr>
            <w:r>
              <w:rPr>
                <w:rFonts w:ascii="仿宋_GB2312" w:hAnsi="仿宋_GB2312" w:cs="仿宋_GB2312" w:eastAsia="仿宋_GB2312"/>
                <w:sz w:val="24"/>
              </w:rPr>
              <w:t>1、概述</w:t>
            </w:r>
          </w:p>
          <w:p>
            <w:pPr>
              <w:pStyle w:val="null3"/>
              <w:ind w:firstLine="480"/>
              <w:jc w:val="both"/>
            </w:pPr>
            <w:r>
              <w:rPr>
                <w:rFonts w:ascii="仿宋_GB2312" w:hAnsi="仿宋_GB2312" w:cs="仿宋_GB2312" w:eastAsia="仿宋_GB2312"/>
                <w:sz w:val="24"/>
              </w:rPr>
              <w:t>参照</w:t>
            </w:r>
            <w:r>
              <w:rPr>
                <w:rFonts w:ascii="仿宋_GB2312" w:hAnsi="仿宋_GB2312" w:cs="仿宋_GB2312" w:eastAsia="仿宋_GB2312"/>
                <w:sz w:val="24"/>
              </w:rPr>
              <w:t>EJM340/4-2型掘锚一体机缩小设计仿真制作。主体采用金属制作，设备表面金属烤漆，采用橡胶履带。锚杆机数量、锚杆钻数量：4+2组，4台顶钻、2台帮钻。遵循智能化、一体化的原则，通过软件，以“操作台远程控制+实物操作”结合的方式智能实操。掘锚支护一体机实操装置按实物仿真制作，能直观显示掘锚一体机外观形状、演示作业过程和各系统工作原理，实物操作可直观学习掘锚机操作工艺程序及相关安全规范。设备集成了掘进、临时支护、钻孔锚护等实训功能；设备主机配备位移传感器，检测机身各部液压缸位移，并配置虚实互动联动操控软件。配置掘锚机整机掘进与锚护模式具备互锁功能，保证设备工作安全，能够实现安全、高效的掘、锚、护一体化实训。</w:t>
            </w:r>
          </w:p>
          <w:p>
            <w:pPr>
              <w:pStyle w:val="null3"/>
              <w:ind w:firstLine="480"/>
              <w:jc w:val="both"/>
            </w:pPr>
            <w:r>
              <w:rPr>
                <w:rFonts w:ascii="仿宋_GB2312" w:hAnsi="仿宋_GB2312" w:cs="仿宋_GB2312" w:eastAsia="仿宋_GB2312"/>
                <w:sz w:val="24"/>
              </w:rPr>
              <w:t>2、组成</w:t>
            </w:r>
          </w:p>
          <w:p>
            <w:pPr>
              <w:pStyle w:val="null3"/>
              <w:ind w:firstLine="480"/>
              <w:jc w:val="both"/>
            </w:pPr>
            <w:r>
              <w:rPr>
                <w:rFonts w:ascii="仿宋_GB2312" w:hAnsi="仿宋_GB2312" w:cs="仿宋_GB2312" w:eastAsia="仿宋_GB2312"/>
                <w:sz w:val="24"/>
              </w:rPr>
              <w:t>掘锚一体机结构：掘锚一体机主要由主机架、截割部、装载部、运输部、锚钻系统、行走部、控制系统、动力系统等组成。考虑根据现场条件，主体框架制作为可拆分结构，便于运输安装。</w:t>
            </w:r>
          </w:p>
          <w:p>
            <w:pPr>
              <w:pStyle w:val="null3"/>
              <w:ind w:firstLine="480"/>
              <w:jc w:val="both"/>
            </w:pPr>
            <w:r>
              <w:rPr>
                <w:rFonts w:ascii="仿宋_GB2312" w:hAnsi="仿宋_GB2312" w:cs="仿宋_GB2312" w:eastAsia="仿宋_GB2312"/>
                <w:sz w:val="24"/>
              </w:rPr>
              <w:t>2.1主机架：掘锚机的核心部位，位于机体的中央处，是各部、各系统的聚集地，是整个设备的核心。其上布有各油缸的铰接点、铲装板的铰接点、刮板运输机的铰接点、后支撑的铰接点。机身框架采用优质钢板焊接而成的整体式机身框架，主机架铁板厚度≥2mm，主要承重部件厚度≥8mm，保证设备使用过程不变形。</w:t>
            </w:r>
          </w:p>
          <w:p>
            <w:pPr>
              <w:pStyle w:val="null3"/>
            </w:pPr>
            <w:r>
              <w:drawing>
                <wp:inline distT="0" distR="0" distB="0" distL="0">
                  <wp:extent cx="1621155" cy="1035539"/>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035539"/>
                          </a:xfrm>
                          <a:prstGeom prst="rect">
                            <a:avLst/>
                          </a:prstGeom>
                        </pic:spPr>
                      </pic:pic>
                    </a:graphicData>
                  </a:graphic>
                </wp:inline>
              </w:drawing>
            </w:r>
            <w:r>
              <w:rPr>
                <w:rFonts w:ascii="仿宋_GB2312" w:hAnsi="仿宋_GB2312" w:cs="仿宋_GB2312" w:eastAsia="仿宋_GB2312"/>
              </w:rPr>
              <w:t xml:space="preserve">  </w:t>
            </w:r>
            <w:r>
              <w:drawing>
                <wp:inline distT="0" distR="0" distB="0" distL="0">
                  <wp:extent cx="1621155" cy="1024544"/>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1024544"/>
                          </a:xfrm>
                          <a:prstGeom prst="rect">
                            <a:avLst/>
                          </a:prstGeom>
                        </pic:spPr>
                      </pic:pic>
                    </a:graphicData>
                  </a:graphic>
                </wp:inline>
              </w:drawing>
            </w:r>
            <w:r>
              <w:br/>
            </w:r>
            <w:r>
              <w:br/>
            </w:r>
            <w:r>
              <w:rPr>
                <w:rFonts w:ascii="仿宋_GB2312" w:hAnsi="仿宋_GB2312" w:cs="仿宋_GB2312" w:eastAsia="仿宋_GB2312"/>
                <w:sz w:val="24"/>
              </w:rPr>
              <w:t>以往产品照片（以实物为准）</w:t>
            </w:r>
            <w:r>
              <w:br/>
            </w: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真机设备参数</w:t>
                  </w:r>
                  <w:r>
                    <w:rPr>
                      <w:rFonts w:ascii="仿宋_GB2312" w:hAnsi="仿宋_GB2312" w:cs="仿宋_GB2312" w:eastAsia="仿宋_GB2312"/>
                      <w:sz w:val="24"/>
                      <w:b/>
                    </w:rPr>
                    <w:t xml:space="preserve">   </w:t>
                  </w:r>
                  <w:r>
                    <w:rPr>
                      <w:rFonts w:ascii="仿宋_GB2312" w:hAnsi="仿宋_GB2312" w:cs="仿宋_GB2312" w:eastAsia="仿宋_GB2312"/>
                      <w:sz w:val="24"/>
                      <w:b/>
                    </w:rPr>
                    <w:t>EJM340/4-2型掘锚一体机</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2"/>
                    <w:jc w:val="both"/>
                  </w:pPr>
                  <w:r>
                    <w:rPr>
                      <w:rFonts w:ascii="仿宋_GB2312" w:hAnsi="仿宋_GB2312" w:cs="仿宋_GB2312" w:eastAsia="仿宋_GB2312"/>
                      <w:sz w:val="22"/>
                      <w:b/>
                    </w:rPr>
                    <w:t>EJM340/4-2掘锚一体机</w:t>
                  </w:r>
                  <w:r>
                    <w:rPr>
                      <w:rFonts w:ascii="仿宋_GB2312" w:hAnsi="仿宋_GB2312" w:cs="仿宋_GB2312" w:eastAsia="仿宋_GB2312"/>
                      <w:sz w:val="22"/>
                    </w:rPr>
                    <w:t>：为了提高巷道掘进速度，解决煤矿采掘比例失调而全新设计的掘锚一体化机组，机组集截割、装载、运输、行走、锚护、喷雾除尘于一体，能同步完成掘进和支护作业，全宽的截割滚筒一次成巷。可配套梭车及快速掘进后配套设备实现煤巷快速掘锚运高效作业。</w:t>
                  </w:r>
                </w:p>
                <w:p>
                  <w:pPr>
                    <w:pStyle w:val="null3"/>
                    <w:ind w:firstLine="440"/>
                    <w:jc w:val="both"/>
                  </w:pPr>
                  <w:r>
                    <w:rPr>
                      <w:rFonts w:ascii="仿宋_GB2312" w:hAnsi="仿宋_GB2312" w:cs="仿宋_GB2312" w:eastAsia="仿宋_GB2312"/>
                      <w:sz w:val="22"/>
                    </w:rPr>
                    <w:t>技术参数：</w:t>
                  </w:r>
                </w:p>
                <w:p>
                  <w:pPr>
                    <w:pStyle w:val="null3"/>
                    <w:ind w:firstLine="440"/>
                    <w:jc w:val="both"/>
                  </w:pPr>
                  <w:r>
                    <w:rPr>
                      <w:rFonts w:ascii="仿宋_GB2312" w:hAnsi="仿宋_GB2312" w:cs="仿宋_GB2312" w:eastAsia="仿宋_GB2312"/>
                      <w:sz w:val="22"/>
                    </w:rPr>
                    <w:t>长</w:t>
                  </w:r>
                  <w:r>
                    <w:rPr>
                      <w:rFonts w:ascii="仿宋_GB2312" w:hAnsi="仿宋_GB2312" w:cs="仿宋_GB2312" w:eastAsia="仿宋_GB2312"/>
                      <w:sz w:val="22"/>
                    </w:rPr>
                    <w:t>×宽×高（mm）：11640×(4600～5500)×2600(不同截割宽度，机身宽度不同)</w:t>
                  </w:r>
                </w:p>
                <w:p>
                  <w:pPr>
                    <w:pStyle w:val="null3"/>
                    <w:ind w:firstLine="440"/>
                    <w:jc w:val="both"/>
                  </w:pPr>
                  <w:r>
                    <w:rPr>
                      <w:rFonts w:ascii="仿宋_GB2312" w:hAnsi="仿宋_GB2312" w:cs="仿宋_GB2312" w:eastAsia="仿宋_GB2312"/>
                      <w:sz w:val="22"/>
                    </w:rPr>
                    <w:t>总体重量（</w:t>
                  </w:r>
                  <w:r>
                    <w:rPr>
                      <w:rFonts w:ascii="仿宋_GB2312" w:hAnsi="仿宋_GB2312" w:cs="仿宋_GB2312" w:eastAsia="仿宋_GB2312"/>
                      <w:sz w:val="22"/>
                    </w:rPr>
                    <w:t>t）：103</w:t>
                  </w:r>
                </w:p>
                <w:p>
                  <w:pPr>
                    <w:pStyle w:val="null3"/>
                    <w:ind w:firstLine="440"/>
                    <w:jc w:val="both"/>
                  </w:pPr>
                  <w:r>
                    <w:rPr>
                      <w:rFonts w:ascii="仿宋_GB2312" w:hAnsi="仿宋_GB2312" w:cs="仿宋_GB2312" w:eastAsia="仿宋_GB2312"/>
                      <w:sz w:val="22"/>
                    </w:rPr>
                    <w:t>采高范围（</w:t>
                  </w:r>
                  <w:r>
                    <w:rPr>
                      <w:rFonts w:ascii="仿宋_GB2312" w:hAnsi="仿宋_GB2312" w:cs="仿宋_GB2312" w:eastAsia="仿宋_GB2312"/>
                      <w:sz w:val="22"/>
                    </w:rPr>
                    <w:t>mm）：2800～3800（最大高度采用电子限位）</w:t>
                  </w:r>
                </w:p>
                <w:p>
                  <w:pPr>
                    <w:pStyle w:val="null3"/>
                    <w:ind w:firstLine="440"/>
                    <w:jc w:val="both"/>
                  </w:pPr>
                  <w:r>
                    <w:rPr>
                      <w:rFonts w:ascii="仿宋_GB2312" w:hAnsi="仿宋_GB2312" w:cs="仿宋_GB2312" w:eastAsia="仿宋_GB2312"/>
                      <w:sz w:val="22"/>
                    </w:rPr>
                    <w:t>装机总功率（</w:t>
                  </w:r>
                  <w:r>
                    <w:rPr>
                      <w:rFonts w:ascii="仿宋_GB2312" w:hAnsi="仿宋_GB2312" w:cs="仿宋_GB2312" w:eastAsia="仿宋_GB2312"/>
                      <w:sz w:val="22"/>
                    </w:rPr>
                    <w:t>kW）：742</w:t>
                  </w:r>
                </w:p>
                <w:p>
                  <w:pPr>
                    <w:pStyle w:val="null3"/>
                    <w:ind w:firstLine="440"/>
                    <w:jc w:val="both"/>
                  </w:pPr>
                  <w:r>
                    <w:rPr>
                      <w:rFonts w:ascii="仿宋_GB2312" w:hAnsi="仿宋_GB2312" w:cs="仿宋_GB2312" w:eastAsia="仿宋_GB2312"/>
                      <w:sz w:val="22"/>
                    </w:rPr>
                    <w:t>适应坡度（</w:t>
                  </w:r>
                  <w:r>
                    <w:rPr>
                      <w:rFonts w:ascii="仿宋_GB2312" w:hAnsi="仿宋_GB2312" w:cs="仿宋_GB2312" w:eastAsia="仿宋_GB2312"/>
                      <w:sz w:val="22"/>
                    </w:rPr>
                    <w:t>°）：±16</w:t>
                  </w:r>
                </w:p>
                <w:p>
                  <w:pPr>
                    <w:pStyle w:val="null3"/>
                    <w:ind w:firstLine="440"/>
                    <w:jc w:val="both"/>
                  </w:pPr>
                  <w:r>
                    <w:rPr>
                      <w:rFonts w:ascii="仿宋_GB2312" w:hAnsi="仿宋_GB2312" w:cs="仿宋_GB2312" w:eastAsia="仿宋_GB2312"/>
                      <w:sz w:val="22"/>
                    </w:rPr>
                    <w:t>生产能力（</w:t>
                  </w:r>
                  <w:r>
                    <w:rPr>
                      <w:rFonts w:ascii="仿宋_GB2312" w:hAnsi="仿宋_GB2312" w:cs="仿宋_GB2312" w:eastAsia="仿宋_GB2312"/>
                      <w:sz w:val="22"/>
                    </w:rPr>
                    <w:t>t/min）：25</w:t>
                  </w:r>
                </w:p>
                <w:p>
                  <w:pPr>
                    <w:pStyle w:val="null3"/>
                    <w:ind w:firstLine="440"/>
                    <w:jc w:val="both"/>
                  </w:pPr>
                  <w:r>
                    <w:rPr>
                      <w:rFonts w:ascii="仿宋_GB2312" w:hAnsi="仿宋_GB2312" w:cs="仿宋_GB2312" w:eastAsia="仿宋_GB2312"/>
                      <w:sz w:val="22"/>
                    </w:rPr>
                    <w:t>经济截割煤岩硬度（</w:t>
                  </w:r>
                  <w:r>
                    <w:rPr>
                      <w:rFonts w:ascii="仿宋_GB2312" w:hAnsi="仿宋_GB2312" w:cs="仿宋_GB2312" w:eastAsia="仿宋_GB2312"/>
                      <w:sz w:val="22"/>
                    </w:rPr>
                    <w:t>MPa）：≤40</w:t>
                  </w:r>
                </w:p>
                <w:p>
                  <w:pPr>
                    <w:pStyle w:val="null3"/>
                    <w:ind w:firstLine="440"/>
                    <w:jc w:val="both"/>
                  </w:pPr>
                  <w:r>
                    <w:rPr>
                      <w:rFonts w:ascii="仿宋_GB2312" w:hAnsi="仿宋_GB2312" w:cs="仿宋_GB2312" w:eastAsia="仿宋_GB2312"/>
                      <w:sz w:val="22"/>
                    </w:rPr>
                    <w:t>接地比压（</w:t>
                  </w:r>
                  <w:r>
                    <w:rPr>
                      <w:rFonts w:ascii="仿宋_GB2312" w:hAnsi="仿宋_GB2312" w:cs="仿宋_GB2312" w:eastAsia="仿宋_GB2312"/>
                      <w:sz w:val="22"/>
                    </w:rPr>
                    <w:t>MPa）：0.27（适用于硬质地面或软质地面使用枕木）</w:t>
                  </w:r>
                </w:p>
                <w:p>
                  <w:pPr>
                    <w:pStyle w:val="null3"/>
                    <w:ind w:firstLine="440"/>
                    <w:jc w:val="both"/>
                  </w:pPr>
                  <w:r>
                    <w:rPr>
                      <w:rFonts w:ascii="仿宋_GB2312" w:hAnsi="仿宋_GB2312" w:cs="仿宋_GB2312" w:eastAsia="仿宋_GB2312"/>
                      <w:sz w:val="22"/>
                    </w:rPr>
                    <w:t>地隙（</w:t>
                  </w:r>
                  <w:r>
                    <w:rPr>
                      <w:rFonts w:ascii="仿宋_GB2312" w:hAnsi="仿宋_GB2312" w:cs="仿宋_GB2312" w:eastAsia="仿宋_GB2312"/>
                      <w:sz w:val="22"/>
                    </w:rPr>
                    <w:t>mm）：270</w:t>
                  </w:r>
                </w:p>
                <w:p>
                  <w:pPr>
                    <w:pStyle w:val="null3"/>
                    <w:ind w:firstLine="440"/>
                    <w:jc w:val="both"/>
                  </w:pPr>
                  <w:r>
                    <w:rPr>
                      <w:rFonts w:ascii="仿宋_GB2312" w:hAnsi="仿宋_GB2312" w:cs="仿宋_GB2312" w:eastAsia="仿宋_GB2312"/>
                      <w:sz w:val="22"/>
                    </w:rPr>
                    <w:t>滚筒卧底深度（</w:t>
                  </w:r>
                  <w:r>
                    <w:rPr>
                      <w:rFonts w:ascii="仿宋_GB2312" w:hAnsi="仿宋_GB2312" w:cs="仿宋_GB2312" w:eastAsia="仿宋_GB2312"/>
                      <w:sz w:val="22"/>
                    </w:rPr>
                    <w:t>mm）：180</w:t>
                  </w:r>
                </w:p>
                <w:p>
                  <w:pPr>
                    <w:pStyle w:val="null3"/>
                    <w:ind w:firstLine="440"/>
                    <w:jc w:val="both"/>
                  </w:pPr>
                  <w:r>
                    <w:rPr>
                      <w:rFonts w:ascii="仿宋_GB2312" w:hAnsi="仿宋_GB2312" w:cs="仿宋_GB2312" w:eastAsia="仿宋_GB2312"/>
                      <w:sz w:val="22"/>
                    </w:rPr>
                    <w:t>机载锚杆钻机：顶锚</w:t>
                  </w:r>
                  <w:r>
                    <w:rPr>
                      <w:rFonts w:ascii="仿宋_GB2312" w:hAnsi="仿宋_GB2312" w:cs="仿宋_GB2312" w:eastAsia="仿宋_GB2312"/>
                      <w:sz w:val="22"/>
                    </w:rPr>
                    <w:t>4台，帮锚2台</w:t>
                  </w:r>
                </w:p>
                <w:p>
                  <w:pPr>
                    <w:pStyle w:val="null3"/>
                    <w:ind w:firstLine="440"/>
                    <w:jc w:val="both"/>
                  </w:pPr>
                  <w:r>
                    <w:rPr>
                      <w:rFonts w:ascii="仿宋_GB2312" w:hAnsi="仿宋_GB2312" w:cs="仿宋_GB2312" w:eastAsia="仿宋_GB2312"/>
                      <w:sz w:val="22"/>
                    </w:rPr>
                    <w:t>行走速度（</w:t>
                  </w:r>
                  <w:r>
                    <w:rPr>
                      <w:rFonts w:ascii="仿宋_GB2312" w:hAnsi="仿宋_GB2312" w:cs="仿宋_GB2312" w:eastAsia="仿宋_GB2312"/>
                      <w:sz w:val="22"/>
                    </w:rPr>
                    <w:t>m/min）：0～13</w:t>
                  </w:r>
                  <w:r>
                    <w:drawing>
                      <wp:inline distT="0" distR="0" distB="0" distL="0">
                        <wp:extent cx="1483995" cy="989330"/>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1483995" cy="989330"/>
                                </a:xfrm>
                                <a:prstGeom prst="rect">
                                  <a:avLst/>
                                </a:prstGeom>
                              </pic:spPr>
                            </pic:pic>
                          </a:graphicData>
                        </a:graphic>
                      </wp:inline>
                    </w:drawing>
                  </w:r>
                  <w:r>
                    <w:rPr>
                      <w:rFonts w:ascii="仿宋_GB2312" w:hAnsi="仿宋_GB2312" w:cs="仿宋_GB2312" w:eastAsia="仿宋_GB2312"/>
                      <w:sz w:val="19"/>
                    </w:rPr>
                    <w:t xml:space="preserve"> </w:t>
                  </w:r>
                  <w:r>
                    <w:drawing>
                      <wp:inline distT="0" distR="0" distB="0" distL="0">
                        <wp:extent cx="1483995" cy="989330"/>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1483995" cy="989330"/>
                                </a:xfrm>
                                <a:prstGeom prst="rect">
                                  <a:avLst/>
                                </a:prstGeom>
                              </pic:spPr>
                            </pic:pic>
                          </a:graphicData>
                        </a:graphic>
                      </wp:inline>
                    </w:drawing>
                  </w:r>
                  <w:r>
                    <w:drawing>
                      <wp:inline distT="0" distR="0" distB="0" distL="0">
                        <wp:extent cx="1483995" cy="989330"/>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10"/>
                                <a:stretch>
                                  <a:fillRect/>
                                </a:stretch>
                              </pic:blipFill>
                              <pic:spPr>
                                <a:xfrm>
                                  <a:off x="0" y="0"/>
                                  <a:ext cx="1483995" cy="989330"/>
                                </a:xfrm>
                                <a:prstGeom prst="rect">
                                  <a:avLst/>
                                </a:prstGeom>
                              </pic:spPr>
                            </pic:pic>
                          </a:graphicData>
                        </a:graphic>
                      </wp:inline>
                    </w:drawing>
                  </w:r>
                </w:p>
              </w:tc>
            </w:tr>
          </w:tbl>
          <w:p>
            <w:pPr>
              <w:pStyle w:val="null3"/>
            </w:pPr>
            <w:r>
              <w:rPr>
                <w:rFonts w:ascii="仿宋_GB2312" w:hAnsi="仿宋_GB2312" w:cs="仿宋_GB2312" w:eastAsia="仿宋_GB2312"/>
                <w:sz w:val="24"/>
              </w:rPr>
              <w:t>2.2截割部：由截割滚筒、截割臂、减速机、截割电机组成。截割头为圆形筒形，截割电机驱动扭矩轴，带动截割滚筒进行回转工作。截割臂靠截割臂的升降油缸进行操作。</w:t>
            </w:r>
          </w:p>
          <w:p>
            <w:pPr>
              <w:pStyle w:val="null3"/>
              <w:ind w:firstLine="480"/>
              <w:jc w:val="both"/>
            </w:pPr>
            <w:r>
              <w:rPr>
                <w:rFonts w:ascii="仿宋_GB2312" w:hAnsi="仿宋_GB2312" w:cs="仿宋_GB2312" w:eastAsia="仿宋_GB2312"/>
                <w:sz w:val="24"/>
              </w:rPr>
              <w:t>2.3装载部：装载机构包括前铲板，两台减速机和两个星形装臂。当截割滚筒前移掏槽时。装载机构随之前移，保证装载工作的有效进行。本机的装载装置为拨盘式装载装置，他的五弧形耙杆呈弯曲状，它与转盘轴圆盘联接，左、右拨盘相互对称，安装时应按各自的转向选装，旋转方向相反。</w:t>
            </w:r>
          </w:p>
          <w:p>
            <w:pPr>
              <w:pStyle w:val="null3"/>
              <w:ind w:firstLine="480"/>
              <w:jc w:val="both"/>
            </w:pPr>
            <w:r>
              <w:rPr>
                <w:rFonts w:ascii="仿宋_GB2312" w:hAnsi="仿宋_GB2312" w:cs="仿宋_GB2312" w:eastAsia="仿宋_GB2312"/>
                <w:sz w:val="24"/>
              </w:rPr>
              <w:t>2.4运输部：刮板链是运行于倾斜设置的输送机机槽内，位于机身的中间。是掘锚机的运料装置，采用中间链刮板运输形式，其驱动由电机的动力系统输出，把截割滚筒割落的物料，通过星轮的耙装。</w:t>
            </w:r>
          </w:p>
          <w:p>
            <w:pPr>
              <w:pStyle w:val="null3"/>
              <w:ind w:firstLine="480"/>
              <w:jc w:val="both"/>
            </w:pPr>
            <w:r>
              <w:rPr>
                <w:rFonts w:ascii="仿宋_GB2312" w:hAnsi="仿宋_GB2312" w:cs="仿宋_GB2312" w:eastAsia="仿宋_GB2312"/>
                <w:sz w:val="24"/>
              </w:rPr>
              <w:t>2.5钻系统：锚杆钻机是掘锚一体机进行锚杆支护的关键设备包括顶锚杆机4台和帮锚杆机2台。</w:t>
            </w:r>
          </w:p>
          <w:p>
            <w:pPr>
              <w:pStyle w:val="null3"/>
              <w:ind w:firstLine="480"/>
              <w:jc w:val="both"/>
            </w:pPr>
            <w:r>
              <w:rPr>
                <w:rFonts w:ascii="仿宋_GB2312" w:hAnsi="仿宋_GB2312" w:cs="仿宋_GB2312" w:eastAsia="仿宋_GB2312"/>
                <w:sz w:val="24"/>
              </w:rPr>
              <w:t>2.6行走部：履带为掘锚一体机的行走机构，具有较强的承载能力和牵引能力，履带采用橡胶履带，行走部采用电机（2台）驱动，并采用变频器驱动，可灵活实现掘锚机的前进、后退和转弯及调速。</w:t>
            </w:r>
          </w:p>
          <w:p>
            <w:pPr>
              <w:pStyle w:val="null3"/>
              <w:ind w:firstLine="480"/>
              <w:jc w:val="both"/>
            </w:pPr>
            <w:r>
              <w:rPr>
                <w:rFonts w:ascii="仿宋_GB2312" w:hAnsi="仿宋_GB2312" w:cs="仿宋_GB2312" w:eastAsia="仿宋_GB2312"/>
                <w:sz w:val="24"/>
              </w:rPr>
              <w:t>2.7动力系统：用于驱动截割部,功率0.2KW；装载部、功率60W*2；运输部，功率0.75KW、行走部功率2.2KW*2；掘锚机的伸缩、摆动、铲板的升降、临时支护装置的展开和收回等动作采用液压及电动系统驱动。行走部电机为变频驱动。液压泵、液压阀、液压缸和管路等部件具有良好的密封性和可靠性，保证设备正常使用。</w:t>
            </w:r>
          </w:p>
          <w:p>
            <w:pPr>
              <w:pStyle w:val="null3"/>
              <w:ind w:firstLine="560"/>
            </w:pPr>
            <w:r>
              <w:rPr>
                <w:rFonts w:ascii="仿宋_GB2312" w:hAnsi="仿宋_GB2312" w:cs="仿宋_GB2312" w:eastAsia="仿宋_GB2312"/>
                <w:sz w:val="24"/>
              </w:rPr>
              <w:t>3、主要功能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车体前进；（2）车体后退；（3）车体左转弯；（4）车体右转弯；（5）输送机左摆；（6）输送机右摆；（7）输送机升；（8）输送机降；（9）铲板升；（10）铲板降；（11）稳定靴升；（12）稳定靴降；（13）截割臂升；（14）截割臂降；（15）滑动机构可在主机不行走时，截割部依靠掏槽驱动装置的推力带动切割臂及铲煤板运输机一起联动完成掏槽过程；（16）截割滚筒回转截割；（17）五弧形耙杆式拨盘旋转装料；（18）刮板输送机运料；（19）锚杆系统可左右前后摆动可进行打顶板锚杆，打侧帮锚杆同时进行。 （20）本地控制也可支持接收遥控信号，掘锚机按信号命令做指定动作。</w:t>
            </w:r>
          </w:p>
          <w:p>
            <w:pPr>
              <w:pStyle w:val="null3"/>
              <w:ind w:firstLine="480"/>
              <w:jc w:val="both"/>
            </w:pPr>
            <w:r>
              <w:rPr>
                <w:rFonts w:ascii="仿宋_GB2312" w:hAnsi="仿宋_GB2312" w:cs="仿宋_GB2312" w:eastAsia="仿宋_GB2312"/>
                <w:sz w:val="24"/>
              </w:rPr>
              <w:t>4、整体规格尺寸</w:t>
            </w:r>
          </w:p>
          <w:p>
            <w:pPr>
              <w:pStyle w:val="null3"/>
              <w:ind w:firstLine="480"/>
              <w:jc w:val="both"/>
            </w:pPr>
            <w:r>
              <w:rPr>
                <w:rFonts w:ascii="仿宋_GB2312" w:hAnsi="仿宋_GB2312" w:cs="仿宋_GB2312" w:eastAsia="仿宋_GB2312"/>
                <w:sz w:val="24"/>
              </w:rPr>
              <w:t>规格尺寸：</w:t>
            </w:r>
            <w:r>
              <w:rPr>
                <w:rFonts w:ascii="仿宋_GB2312" w:hAnsi="仿宋_GB2312" w:cs="仿宋_GB2312" w:eastAsia="仿宋_GB2312"/>
                <w:sz w:val="24"/>
              </w:rPr>
              <w:t>5500mm×1500mm×2000mm</w:t>
            </w:r>
            <w:r>
              <w:rPr>
                <w:rFonts w:ascii="仿宋_GB2312" w:hAnsi="仿宋_GB2312" w:cs="仿宋_GB2312" w:eastAsia="仿宋_GB2312"/>
                <w:sz w:val="24"/>
              </w:rPr>
              <w:t>（</w:t>
            </w:r>
            <w:r>
              <w:rPr>
                <w:rFonts w:ascii="仿宋_GB2312" w:hAnsi="仿宋_GB2312" w:cs="仿宋_GB2312" w:eastAsia="仿宋_GB2312"/>
                <w:sz w:val="24"/>
              </w:rPr>
              <w:t>误差正负</w:t>
            </w:r>
            <w:r>
              <w:rPr>
                <w:rFonts w:ascii="仿宋_GB2312" w:hAnsi="仿宋_GB2312" w:cs="仿宋_GB2312" w:eastAsia="仿宋_GB2312"/>
                <w:sz w:val="24"/>
              </w:rPr>
              <w:t>10mm)</w:t>
            </w:r>
          </w:p>
          <w:p>
            <w:pPr>
              <w:pStyle w:val="null3"/>
              <w:ind w:firstLine="480"/>
              <w:jc w:val="both"/>
            </w:pPr>
            <w:r>
              <w:rPr>
                <w:rFonts w:ascii="仿宋_GB2312" w:hAnsi="仿宋_GB2312" w:cs="仿宋_GB2312" w:eastAsia="仿宋_GB2312"/>
                <w:sz w:val="24"/>
              </w:rPr>
              <w:t>供电电压：</w:t>
            </w:r>
            <w:r>
              <w:rPr>
                <w:rFonts w:ascii="仿宋_GB2312" w:hAnsi="仿宋_GB2312" w:cs="仿宋_GB2312" w:eastAsia="仿宋_GB2312"/>
                <w:sz w:val="24"/>
              </w:rPr>
              <w:t>220V/380V（三相5线制）。功率11kw。</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4"/>
              </w:rPr>
              <w:t>锚杆钻数量：</w:t>
            </w:r>
            <w:r>
              <w:rPr>
                <w:rFonts w:ascii="仿宋_GB2312" w:hAnsi="仿宋_GB2312" w:cs="仿宋_GB2312" w:eastAsia="仿宋_GB2312"/>
                <w:sz w:val="24"/>
              </w:rPr>
              <w:t>4+2组，4台顶钻、2台帮钻</w:t>
            </w:r>
            <w:r>
              <w:rPr>
                <w:rFonts w:ascii="仿宋_GB2312" w:hAnsi="仿宋_GB2312" w:cs="仿宋_GB2312" w:eastAsia="仿宋_GB2312"/>
                <w:sz w:val="24"/>
              </w:rPr>
              <w:t>（</w:t>
            </w:r>
            <w:r>
              <w:rPr>
                <w:rFonts w:ascii="仿宋_GB2312" w:hAnsi="仿宋_GB2312" w:cs="仿宋_GB2312" w:eastAsia="仿宋_GB2312"/>
                <w:sz w:val="24"/>
              </w:rPr>
              <w:t>投标文件中提供承诺函，格式不限</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4.1截割部</w:t>
            </w:r>
          </w:p>
          <w:p>
            <w:pPr>
              <w:pStyle w:val="null3"/>
              <w:ind w:firstLine="480"/>
              <w:jc w:val="both"/>
            </w:pPr>
            <w:r>
              <w:rPr>
                <w:rFonts w:ascii="仿宋_GB2312" w:hAnsi="仿宋_GB2312" w:cs="仿宋_GB2312" w:eastAsia="仿宋_GB2312"/>
                <w:sz w:val="24"/>
              </w:rPr>
              <w:t>截割头形式：横轴式。</w:t>
            </w:r>
          </w:p>
          <w:p>
            <w:pPr>
              <w:pStyle w:val="null3"/>
              <w:ind w:firstLine="480"/>
              <w:jc w:val="both"/>
            </w:pPr>
            <w:r>
              <w:rPr>
                <w:rFonts w:ascii="仿宋_GB2312" w:hAnsi="仿宋_GB2312" w:cs="仿宋_GB2312" w:eastAsia="仿宋_GB2312"/>
                <w:sz w:val="24"/>
              </w:rPr>
              <w:t>喷雾：外喷雾。</w:t>
            </w:r>
          </w:p>
          <w:p>
            <w:pPr>
              <w:pStyle w:val="null3"/>
              <w:ind w:firstLine="480"/>
              <w:jc w:val="both"/>
            </w:pPr>
            <w:r>
              <w:rPr>
                <w:rFonts w:ascii="仿宋_GB2312" w:hAnsi="仿宋_GB2312" w:cs="仿宋_GB2312" w:eastAsia="仿宋_GB2312"/>
                <w:sz w:val="24"/>
              </w:rPr>
              <w:t>除尘方式：风机。</w:t>
            </w:r>
          </w:p>
          <w:p>
            <w:pPr>
              <w:pStyle w:val="null3"/>
              <w:ind w:firstLine="480"/>
              <w:jc w:val="both"/>
            </w:pPr>
            <w:r>
              <w:rPr>
                <w:rFonts w:ascii="仿宋_GB2312" w:hAnsi="仿宋_GB2312" w:cs="仿宋_GB2312" w:eastAsia="仿宋_GB2312"/>
                <w:sz w:val="24"/>
              </w:rPr>
              <w:t>伸缩量：</w:t>
            </w:r>
            <w:r>
              <w:rPr>
                <w:rFonts w:ascii="仿宋_GB2312" w:hAnsi="仿宋_GB2312" w:cs="仿宋_GB2312" w:eastAsia="仿宋_GB2312"/>
                <w:sz w:val="24"/>
              </w:rPr>
              <w:t>≥150mm。</w:t>
            </w:r>
          </w:p>
          <w:p>
            <w:pPr>
              <w:pStyle w:val="null3"/>
              <w:ind w:firstLine="480"/>
              <w:jc w:val="both"/>
            </w:pPr>
            <w:r>
              <w:rPr>
                <w:rFonts w:ascii="仿宋_GB2312" w:hAnsi="仿宋_GB2312" w:cs="仿宋_GB2312" w:eastAsia="仿宋_GB2312"/>
                <w:sz w:val="24"/>
              </w:rPr>
              <w:t>4.2铲板部</w:t>
            </w:r>
          </w:p>
          <w:p>
            <w:pPr>
              <w:pStyle w:val="null3"/>
              <w:ind w:firstLine="480"/>
              <w:jc w:val="both"/>
            </w:pPr>
            <w:r>
              <w:rPr>
                <w:rFonts w:ascii="仿宋_GB2312" w:hAnsi="仿宋_GB2312" w:cs="仿宋_GB2312" w:eastAsia="仿宋_GB2312"/>
                <w:sz w:val="24"/>
              </w:rPr>
              <w:t>装载形式：五齿星轮。</w:t>
            </w:r>
          </w:p>
          <w:p>
            <w:pPr>
              <w:pStyle w:val="null3"/>
              <w:ind w:firstLine="480"/>
              <w:jc w:val="both"/>
            </w:pPr>
            <w:r>
              <w:rPr>
                <w:rFonts w:ascii="仿宋_GB2312" w:hAnsi="仿宋_GB2312" w:cs="仿宋_GB2312" w:eastAsia="仿宋_GB2312"/>
                <w:sz w:val="24"/>
              </w:rPr>
              <w:t>装载宽度：</w:t>
            </w:r>
            <w:r>
              <w:rPr>
                <w:rFonts w:ascii="仿宋_GB2312" w:hAnsi="仿宋_GB2312" w:cs="仿宋_GB2312" w:eastAsia="仿宋_GB2312"/>
                <w:sz w:val="24"/>
              </w:rPr>
              <w:t>≥1500mm。</w:t>
            </w:r>
          </w:p>
          <w:p>
            <w:pPr>
              <w:pStyle w:val="null3"/>
              <w:ind w:firstLine="480"/>
              <w:jc w:val="both"/>
            </w:pPr>
            <w:r>
              <w:rPr>
                <w:rFonts w:ascii="仿宋_GB2312" w:hAnsi="仿宋_GB2312" w:cs="仿宋_GB2312" w:eastAsia="仿宋_GB2312"/>
                <w:sz w:val="24"/>
              </w:rPr>
              <w:t>铲板抬升高度：</w:t>
            </w:r>
            <w:r>
              <w:rPr>
                <w:rFonts w:ascii="仿宋_GB2312" w:hAnsi="仿宋_GB2312" w:cs="仿宋_GB2312" w:eastAsia="仿宋_GB2312"/>
                <w:sz w:val="24"/>
              </w:rPr>
              <w:t>≥100mm。</w:t>
            </w:r>
          </w:p>
          <w:p>
            <w:pPr>
              <w:pStyle w:val="null3"/>
              <w:ind w:firstLine="480"/>
              <w:jc w:val="both"/>
            </w:pPr>
            <w:r>
              <w:rPr>
                <w:rFonts w:ascii="仿宋_GB2312" w:hAnsi="仿宋_GB2312" w:cs="仿宋_GB2312" w:eastAsia="仿宋_GB2312"/>
                <w:sz w:val="24"/>
              </w:rPr>
              <w:t>4.3行走部</w:t>
            </w:r>
          </w:p>
          <w:p>
            <w:pPr>
              <w:pStyle w:val="null3"/>
              <w:ind w:firstLine="480"/>
              <w:jc w:val="both"/>
            </w:pPr>
            <w:r>
              <w:rPr>
                <w:rFonts w:ascii="仿宋_GB2312" w:hAnsi="仿宋_GB2312" w:cs="仿宋_GB2312" w:eastAsia="仿宋_GB2312"/>
                <w:sz w:val="24"/>
              </w:rPr>
              <w:t>形式：履带式（电机驱动）。</w:t>
            </w:r>
          </w:p>
          <w:p>
            <w:pPr>
              <w:pStyle w:val="null3"/>
              <w:ind w:firstLine="480"/>
              <w:jc w:val="both"/>
            </w:pPr>
            <w:r>
              <w:rPr>
                <w:rFonts w:ascii="仿宋_GB2312" w:hAnsi="仿宋_GB2312" w:cs="仿宋_GB2312" w:eastAsia="仿宋_GB2312"/>
                <w:sz w:val="24"/>
              </w:rPr>
              <w:t>履带宽度：</w:t>
            </w:r>
            <w:r>
              <w:rPr>
                <w:rFonts w:ascii="仿宋_GB2312" w:hAnsi="仿宋_GB2312" w:cs="仿宋_GB2312" w:eastAsia="仿宋_GB2312"/>
                <w:sz w:val="24"/>
              </w:rPr>
              <w:t>≥300mm。</w:t>
            </w:r>
          </w:p>
          <w:p>
            <w:pPr>
              <w:pStyle w:val="null3"/>
              <w:ind w:firstLine="480"/>
              <w:jc w:val="both"/>
            </w:pPr>
            <w:r>
              <w:rPr>
                <w:rFonts w:ascii="仿宋_GB2312" w:hAnsi="仿宋_GB2312" w:cs="仿宋_GB2312" w:eastAsia="仿宋_GB2312"/>
                <w:sz w:val="24"/>
              </w:rPr>
              <w:t>履带材质：橡胶履带。</w:t>
            </w:r>
          </w:p>
          <w:p>
            <w:pPr>
              <w:pStyle w:val="null3"/>
              <w:ind w:firstLine="480"/>
              <w:jc w:val="both"/>
            </w:pPr>
            <w:r>
              <w:rPr>
                <w:rFonts w:ascii="仿宋_GB2312" w:hAnsi="仿宋_GB2312" w:cs="仿宋_GB2312" w:eastAsia="仿宋_GB2312"/>
                <w:sz w:val="24"/>
              </w:rPr>
              <w:t>4.4运输部：</w:t>
            </w:r>
          </w:p>
          <w:p>
            <w:pPr>
              <w:pStyle w:val="null3"/>
              <w:ind w:firstLine="480"/>
              <w:jc w:val="both"/>
            </w:pPr>
            <w:r>
              <w:rPr>
                <w:rFonts w:ascii="仿宋_GB2312" w:hAnsi="仿宋_GB2312" w:cs="仿宋_GB2312" w:eastAsia="仿宋_GB2312"/>
                <w:sz w:val="24"/>
              </w:rPr>
              <w:t>形式：中单链刮板式。</w:t>
            </w:r>
          </w:p>
          <w:p>
            <w:pPr>
              <w:pStyle w:val="null3"/>
              <w:ind w:firstLine="480"/>
              <w:jc w:val="both"/>
            </w:pPr>
            <w:r>
              <w:rPr>
                <w:rFonts w:ascii="仿宋_GB2312" w:hAnsi="仿宋_GB2312" w:cs="仿宋_GB2312" w:eastAsia="仿宋_GB2312"/>
                <w:sz w:val="24"/>
              </w:rPr>
              <w:t>驱动：电机驱动。</w:t>
            </w:r>
          </w:p>
          <w:p>
            <w:pPr>
              <w:pStyle w:val="null3"/>
              <w:ind w:firstLine="480"/>
              <w:jc w:val="both"/>
            </w:pPr>
            <w:r>
              <w:rPr>
                <w:rFonts w:ascii="仿宋_GB2312" w:hAnsi="仿宋_GB2312" w:cs="仿宋_GB2312" w:eastAsia="仿宋_GB2312"/>
                <w:sz w:val="24"/>
              </w:rPr>
              <w:t>宽度：</w:t>
            </w:r>
            <w:r>
              <w:rPr>
                <w:rFonts w:ascii="仿宋_GB2312" w:hAnsi="仿宋_GB2312" w:cs="仿宋_GB2312" w:eastAsia="仿宋_GB2312"/>
                <w:sz w:val="24"/>
              </w:rPr>
              <w:t>≥350mm。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4"/>
              </w:rPr>
              <w:t>链速：</w:t>
            </w:r>
            <w:r>
              <w:rPr>
                <w:rFonts w:ascii="仿宋_GB2312" w:hAnsi="仿宋_GB2312" w:cs="仿宋_GB2312" w:eastAsia="仿宋_GB2312"/>
                <w:sz w:val="24"/>
              </w:rPr>
              <w:t>≥0.3m/s。</w:t>
            </w:r>
          </w:p>
          <w:p>
            <w:pPr>
              <w:pStyle w:val="null3"/>
              <w:ind w:firstLine="480"/>
              <w:jc w:val="both"/>
            </w:pPr>
            <w:r>
              <w:rPr>
                <w:rFonts w:ascii="仿宋_GB2312" w:hAnsi="仿宋_GB2312" w:cs="仿宋_GB2312" w:eastAsia="仿宋_GB2312"/>
                <w:sz w:val="24"/>
              </w:rPr>
              <w:t>4.5锚钻系统：</w:t>
            </w:r>
          </w:p>
          <w:p>
            <w:pPr>
              <w:pStyle w:val="null3"/>
              <w:ind w:firstLine="480"/>
              <w:jc w:val="both"/>
            </w:pPr>
            <w:r>
              <w:rPr>
                <w:rFonts w:ascii="仿宋_GB2312" w:hAnsi="仿宋_GB2312" w:cs="仿宋_GB2312" w:eastAsia="仿宋_GB2312"/>
                <w:sz w:val="24"/>
              </w:rPr>
              <w:t>钻杆直径：</w:t>
            </w:r>
            <w:r>
              <w:rPr>
                <w:rFonts w:ascii="仿宋_GB2312" w:hAnsi="仿宋_GB2312" w:cs="仿宋_GB2312" w:eastAsia="仿宋_GB2312"/>
                <w:sz w:val="24"/>
              </w:rPr>
              <w:t>20mm。</w:t>
            </w:r>
          </w:p>
          <w:p>
            <w:pPr>
              <w:pStyle w:val="null3"/>
              <w:ind w:firstLine="480"/>
              <w:jc w:val="both"/>
            </w:pPr>
            <w:r>
              <w:rPr>
                <w:rFonts w:ascii="仿宋_GB2312" w:hAnsi="仿宋_GB2312" w:cs="仿宋_GB2312" w:eastAsia="仿宋_GB2312"/>
                <w:sz w:val="24"/>
              </w:rPr>
              <w:t>顶部锚杆摆动千斤顶：缸径</w:t>
            </w:r>
            <w:r>
              <w:rPr>
                <w:rFonts w:ascii="仿宋_GB2312" w:hAnsi="仿宋_GB2312" w:cs="仿宋_GB2312" w:eastAsia="仿宋_GB2312"/>
                <w:sz w:val="24"/>
              </w:rPr>
              <w:t>≥20mm；行程≥50mm；数量4件。</w:t>
            </w:r>
          </w:p>
          <w:p>
            <w:pPr>
              <w:pStyle w:val="null3"/>
              <w:ind w:firstLine="480"/>
              <w:jc w:val="both"/>
            </w:pPr>
            <w:r>
              <w:rPr>
                <w:rFonts w:ascii="仿宋_GB2312" w:hAnsi="仿宋_GB2312" w:cs="仿宋_GB2312" w:eastAsia="仿宋_GB2312"/>
                <w:sz w:val="24"/>
              </w:rPr>
              <w:t>顶部锚杆推进千斤顶：缸径</w:t>
            </w:r>
            <w:r>
              <w:rPr>
                <w:rFonts w:ascii="仿宋_GB2312" w:hAnsi="仿宋_GB2312" w:cs="仿宋_GB2312" w:eastAsia="仿宋_GB2312"/>
                <w:sz w:val="24"/>
              </w:rPr>
              <w:t>≥20mm；行程≥150mm；数量4件。</w:t>
            </w:r>
          </w:p>
          <w:p>
            <w:pPr>
              <w:pStyle w:val="null3"/>
              <w:ind w:firstLine="480"/>
              <w:jc w:val="both"/>
            </w:pPr>
            <w:r>
              <w:rPr>
                <w:rFonts w:ascii="仿宋_GB2312" w:hAnsi="仿宋_GB2312" w:cs="仿宋_GB2312" w:eastAsia="仿宋_GB2312"/>
                <w:sz w:val="24"/>
              </w:rPr>
              <w:t>顶部锚杆伸缩千斤顶：缸径</w:t>
            </w:r>
            <w:r>
              <w:rPr>
                <w:rFonts w:ascii="仿宋_GB2312" w:hAnsi="仿宋_GB2312" w:cs="仿宋_GB2312" w:eastAsia="仿宋_GB2312"/>
                <w:sz w:val="24"/>
              </w:rPr>
              <w:t>≥20mm；行程≥300mm；数量4件。</w:t>
            </w:r>
          </w:p>
          <w:p>
            <w:pPr>
              <w:pStyle w:val="null3"/>
              <w:ind w:firstLine="480"/>
              <w:jc w:val="both"/>
            </w:pPr>
            <w:r>
              <w:rPr>
                <w:rFonts w:ascii="仿宋_GB2312" w:hAnsi="仿宋_GB2312" w:cs="仿宋_GB2312" w:eastAsia="仿宋_GB2312"/>
                <w:sz w:val="24"/>
              </w:rPr>
              <w:t>侧部锚杆摆动回旋转盘：</w:t>
            </w:r>
            <w:r>
              <w:rPr>
                <w:rFonts w:ascii="仿宋_GB2312" w:hAnsi="仿宋_GB2312" w:cs="仿宋_GB2312" w:eastAsia="仿宋_GB2312"/>
                <w:sz w:val="24"/>
              </w:rPr>
              <w:t>≥Se-50 型             数量2件。</w:t>
            </w:r>
          </w:p>
          <w:p>
            <w:pPr>
              <w:pStyle w:val="null3"/>
              <w:ind w:firstLine="480"/>
              <w:jc w:val="both"/>
            </w:pPr>
            <w:r>
              <w:rPr>
                <w:rFonts w:ascii="仿宋_GB2312" w:hAnsi="仿宋_GB2312" w:cs="仿宋_GB2312" w:eastAsia="仿宋_GB2312"/>
                <w:sz w:val="24"/>
              </w:rPr>
              <w:t>侧部锚杆升降千斤顶：缸径</w:t>
            </w:r>
            <w:r>
              <w:rPr>
                <w:rFonts w:ascii="仿宋_GB2312" w:hAnsi="仿宋_GB2312" w:cs="仿宋_GB2312" w:eastAsia="仿宋_GB2312"/>
                <w:sz w:val="24"/>
              </w:rPr>
              <w:t>≥20mm；行程≥150mm；数量2件。</w:t>
            </w:r>
          </w:p>
          <w:p>
            <w:pPr>
              <w:pStyle w:val="null3"/>
              <w:ind w:firstLine="480"/>
              <w:jc w:val="both"/>
            </w:pPr>
            <w:r>
              <w:rPr>
                <w:rFonts w:ascii="仿宋_GB2312" w:hAnsi="仿宋_GB2312" w:cs="仿宋_GB2312" w:eastAsia="仿宋_GB2312"/>
                <w:sz w:val="24"/>
              </w:rPr>
              <w:t>侧部锚杆伸缩千斤顶：缸径</w:t>
            </w:r>
            <w:r>
              <w:rPr>
                <w:rFonts w:ascii="仿宋_GB2312" w:hAnsi="仿宋_GB2312" w:cs="仿宋_GB2312" w:eastAsia="仿宋_GB2312"/>
                <w:sz w:val="24"/>
              </w:rPr>
              <w:t>≥20mm；行程≥300mm；数量4件。</w:t>
            </w:r>
          </w:p>
          <w:p>
            <w:pPr>
              <w:pStyle w:val="null3"/>
              <w:ind w:firstLine="480"/>
              <w:jc w:val="both"/>
            </w:pPr>
            <w:r>
              <w:rPr>
                <w:rFonts w:ascii="仿宋_GB2312" w:hAnsi="仿宋_GB2312" w:cs="仿宋_GB2312" w:eastAsia="仿宋_GB2312"/>
                <w:sz w:val="24"/>
              </w:rPr>
              <w:t>4.6临时支护：</w:t>
            </w:r>
          </w:p>
          <w:p>
            <w:pPr>
              <w:pStyle w:val="null3"/>
              <w:ind w:firstLine="480"/>
              <w:jc w:val="both"/>
            </w:pPr>
            <w:r>
              <w:rPr>
                <w:rFonts w:ascii="仿宋_GB2312" w:hAnsi="仿宋_GB2312" w:cs="仿宋_GB2312" w:eastAsia="仿宋_GB2312"/>
                <w:sz w:val="24"/>
              </w:rPr>
              <w:t>支护面积：</w:t>
            </w:r>
            <w:r>
              <w:rPr>
                <w:rFonts w:ascii="仿宋_GB2312" w:hAnsi="仿宋_GB2312" w:cs="仿宋_GB2312" w:eastAsia="仿宋_GB2312"/>
                <w:sz w:val="24"/>
              </w:rPr>
              <w:t>≥0.3㎡。</w:t>
            </w:r>
          </w:p>
          <w:p>
            <w:pPr>
              <w:pStyle w:val="null3"/>
              <w:ind w:firstLine="480"/>
              <w:jc w:val="both"/>
            </w:pPr>
            <w:r>
              <w:rPr>
                <w:rFonts w:ascii="仿宋_GB2312" w:hAnsi="仿宋_GB2312" w:cs="仿宋_GB2312" w:eastAsia="仿宋_GB2312"/>
                <w:sz w:val="24"/>
              </w:rPr>
              <w:t>临时支护千斤顶：缸径</w:t>
            </w:r>
            <w:r>
              <w:rPr>
                <w:rFonts w:ascii="仿宋_GB2312" w:hAnsi="仿宋_GB2312" w:cs="仿宋_GB2312" w:eastAsia="仿宋_GB2312"/>
                <w:sz w:val="24"/>
              </w:rPr>
              <w:t>≥40mm；行程≥300mm；    数量1件。</w:t>
            </w:r>
          </w:p>
          <w:p>
            <w:pPr>
              <w:pStyle w:val="null3"/>
              <w:ind w:firstLine="480"/>
              <w:jc w:val="both"/>
            </w:pPr>
            <w:r>
              <w:rPr>
                <w:rFonts w:ascii="仿宋_GB2312" w:hAnsi="仿宋_GB2312" w:cs="仿宋_GB2312" w:eastAsia="仿宋_GB2312"/>
                <w:sz w:val="24"/>
              </w:rPr>
              <w:t>5、主要材质</w:t>
            </w:r>
          </w:p>
          <w:p>
            <w:pPr>
              <w:pStyle w:val="null3"/>
              <w:ind w:firstLine="480"/>
              <w:jc w:val="both"/>
            </w:pPr>
            <w:r>
              <w:rPr>
                <w:rFonts w:ascii="仿宋_GB2312" w:hAnsi="仿宋_GB2312" w:cs="仿宋_GB2312" w:eastAsia="仿宋_GB2312"/>
                <w:sz w:val="24"/>
              </w:rPr>
              <w:t>机身框架采用优质钢板焊接而成的整体式机身框架，主机框架铁板厚度</w:t>
            </w:r>
            <w:r>
              <w:rPr>
                <w:rFonts w:ascii="仿宋_GB2312" w:hAnsi="仿宋_GB2312" w:cs="仿宋_GB2312" w:eastAsia="仿宋_GB2312"/>
                <w:sz w:val="24"/>
              </w:rPr>
              <w:t>≥3mm，主要承重部件厚度≥8mm，保证设备使用过程不变形。主体采用金属制作，设备表面金属烤漆，采用橡胶履带。</w:t>
            </w:r>
          </w:p>
          <w:p>
            <w:pPr>
              <w:pStyle w:val="null3"/>
              <w:ind w:firstLine="480"/>
              <w:jc w:val="both"/>
            </w:pPr>
            <w:r>
              <w:rPr>
                <w:rFonts w:ascii="仿宋_GB2312" w:hAnsi="仿宋_GB2312" w:cs="仿宋_GB2312" w:eastAsia="仿宋_GB2312"/>
                <w:sz w:val="24"/>
              </w:rPr>
              <w:t>6、掘锚一体机小模型</w:t>
            </w:r>
          </w:p>
          <w:p>
            <w:pPr>
              <w:pStyle w:val="null3"/>
              <w:ind w:firstLine="480"/>
              <w:jc w:val="both"/>
            </w:pPr>
            <w:r>
              <w:rPr>
                <w:rFonts w:ascii="仿宋_GB2312" w:hAnsi="仿宋_GB2312" w:cs="仿宋_GB2312" w:eastAsia="仿宋_GB2312"/>
                <w:sz w:val="24"/>
              </w:rPr>
              <w:t>尺寸：长</w:t>
            </w:r>
            <w:r>
              <w:rPr>
                <w:rFonts w:ascii="仿宋_GB2312" w:hAnsi="仿宋_GB2312" w:cs="仿宋_GB2312" w:eastAsia="仿宋_GB2312"/>
                <w:sz w:val="24"/>
              </w:rPr>
              <w:t>1米×宽0.35米×高0.33米。</w:t>
            </w:r>
          </w:p>
          <w:p>
            <w:pPr>
              <w:pStyle w:val="null3"/>
              <w:ind w:firstLine="480"/>
              <w:jc w:val="both"/>
            </w:pPr>
            <w:r>
              <w:rPr>
                <w:rFonts w:ascii="仿宋_GB2312" w:hAnsi="仿宋_GB2312" w:cs="仿宋_GB2312" w:eastAsia="仿宋_GB2312"/>
                <w:sz w:val="24"/>
              </w:rPr>
              <w:t>材质</w:t>
            </w:r>
            <w:r>
              <w:rPr>
                <w:rFonts w:ascii="仿宋_GB2312" w:hAnsi="仿宋_GB2312" w:cs="仿宋_GB2312" w:eastAsia="仿宋_GB2312"/>
                <w:sz w:val="24"/>
              </w:rPr>
              <w:t>:标准件 螺丝 铁链 非标件 亚克力 光敏树脂(类ABS和尼龙)，截割头可动。</w:t>
            </w:r>
          </w:p>
          <w:p>
            <w:pPr>
              <w:pStyle w:val="null3"/>
              <w:jc w:val="both"/>
              <w:outlineLvl w:val="0"/>
            </w:pPr>
            <w:r>
              <w:rPr>
                <w:rFonts w:ascii="仿宋_GB2312" w:hAnsi="仿宋_GB2312" w:cs="仿宋_GB2312" w:eastAsia="仿宋_GB2312"/>
                <w:sz w:val="24"/>
                <w:b/>
              </w:rPr>
              <w:t>三、掘锚一体机教学培训考核系统</w:t>
            </w:r>
          </w:p>
          <w:p>
            <w:pPr>
              <w:pStyle w:val="null3"/>
              <w:ind w:firstLine="480"/>
              <w:jc w:val="both"/>
            </w:pPr>
            <w:r>
              <w:rPr>
                <w:rFonts w:ascii="仿宋_GB2312" w:hAnsi="仿宋_GB2312" w:cs="仿宋_GB2312" w:eastAsia="仿宋_GB2312"/>
                <w:sz w:val="24"/>
              </w:rPr>
              <w:t>1、掘锚机教学培训考核</w:t>
            </w:r>
          </w:p>
          <w:p>
            <w:pPr>
              <w:pStyle w:val="null3"/>
              <w:ind w:firstLine="720"/>
              <w:jc w:val="both"/>
            </w:pPr>
            <w:r>
              <w:rPr>
                <w:rFonts w:ascii="仿宋_GB2312" w:hAnsi="仿宋_GB2312" w:cs="仿宋_GB2312" w:eastAsia="仿宋_GB2312"/>
                <w:sz w:val="24"/>
              </w:rPr>
              <w:t>软件中虚拟仿真掘锚机，虚拟仿真掘锚机配备的锚杆机，系统通过模拟掘锚机的实际操作环境，全三维展示，配合实体掘锚机，分为练习模式和考核模式三部分组成，练习模式采用虚拟交互技术。考核模式即在规定时间内考核操作人员能否顺利完成考核。提供电子题库和批阅系统，提供培训指导书（纸质和电子版同时提供）、考核前训练指导书</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系统本身满足掘锚机操作作业基础规范要求，支持国家煤矿特种作业中的掘进机标准考试流程，自动打分，学生和教师可登录管理系统，可将身份信息和考核成绩，储存至服务器，对信息进行综合管理。学生登录管理系统</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2、锚杆机考核部分由校企联合定制考核流程及分值。</w:t>
            </w:r>
          </w:p>
          <w:p>
            <w:pPr>
              <w:pStyle w:val="null3"/>
              <w:ind w:firstLine="480"/>
              <w:jc w:val="both"/>
            </w:pPr>
            <w:r>
              <w:rPr>
                <w:rFonts w:ascii="仿宋_GB2312" w:hAnsi="仿宋_GB2312" w:cs="仿宋_GB2312" w:eastAsia="仿宋_GB2312"/>
                <w:sz w:val="24"/>
              </w:rPr>
              <w:t>训练模式下，系统会以声光或文字或图标的形式，对每一步进行操作引导，考核项目操作提示，实现</w:t>
            </w:r>
            <w:r>
              <w:rPr>
                <w:rFonts w:ascii="仿宋_GB2312" w:hAnsi="仿宋_GB2312" w:cs="仿宋_GB2312" w:eastAsia="仿宋_GB2312"/>
                <w:sz w:val="24"/>
              </w:rPr>
              <w:t>“无老师化”的考核训练模式。</w:t>
            </w:r>
          </w:p>
          <w:p>
            <w:pPr>
              <w:pStyle w:val="null3"/>
              <w:ind w:firstLine="480"/>
              <w:jc w:val="both"/>
            </w:pPr>
            <w:r>
              <w:rPr>
                <w:rFonts w:ascii="仿宋_GB2312" w:hAnsi="仿宋_GB2312" w:cs="仿宋_GB2312" w:eastAsia="仿宋_GB2312"/>
                <w:sz w:val="24"/>
              </w:rPr>
              <w:t>考核模式下，系统除了提供必要的语音文字引导外，不会提供涉及具体考试内容的提示，完成全部考核题目，并在考核完成后，可将身份信息和考核成绩储存至服务器，对信息进行综合管理。</w:t>
            </w:r>
          </w:p>
          <w:p>
            <w:pPr>
              <w:pStyle w:val="null3"/>
              <w:ind w:firstLine="480"/>
              <w:jc w:val="both"/>
            </w:pPr>
            <w:r>
              <w:rPr>
                <w:rFonts w:ascii="仿宋_GB2312" w:hAnsi="仿宋_GB2312" w:cs="仿宋_GB2312" w:eastAsia="仿宋_GB2312"/>
                <w:sz w:val="24"/>
              </w:rPr>
              <w:t>组卷方式，由</w:t>
            </w:r>
            <w:r>
              <w:rPr>
                <w:rFonts w:ascii="仿宋_GB2312" w:hAnsi="仿宋_GB2312" w:cs="仿宋_GB2312" w:eastAsia="仿宋_GB2312"/>
                <w:sz w:val="24"/>
              </w:rPr>
              <w:t>K1（40分），K2（30分）、K3（30分）三个科目组成试卷。</w:t>
            </w:r>
          </w:p>
          <w:p>
            <w:pPr>
              <w:pStyle w:val="null3"/>
              <w:ind w:firstLine="480"/>
              <w:jc w:val="both"/>
            </w:pPr>
            <w:r>
              <w:rPr>
                <w:rFonts w:ascii="仿宋_GB2312" w:hAnsi="仿宋_GB2312" w:cs="仿宋_GB2312" w:eastAsia="仿宋_GB2312"/>
                <w:sz w:val="24"/>
              </w:rPr>
              <w:t>考试成绩总分</w:t>
            </w:r>
            <w:r>
              <w:rPr>
                <w:rFonts w:ascii="仿宋_GB2312" w:hAnsi="仿宋_GB2312" w:cs="仿宋_GB2312" w:eastAsia="仿宋_GB2312"/>
                <w:sz w:val="24"/>
              </w:rPr>
              <w:t>100分，60分以上为合格。</w:t>
            </w:r>
          </w:p>
          <w:p>
            <w:pPr>
              <w:pStyle w:val="null3"/>
              <w:ind w:firstLine="480"/>
              <w:jc w:val="both"/>
            </w:pPr>
            <w:r>
              <w:rPr>
                <w:rFonts w:ascii="仿宋_GB2312" w:hAnsi="仿宋_GB2312" w:cs="仿宋_GB2312" w:eastAsia="仿宋_GB2312"/>
                <w:sz w:val="24"/>
              </w:rPr>
              <w:t>考试时间</w:t>
            </w:r>
            <w:r>
              <w:rPr>
                <w:rFonts w:ascii="仿宋_GB2312" w:hAnsi="仿宋_GB2312" w:cs="仿宋_GB2312" w:eastAsia="仿宋_GB2312"/>
                <w:sz w:val="24"/>
              </w:rPr>
              <w:t>: 30分钟。</w:t>
            </w:r>
          </w:p>
          <w:p>
            <w:pPr>
              <w:pStyle w:val="null3"/>
              <w:ind w:firstLine="480"/>
              <w:jc w:val="center"/>
            </w:pPr>
            <w:r>
              <w:rPr>
                <w:rFonts w:ascii="仿宋_GB2312" w:hAnsi="仿宋_GB2312" w:cs="仿宋_GB2312" w:eastAsia="仿宋_GB2312"/>
                <w:sz w:val="24"/>
              </w:rPr>
              <w:t>实操考试科目表</w:t>
            </w:r>
            <w:r>
              <w:br/>
            </w: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60"/>
              <w:gridCol w:w="404"/>
              <w:gridCol w:w="1887"/>
            </w:tblGrid>
            <w:tr>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科目</w:t>
                  </w:r>
                </w:p>
              </w:tc>
              <w:tc>
                <w:tcPr>
                  <w:tcW w:type="dxa" w:w="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考试内容</w:t>
                  </w:r>
                </w:p>
              </w:tc>
              <w:tc>
                <w:tcPr>
                  <w:tcW w:type="dxa" w:w="18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可操作内容</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K1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掘进机作业前安全检查</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（一）作业环境安全检查</w:t>
                  </w:r>
                </w:p>
                <w:p>
                  <w:pPr>
                    <w:pStyle w:val="null3"/>
                    <w:jc w:val="both"/>
                  </w:pPr>
                  <w:r>
                    <w:rPr>
                      <w:rFonts w:ascii="仿宋_GB2312" w:hAnsi="仿宋_GB2312" w:cs="仿宋_GB2312" w:eastAsia="仿宋_GB2312"/>
                      <w:sz w:val="22"/>
                    </w:rPr>
                    <w:t>1.检查作业环境；2.检查顶板支护；3.检查局部通风；4.检查供水管路和电气装置。</w:t>
                  </w:r>
                </w:p>
                <w:p>
                  <w:pPr>
                    <w:pStyle w:val="null3"/>
                    <w:jc w:val="both"/>
                  </w:pPr>
                  <w:r>
                    <w:rPr>
                      <w:rFonts w:ascii="仿宋_GB2312" w:hAnsi="仿宋_GB2312" w:cs="仿宋_GB2312" w:eastAsia="仿宋_GB2312"/>
                      <w:sz w:val="22"/>
                    </w:rPr>
                    <w:t>(二）运行装置安全检查</w:t>
                  </w:r>
                </w:p>
                <w:p>
                  <w:pPr>
                    <w:pStyle w:val="null3"/>
                    <w:jc w:val="both"/>
                  </w:pPr>
                  <w:r>
                    <w:rPr>
                      <w:rFonts w:ascii="仿宋_GB2312" w:hAnsi="仿宋_GB2312" w:cs="仿宋_GB2312" w:eastAsia="仿宋_GB2312"/>
                      <w:sz w:val="22"/>
                    </w:rPr>
                    <w:t>1.检查操作装置；2.检查连接装置；3.检查截割装置；4.检查传动装置；5.检查喷雾装置。</w:t>
                  </w:r>
                </w:p>
                <w:p>
                  <w:pPr>
                    <w:pStyle w:val="null3"/>
                    <w:jc w:val="both"/>
                  </w:pPr>
                  <w:r>
                    <w:rPr>
                      <w:rFonts w:ascii="仿宋_GB2312" w:hAnsi="仿宋_GB2312" w:cs="仿宋_GB2312" w:eastAsia="仿宋_GB2312"/>
                      <w:sz w:val="22"/>
                    </w:rPr>
                    <w:t>(三）试运转安全操作</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K2</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掘进机安全操作</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1.开机安全操作；2.截割安全操作；3.停机安全操作；4.收工安全操作。</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K3</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锚杆机安全检查运转操作</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（一）锚杆机运行装置安全检查</w:t>
                  </w:r>
                </w:p>
                <w:p>
                  <w:pPr>
                    <w:pStyle w:val="null3"/>
                    <w:jc w:val="both"/>
                  </w:pPr>
                  <w:r>
                    <w:rPr>
                      <w:rFonts w:ascii="仿宋_GB2312" w:hAnsi="仿宋_GB2312" w:cs="仿宋_GB2312" w:eastAsia="仿宋_GB2312"/>
                      <w:sz w:val="22"/>
                    </w:rPr>
                    <w:t>1.检查操作装置；2.检查连接装置</w:t>
                  </w:r>
                </w:p>
                <w:p>
                  <w:pPr>
                    <w:pStyle w:val="null3"/>
                    <w:jc w:val="both"/>
                  </w:pPr>
                  <w:r>
                    <w:rPr>
                      <w:rFonts w:ascii="仿宋_GB2312" w:hAnsi="仿宋_GB2312" w:cs="仿宋_GB2312" w:eastAsia="仿宋_GB2312"/>
                      <w:sz w:val="22"/>
                    </w:rPr>
                    <w:t>（二）锚杆机运转安全操作</w:t>
                  </w:r>
                </w:p>
                <w:p>
                  <w:pPr>
                    <w:pStyle w:val="null3"/>
                    <w:jc w:val="both"/>
                  </w:pPr>
                  <w:r>
                    <w:rPr>
                      <w:rFonts w:ascii="仿宋_GB2312" w:hAnsi="仿宋_GB2312" w:cs="仿宋_GB2312" w:eastAsia="仿宋_GB2312"/>
                      <w:sz w:val="22"/>
                    </w:rPr>
                    <w:t>1.锚杆机准备安全操作；2.打钻安全操作；3.收工安全操作。</w:t>
                  </w:r>
                </w:p>
              </w:tc>
            </w:tr>
          </w:tbl>
          <w:p>
            <w:pPr>
              <w:pStyle w:val="null3"/>
              <w:ind w:firstLine="480"/>
              <w:jc w:val="center"/>
            </w:pPr>
            <w:r>
              <w:rPr>
                <w:rFonts w:ascii="仿宋_GB2312" w:hAnsi="仿宋_GB2312" w:cs="仿宋_GB2312" w:eastAsia="仿宋_GB2312"/>
                <w:sz w:val="24"/>
              </w:rPr>
              <w:t>（</w:t>
            </w:r>
            <w:r>
              <w:rPr>
                <w:rFonts w:ascii="仿宋_GB2312" w:hAnsi="仿宋_GB2312" w:cs="仿宋_GB2312" w:eastAsia="仿宋_GB2312"/>
                <w:sz w:val="24"/>
              </w:rPr>
              <w:t>3）训练和考核过程，提示检查环境时，检查三维场景中的检查点，需要操作开关按钮等控制部分时，使用掘进机上的开关按钮，以及高仿真的掘进机操作手柄，完成对应操作。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4）可完成的操作实训内容</w:t>
            </w:r>
          </w:p>
          <w:p>
            <w:pPr>
              <w:pStyle w:val="null3"/>
              <w:jc w:val="both"/>
            </w:pPr>
            <w:r>
              <w:rPr>
                <w:rFonts w:ascii="仿宋_GB2312" w:hAnsi="仿宋_GB2312" w:cs="仿宋_GB2312" w:eastAsia="仿宋_GB2312"/>
                <w:sz w:val="24"/>
              </w:rPr>
              <w:t>该设备能够实现学员实训操作；掘锚机的实训操作：割煤、行走、摇臂升降等功能，以及锚钻机操作。</w:t>
            </w:r>
          </w:p>
          <w:p>
            <w:pPr>
              <w:pStyle w:val="null3"/>
              <w:jc w:val="both"/>
            </w:pPr>
            <w:r>
              <w:rPr>
                <w:rFonts w:ascii="仿宋_GB2312" w:hAnsi="仿宋_GB2312" w:cs="仿宋_GB2312" w:eastAsia="仿宋_GB2312"/>
                <w:sz w:val="24"/>
              </w:rPr>
              <w:t>远程联动控制：通过集成控制系统软件，训练学生实现对掘锚机设备的遥控控制和自动化操作。</w:t>
            </w:r>
          </w:p>
          <w:p>
            <w:pPr>
              <w:pStyle w:val="null3"/>
              <w:jc w:val="both"/>
            </w:pPr>
            <w:r>
              <w:rPr>
                <w:rFonts w:ascii="仿宋_GB2312" w:hAnsi="仿宋_GB2312" w:cs="仿宋_GB2312" w:eastAsia="仿宋_GB2312"/>
                <w:sz w:val="24"/>
              </w:rPr>
              <w:t>远程监控：利用高清摄像头和传感器，让学生掌握掘锚机各项参数的实际功能和含义，实现对掘锚机掘进工作面情况的掌握。</w:t>
            </w:r>
          </w:p>
          <w:p>
            <w:pPr>
              <w:pStyle w:val="null3"/>
              <w:jc w:val="both"/>
            </w:pPr>
            <w:r>
              <w:rPr>
                <w:rFonts w:ascii="仿宋_GB2312" w:hAnsi="仿宋_GB2312" w:cs="仿宋_GB2312" w:eastAsia="仿宋_GB2312"/>
                <w:sz w:val="24"/>
              </w:rPr>
              <w:t>数据监控：利用掘锚机参数（铲板、截割臂、后支撑行程传感器数据）监控子系统，实时监测掘锚机作业过程中的各项数据。</w:t>
            </w:r>
          </w:p>
          <w:p>
            <w:pPr>
              <w:pStyle w:val="null3"/>
              <w:jc w:val="both"/>
            </w:pPr>
            <w:r>
              <w:rPr>
                <w:rFonts w:ascii="仿宋_GB2312" w:hAnsi="仿宋_GB2312" w:cs="仿宋_GB2312" w:eastAsia="仿宋_GB2312"/>
                <w:sz w:val="24"/>
              </w:rPr>
              <w:t>教学培训考核：通过软硬件系统提供的模拟操作，对学生进行实操培训考核，提高其技能水平和应急处理能力。</w:t>
            </w:r>
          </w:p>
          <w:p>
            <w:pPr>
              <w:pStyle w:val="null3"/>
              <w:jc w:val="both"/>
              <w:outlineLvl w:val="0"/>
            </w:pPr>
            <w:r>
              <w:rPr>
                <w:rFonts w:ascii="仿宋_GB2312" w:hAnsi="仿宋_GB2312" w:cs="仿宋_GB2312" w:eastAsia="仿宋_GB2312"/>
                <w:sz w:val="24"/>
                <w:b/>
              </w:rPr>
              <w:t>四、掘锚一体机显示系统</w:t>
            </w:r>
          </w:p>
          <w:p>
            <w:pPr>
              <w:pStyle w:val="null3"/>
              <w:ind w:firstLine="480"/>
              <w:jc w:val="both"/>
            </w:pPr>
            <w:r>
              <w:rPr>
                <w:rFonts w:ascii="仿宋_GB2312" w:hAnsi="仿宋_GB2312" w:cs="仿宋_GB2312" w:eastAsia="仿宋_GB2312"/>
                <w:sz w:val="24"/>
              </w:rPr>
              <w:t>1、尺寸：3m×2m</w:t>
            </w:r>
          </w:p>
          <w:p>
            <w:pPr>
              <w:pStyle w:val="null3"/>
              <w:ind w:firstLine="480"/>
              <w:jc w:val="both"/>
            </w:pPr>
            <w:r>
              <w:rPr>
                <w:rFonts w:ascii="仿宋_GB2312" w:hAnsi="仿宋_GB2312" w:cs="仿宋_GB2312" w:eastAsia="仿宋_GB2312"/>
                <w:sz w:val="24"/>
              </w:rPr>
              <w:t>2、点间距离：≤1.5mm</w:t>
            </w:r>
          </w:p>
          <w:p>
            <w:pPr>
              <w:pStyle w:val="null3"/>
              <w:ind w:firstLine="480"/>
              <w:jc w:val="both"/>
            </w:pPr>
            <w:r>
              <w:rPr>
                <w:rFonts w:ascii="仿宋_GB2312" w:hAnsi="仿宋_GB2312" w:cs="仿宋_GB2312" w:eastAsia="仿宋_GB2312"/>
                <w:sz w:val="24"/>
              </w:rPr>
              <w:t>3、物理密度：422500点/平米</w:t>
            </w:r>
          </w:p>
          <w:p>
            <w:pPr>
              <w:pStyle w:val="null3"/>
              <w:ind w:firstLine="480"/>
              <w:jc w:val="both"/>
            </w:pPr>
            <w:r>
              <w:rPr>
                <w:rFonts w:ascii="仿宋_GB2312" w:hAnsi="仿宋_GB2312" w:cs="仿宋_GB2312" w:eastAsia="仿宋_GB2312"/>
                <w:sz w:val="24"/>
              </w:rPr>
              <w:t>4、发光点颜色:1R1G1B</w:t>
            </w:r>
          </w:p>
          <w:p>
            <w:pPr>
              <w:pStyle w:val="null3"/>
              <w:ind w:firstLine="480"/>
              <w:jc w:val="both"/>
            </w:pPr>
            <w:r>
              <w:rPr>
                <w:rFonts w:ascii="仿宋_GB2312" w:hAnsi="仿宋_GB2312" w:cs="仿宋_GB2312" w:eastAsia="仿宋_GB2312"/>
                <w:sz w:val="24"/>
              </w:rPr>
              <w:t>5、封装尺寸: ≤SMD1515</w:t>
            </w:r>
          </w:p>
          <w:p>
            <w:pPr>
              <w:pStyle w:val="null3"/>
              <w:ind w:firstLine="480"/>
              <w:jc w:val="both"/>
            </w:pPr>
            <w:r>
              <w:rPr>
                <w:rFonts w:ascii="仿宋_GB2312" w:hAnsi="仿宋_GB2312" w:cs="仿宋_GB2312" w:eastAsia="仿宋_GB2312"/>
                <w:sz w:val="24"/>
              </w:rPr>
              <w:t>6、单模组分辨率:（W）208点×（H）104点</w:t>
            </w:r>
          </w:p>
          <w:p>
            <w:pPr>
              <w:pStyle w:val="null3"/>
              <w:ind w:firstLine="480"/>
              <w:jc w:val="both"/>
            </w:pPr>
            <w:r>
              <w:rPr>
                <w:rFonts w:ascii="仿宋_GB2312" w:hAnsi="仿宋_GB2312" w:cs="仿宋_GB2312" w:eastAsia="仿宋_GB2312"/>
                <w:sz w:val="24"/>
              </w:rPr>
              <w:t>7、自然色温6500K±5%(可调区间为1000 K至20000 K)</w:t>
            </w:r>
          </w:p>
          <w:p>
            <w:pPr>
              <w:pStyle w:val="null3"/>
              <w:ind w:firstLine="480"/>
              <w:jc w:val="both"/>
            </w:pPr>
            <w:r>
              <w:rPr>
                <w:rFonts w:ascii="仿宋_GB2312" w:hAnsi="仿宋_GB2312" w:cs="仿宋_GB2312" w:eastAsia="仿宋_GB2312"/>
                <w:sz w:val="24"/>
              </w:rPr>
              <w:t>8、亮度：≥500CD/㎡</w:t>
            </w:r>
          </w:p>
          <w:p>
            <w:pPr>
              <w:pStyle w:val="null3"/>
              <w:ind w:firstLine="480"/>
              <w:jc w:val="both"/>
            </w:pPr>
            <w:r>
              <w:rPr>
                <w:rFonts w:ascii="仿宋_GB2312" w:hAnsi="仿宋_GB2312" w:cs="仿宋_GB2312" w:eastAsia="仿宋_GB2312"/>
                <w:sz w:val="24"/>
              </w:rPr>
              <w:t>9、亮度衰减：工作3年亮度衰减率＜3％</w:t>
            </w:r>
          </w:p>
          <w:p>
            <w:pPr>
              <w:pStyle w:val="null3"/>
              <w:ind w:firstLine="480"/>
              <w:jc w:val="both"/>
            </w:pPr>
            <w:r>
              <w:rPr>
                <w:rFonts w:ascii="仿宋_GB2312" w:hAnsi="仿宋_GB2312" w:cs="仿宋_GB2312" w:eastAsia="仿宋_GB2312"/>
                <w:sz w:val="24"/>
              </w:rPr>
              <w:t>10、视角：水平视角≥170°、垂直视角≥170°</w:t>
            </w:r>
          </w:p>
          <w:p>
            <w:pPr>
              <w:pStyle w:val="null3"/>
              <w:ind w:firstLine="480"/>
              <w:jc w:val="both"/>
            </w:pPr>
            <w:r>
              <w:rPr>
                <w:rFonts w:ascii="仿宋_GB2312" w:hAnsi="仿宋_GB2312" w:cs="仿宋_GB2312" w:eastAsia="仿宋_GB2312"/>
                <w:sz w:val="24"/>
              </w:rPr>
              <w:t>11、可实现LED单点检测、通讯检测、温度检测，电源检测，温度监控等功能。</w:t>
            </w:r>
          </w:p>
          <w:p>
            <w:pPr>
              <w:pStyle w:val="null3"/>
              <w:ind w:firstLine="480"/>
              <w:jc w:val="both"/>
            </w:pPr>
            <w:r>
              <w:rPr>
                <w:rFonts w:ascii="仿宋_GB2312" w:hAnsi="仿宋_GB2312" w:cs="仿宋_GB2312" w:eastAsia="仿宋_GB2312"/>
                <w:sz w:val="24"/>
              </w:rPr>
              <w:t>12、LED显示屏图像主观质量评价：按SJ/T 11590-2016LED显示屏图像质量评价方法进行,主观感受满足图像质量好，评价优级，评分5分。</w:t>
            </w:r>
          </w:p>
          <w:p>
            <w:pPr>
              <w:pStyle w:val="null3"/>
              <w:ind w:firstLine="480"/>
              <w:jc w:val="both"/>
            </w:pPr>
            <w:r>
              <w:rPr>
                <w:rFonts w:ascii="仿宋_GB2312" w:hAnsi="仿宋_GB2312" w:cs="仿宋_GB2312" w:eastAsia="仿宋_GB2312"/>
                <w:sz w:val="24"/>
              </w:rPr>
              <w:t>13、LED显示屏Color Space覆盖率≥120% (NTSC)</w:t>
            </w:r>
          </w:p>
          <w:p>
            <w:pPr>
              <w:pStyle w:val="null3"/>
              <w:ind w:firstLine="480"/>
              <w:jc w:val="both"/>
            </w:pPr>
            <w:r>
              <w:rPr>
                <w:rFonts w:ascii="仿宋_GB2312" w:hAnsi="仿宋_GB2312" w:cs="仿宋_GB2312" w:eastAsia="仿宋_GB2312"/>
                <w:sz w:val="24"/>
              </w:rPr>
              <w:t>14、像素中心距相对偏差等级：符合SJ/T 11141-2017标准C级;Jx＜5%</w:t>
            </w:r>
          </w:p>
          <w:p>
            <w:pPr>
              <w:pStyle w:val="null3"/>
              <w:ind w:firstLine="480"/>
              <w:jc w:val="both"/>
            </w:pPr>
            <w:r>
              <w:rPr>
                <w:rFonts w:ascii="仿宋_GB2312" w:hAnsi="仿宋_GB2312" w:cs="仿宋_GB2312" w:eastAsia="仿宋_GB2312"/>
                <w:sz w:val="24"/>
              </w:rPr>
              <w:t>15、显示屏黑屏不亮下功耗≤50W/平米</w:t>
            </w:r>
          </w:p>
          <w:p>
            <w:pPr>
              <w:pStyle w:val="null3"/>
              <w:ind w:firstLine="480"/>
              <w:jc w:val="both"/>
            </w:pPr>
            <w:r>
              <w:rPr>
                <w:rFonts w:ascii="仿宋_GB2312" w:hAnsi="仿宋_GB2312" w:cs="仿宋_GB2312" w:eastAsia="仿宋_GB2312"/>
                <w:sz w:val="24"/>
              </w:rPr>
              <w:t>16、PCB板电路板依据GB4943.1-2022标准，防火保护外壳内的元器件和其他零部件。阻燃等级达到UL94 V-0等级</w:t>
            </w:r>
          </w:p>
          <w:p>
            <w:pPr>
              <w:pStyle w:val="null3"/>
              <w:ind w:firstLine="480"/>
              <w:jc w:val="both"/>
            </w:pPr>
            <w:r>
              <w:rPr>
                <w:rFonts w:ascii="仿宋_GB2312" w:hAnsi="仿宋_GB2312" w:cs="仿宋_GB2312" w:eastAsia="仿宋_GB2312"/>
                <w:sz w:val="24"/>
              </w:rPr>
              <w:t>17、支持自动gamma校正技术，通过构造非线性校正曲线和色坐标变换系数矩阵实现了显示效果的不断改善，各项重要指标如色彩还原性、色温调节范围、亮度均匀性、色度均匀性</w:t>
            </w:r>
            <w:r>
              <w:rPr>
                <w:rFonts w:ascii="仿宋_GB2312" w:hAnsi="仿宋_GB2312" w:cs="仿宋_GB2312" w:eastAsia="仿宋_GB2312"/>
                <w:sz w:val="24"/>
              </w:rPr>
              <w:t>等</w:t>
            </w:r>
            <w:r>
              <w:rPr>
                <w:rFonts w:ascii="仿宋_GB2312" w:hAnsi="仿宋_GB2312" w:cs="仿宋_GB2312" w:eastAsia="仿宋_GB2312"/>
                <w:sz w:val="24"/>
              </w:rPr>
              <w:t>，均符合广电级标准。</w:t>
            </w:r>
          </w:p>
          <w:p>
            <w:pPr>
              <w:pStyle w:val="null3"/>
              <w:ind w:firstLine="480"/>
              <w:jc w:val="both"/>
            </w:pPr>
            <w:r>
              <w:rPr>
                <w:rFonts w:ascii="仿宋_GB2312" w:hAnsi="仿宋_GB2312" w:cs="仿宋_GB2312" w:eastAsia="仿宋_GB2312"/>
                <w:sz w:val="24"/>
              </w:rPr>
              <w:t>18、显示屏依据GB/T20145-2006标准，对蓝光危害进行测试，蓝光在460nm时为1.35E-02W/（㎡*sr*nm），符合无危险类要求</w:t>
            </w:r>
            <w:r>
              <w:rPr>
                <w:rFonts w:ascii="仿宋_GB2312" w:hAnsi="仿宋_GB2312" w:cs="仿宋_GB2312" w:eastAsia="仿宋_GB2312"/>
                <w:sz w:val="24"/>
              </w:rPr>
              <w:t>。</w:t>
            </w:r>
          </w:p>
          <w:p>
            <w:pPr>
              <w:pStyle w:val="null3"/>
              <w:jc w:val="both"/>
              <w:outlineLvl w:val="0"/>
            </w:pPr>
            <w:r>
              <w:rPr>
                <w:rFonts w:ascii="仿宋_GB2312" w:hAnsi="仿宋_GB2312" w:cs="仿宋_GB2312" w:eastAsia="仿宋_GB2312"/>
                <w:sz w:val="24"/>
                <w:b/>
              </w:rPr>
              <w:t>五、电气开关（煤矿电气设备</w:t>
            </w:r>
            <w:r>
              <w:rPr>
                <w:rFonts w:ascii="仿宋_GB2312" w:hAnsi="仿宋_GB2312" w:cs="仿宋_GB2312" w:eastAsia="仿宋_GB2312"/>
                <w:sz w:val="24"/>
                <w:b/>
              </w:rPr>
              <w:t>——需配备接线练习使用电缆</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5.1矿用隔爆兼本质安全型真空电磁起动器</w:t>
            </w:r>
          </w:p>
          <w:p>
            <w:pPr>
              <w:pStyle w:val="null3"/>
              <w:ind w:firstLine="480"/>
              <w:jc w:val="both"/>
            </w:pPr>
            <w:r>
              <w:rPr>
                <w:rFonts w:ascii="仿宋_GB2312" w:hAnsi="仿宋_GB2312" w:cs="仿宋_GB2312" w:eastAsia="仿宋_GB2312"/>
                <w:sz w:val="24"/>
              </w:rPr>
              <w:t>矿用隔爆兼本质安全型真空电磁起动器用于交流</w:t>
            </w:r>
            <w:r>
              <w:rPr>
                <w:rFonts w:ascii="仿宋_GB2312" w:hAnsi="仿宋_GB2312" w:cs="仿宋_GB2312" w:eastAsia="仿宋_GB2312"/>
                <w:sz w:val="24"/>
              </w:rPr>
              <w:t>50HZ，额定电压为380V的线路中，具备对三相鼠笼式电动机启动、停止进行控制和保护，并可在停止时进行换向。</w:t>
            </w:r>
          </w:p>
          <w:p>
            <w:pPr>
              <w:pStyle w:val="null3"/>
              <w:ind w:firstLine="480"/>
              <w:jc w:val="both"/>
            </w:pPr>
            <w:r>
              <w:rPr>
                <w:rFonts w:ascii="仿宋_GB2312" w:hAnsi="仿宋_GB2312" w:cs="仿宋_GB2312" w:eastAsia="仿宋_GB2312"/>
                <w:sz w:val="24"/>
              </w:rPr>
              <w:t>核心保护部分需采用智能化电动机综合保护器作控制单元，具有漏电闭锁、过流保护、断相保护、欠压保护、程控保护及通讯接口等功能，该保护器同时可用于</w:t>
            </w:r>
            <w:r>
              <w:rPr>
                <w:rFonts w:ascii="仿宋_GB2312" w:hAnsi="仿宋_GB2312" w:cs="仿宋_GB2312" w:eastAsia="仿宋_GB2312"/>
                <w:sz w:val="24"/>
              </w:rPr>
              <w:t>315A/400A开关内。</w:t>
            </w:r>
          </w:p>
          <w:p>
            <w:pPr>
              <w:pStyle w:val="null3"/>
              <w:ind w:firstLine="482"/>
              <w:jc w:val="left"/>
            </w:pPr>
            <w:r>
              <w:rPr>
                <w:rFonts w:ascii="仿宋_GB2312" w:hAnsi="仿宋_GB2312" w:cs="仿宋_GB2312" w:eastAsia="仿宋_GB2312"/>
                <w:sz w:val="24"/>
                <w:b/>
              </w:rPr>
              <w:t>主要性能和技术参数要求</w:t>
            </w:r>
          </w:p>
          <w:p>
            <w:pPr>
              <w:pStyle w:val="null3"/>
              <w:ind w:firstLine="480"/>
              <w:jc w:val="both"/>
            </w:pPr>
            <w:r>
              <w:rPr>
                <w:rFonts w:ascii="仿宋_GB2312" w:hAnsi="仿宋_GB2312" w:cs="仿宋_GB2312" w:eastAsia="仿宋_GB2312"/>
                <w:sz w:val="24"/>
              </w:rPr>
              <w:t>额定电压：</w:t>
            </w:r>
            <w:r>
              <w:rPr>
                <w:rFonts w:ascii="仿宋_GB2312" w:hAnsi="仿宋_GB2312" w:cs="仿宋_GB2312" w:eastAsia="仿宋_GB2312"/>
                <w:sz w:val="24"/>
              </w:rPr>
              <w:t>≥380V</w:t>
            </w:r>
          </w:p>
          <w:p>
            <w:pPr>
              <w:pStyle w:val="null3"/>
              <w:ind w:firstLine="480"/>
              <w:jc w:val="both"/>
            </w:pPr>
            <w:r>
              <w:rPr>
                <w:rFonts w:ascii="仿宋_GB2312" w:hAnsi="仿宋_GB2312" w:cs="仿宋_GB2312" w:eastAsia="仿宋_GB2312"/>
                <w:sz w:val="24"/>
              </w:rPr>
              <w:t>当线路电压不低于额定值的</w:t>
            </w:r>
            <w:r>
              <w:rPr>
                <w:rFonts w:ascii="仿宋_GB2312" w:hAnsi="仿宋_GB2312" w:cs="仿宋_GB2312" w:eastAsia="仿宋_GB2312"/>
                <w:sz w:val="24"/>
              </w:rPr>
              <w:t>75%，不高于额定值的120%时，起动器均能可靠地工作。</w:t>
            </w:r>
          </w:p>
          <w:p>
            <w:pPr>
              <w:pStyle w:val="null3"/>
              <w:ind w:firstLine="480"/>
              <w:jc w:val="both"/>
            </w:pPr>
            <w:r>
              <w:rPr>
                <w:rFonts w:ascii="仿宋_GB2312" w:hAnsi="仿宋_GB2312" w:cs="仿宋_GB2312" w:eastAsia="仿宋_GB2312"/>
                <w:sz w:val="24"/>
              </w:rPr>
              <w:t>额定电流：</w:t>
            </w:r>
            <w:r>
              <w:rPr>
                <w:rFonts w:ascii="仿宋_GB2312" w:hAnsi="仿宋_GB2312" w:cs="仿宋_GB2312" w:eastAsia="仿宋_GB2312"/>
                <w:sz w:val="24"/>
              </w:rPr>
              <w:t>≥400A；</w:t>
            </w:r>
          </w:p>
          <w:p>
            <w:pPr>
              <w:pStyle w:val="null3"/>
              <w:ind w:firstLine="480"/>
              <w:jc w:val="both"/>
            </w:pPr>
            <w:r>
              <w:rPr>
                <w:rFonts w:ascii="仿宋_GB2312" w:hAnsi="仿宋_GB2312" w:cs="仿宋_GB2312" w:eastAsia="仿宋_GB2312"/>
                <w:sz w:val="24"/>
              </w:rPr>
              <w:t>额定功率：</w:t>
            </w:r>
            <w:r>
              <w:rPr>
                <w:rFonts w:ascii="仿宋_GB2312" w:hAnsi="仿宋_GB2312" w:cs="仿宋_GB2312" w:eastAsia="仿宋_GB2312"/>
                <w:sz w:val="24"/>
              </w:rPr>
              <w:t>≥50Hz；</w:t>
            </w:r>
          </w:p>
          <w:p>
            <w:pPr>
              <w:pStyle w:val="null3"/>
              <w:ind w:firstLine="480"/>
              <w:jc w:val="both"/>
            </w:pPr>
            <w:r>
              <w:rPr>
                <w:rFonts w:ascii="仿宋_GB2312" w:hAnsi="仿宋_GB2312" w:cs="仿宋_GB2312" w:eastAsia="仿宋_GB2312"/>
                <w:sz w:val="24"/>
              </w:rPr>
              <w:t>工作方式：</w:t>
            </w:r>
            <w:r>
              <w:rPr>
                <w:rFonts w:ascii="仿宋_GB2312" w:hAnsi="仿宋_GB2312" w:cs="仿宋_GB2312" w:eastAsia="仿宋_GB2312"/>
                <w:sz w:val="24"/>
              </w:rPr>
              <w:t>8小时工作制；</w:t>
            </w:r>
          </w:p>
          <w:p>
            <w:pPr>
              <w:pStyle w:val="null3"/>
              <w:ind w:firstLine="480"/>
              <w:jc w:val="both"/>
            </w:pPr>
            <w:r>
              <w:rPr>
                <w:rFonts w:ascii="仿宋_GB2312" w:hAnsi="仿宋_GB2312" w:cs="仿宋_GB2312" w:eastAsia="仿宋_GB2312"/>
                <w:sz w:val="24"/>
              </w:rPr>
              <w:t>单台接触器极限分断能力：</w:t>
            </w:r>
            <w:r>
              <w:rPr>
                <w:rFonts w:ascii="仿宋_GB2312" w:hAnsi="仿宋_GB2312" w:cs="仿宋_GB2312" w:eastAsia="仿宋_GB2312"/>
                <w:sz w:val="24"/>
              </w:rPr>
              <w:t>≥4.5KA；</w:t>
            </w:r>
          </w:p>
          <w:p>
            <w:pPr>
              <w:pStyle w:val="null3"/>
              <w:ind w:firstLine="480"/>
              <w:jc w:val="both"/>
            </w:pPr>
            <w:r>
              <w:rPr>
                <w:rFonts w:ascii="仿宋_GB2312" w:hAnsi="仿宋_GB2312" w:cs="仿宋_GB2312" w:eastAsia="仿宋_GB2312"/>
                <w:sz w:val="24"/>
              </w:rPr>
              <w:t>防爆型式为：矿用隔爆兼本质安全型；</w:t>
            </w:r>
          </w:p>
          <w:p>
            <w:pPr>
              <w:pStyle w:val="null3"/>
              <w:ind w:firstLine="480"/>
              <w:jc w:val="both"/>
            </w:pPr>
            <w:r>
              <w:rPr>
                <w:rFonts w:ascii="仿宋_GB2312" w:hAnsi="仿宋_GB2312" w:cs="仿宋_GB2312" w:eastAsia="仿宋_GB2312"/>
                <w:sz w:val="24"/>
              </w:rPr>
              <w:t>防爆标志：</w:t>
            </w:r>
            <w:r>
              <w:rPr>
                <w:rFonts w:ascii="仿宋_GB2312" w:hAnsi="仿宋_GB2312" w:cs="仿宋_GB2312" w:eastAsia="仿宋_GB2312"/>
                <w:sz w:val="24"/>
              </w:rPr>
              <w:t>Exd[ib]IMb；</w:t>
            </w:r>
          </w:p>
          <w:p>
            <w:pPr>
              <w:pStyle w:val="null3"/>
              <w:ind w:firstLine="480"/>
              <w:jc w:val="both"/>
            </w:pPr>
            <w:r>
              <w:rPr>
                <w:rFonts w:ascii="仿宋_GB2312" w:hAnsi="仿宋_GB2312" w:cs="仿宋_GB2312" w:eastAsia="仿宋_GB2312"/>
                <w:sz w:val="24"/>
              </w:rPr>
              <w:t>5.2矿用隔爆型低压真空馈电开关</w:t>
            </w:r>
          </w:p>
          <w:p>
            <w:pPr>
              <w:pStyle w:val="null3"/>
              <w:ind w:firstLine="480"/>
              <w:jc w:val="both"/>
            </w:pPr>
            <w:r>
              <w:rPr>
                <w:rFonts w:ascii="仿宋_GB2312" w:hAnsi="仿宋_GB2312" w:cs="仿宋_GB2312" w:eastAsia="仿宋_GB2312"/>
                <w:sz w:val="24"/>
              </w:rPr>
              <w:t>矿用隔爆型低压真空馈电开关（以下简称馈电开关），需采用智能化低压馈电保护器作为开关的主保护。需具有短路、过载、漏电闭锁、漏电保护、选择性漏电保护、低电压保护、全中文显示、跳闸原因长期记忆、风电闭锁、相平衡保护、通讯功能等。其中通讯功能可向上级站传输实时的电度数、电网电压、负载电流、零序电压、零序电流、绝缘电阻、合分闸状态、及故障跳闸原因等，通过上位站可进行本开关的参数整定、功能试验等。</w:t>
            </w:r>
          </w:p>
          <w:p>
            <w:pPr>
              <w:pStyle w:val="null3"/>
              <w:ind w:firstLine="480"/>
              <w:jc w:val="both"/>
            </w:pPr>
            <w:r>
              <w:rPr>
                <w:rFonts w:ascii="仿宋_GB2312" w:hAnsi="仿宋_GB2312" w:cs="仿宋_GB2312" w:eastAsia="仿宋_GB2312"/>
                <w:sz w:val="24"/>
              </w:rPr>
              <w:t>本馈电开关可适用于含有煤尘及爆炸性危险气体的矿井下的</w:t>
            </w:r>
            <w:r>
              <w:rPr>
                <w:rFonts w:ascii="仿宋_GB2312" w:hAnsi="仿宋_GB2312" w:cs="仿宋_GB2312" w:eastAsia="仿宋_GB2312"/>
                <w:sz w:val="24"/>
              </w:rPr>
              <w:t>1140V（660V）的中性点不直接接地的三相电网中，作为移动变电站用馈电开关或单独作为配电总开关、分支开关，也可作为大容量电动机不频繁起动之用。</w:t>
            </w:r>
          </w:p>
          <w:p>
            <w:pPr>
              <w:pStyle w:val="null3"/>
              <w:ind w:firstLine="480"/>
              <w:jc w:val="both"/>
            </w:pPr>
            <w:r>
              <w:rPr>
                <w:rFonts w:ascii="仿宋_GB2312" w:hAnsi="仿宋_GB2312" w:cs="仿宋_GB2312" w:eastAsia="仿宋_GB2312"/>
                <w:sz w:val="24"/>
              </w:rPr>
              <w:t>技术参数要求</w:t>
            </w:r>
          </w:p>
          <w:p>
            <w:pPr>
              <w:pStyle w:val="null3"/>
              <w:ind w:firstLine="480"/>
              <w:jc w:val="both"/>
            </w:pPr>
            <w:r>
              <w:rPr>
                <w:rFonts w:ascii="仿宋_GB2312" w:hAnsi="仿宋_GB2312" w:cs="仿宋_GB2312" w:eastAsia="仿宋_GB2312"/>
                <w:sz w:val="24"/>
              </w:rPr>
              <w:t>额定电压：</w:t>
            </w:r>
            <w:r>
              <w:rPr>
                <w:rFonts w:ascii="仿宋_GB2312" w:hAnsi="仿宋_GB2312" w:cs="仿宋_GB2312" w:eastAsia="仿宋_GB2312"/>
                <w:sz w:val="24"/>
              </w:rPr>
              <w:t>≥1140V（660V）</w:t>
            </w:r>
          </w:p>
          <w:p>
            <w:pPr>
              <w:pStyle w:val="null3"/>
              <w:ind w:firstLine="480"/>
              <w:jc w:val="both"/>
            </w:pPr>
            <w:r>
              <w:rPr>
                <w:rFonts w:ascii="仿宋_GB2312" w:hAnsi="仿宋_GB2312" w:cs="仿宋_GB2312" w:eastAsia="仿宋_GB2312"/>
                <w:sz w:val="24"/>
              </w:rPr>
              <w:t>额定电流：</w:t>
            </w:r>
            <w:r>
              <w:rPr>
                <w:rFonts w:ascii="仿宋_GB2312" w:hAnsi="仿宋_GB2312" w:cs="仿宋_GB2312" w:eastAsia="仿宋_GB2312"/>
                <w:sz w:val="24"/>
              </w:rPr>
              <w:t>≥400A</w:t>
            </w:r>
          </w:p>
          <w:p>
            <w:pPr>
              <w:pStyle w:val="null3"/>
              <w:ind w:firstLine="480"/>
              <w:jc w:val="both"/>
            </w:pPr>
            <w:r>
              <w:rPr>
                <w:rFonts w:ascii="仿宋_GB2312" w:hAnsi="仿宋_GB2312" w:cs="仿宋_GB2312" w:eastAsia="仿宋_GB2312"/>
                <w:sz w:val="24"/>
              </w:rPr>
              <w:t>额定频率：</w:t>
            </w:r>
            <w:r>
              <w:rPr>
                <w:rFonts w:ascii="仿宋_GB2312" w:hAnsi="仿宋_GB2312" w:cs="仿宋_GB2312" w:eastAsia="仿宋_GB2312"/>
                <w:sz w:val="24"/>
              </w:rPr>
              <w:t>≥50Hz</w:t>
            </w:r>
          </w:p>
          <w:p>
            <w:pPr>
              <w:pStyle w:val="null3"/>
              <w:ind w:firstLine="480"/>
              <w:jc w:val="both"/>
            </w:pPr>
            <w:r>
              <w:rPr>
                <w:rFonts w:ascii="仿宋_GB2312" w:hAnsi="仿宋_GB2312" w:cs="仿宋_GB2312" w:eastAsia="仿宋_GB2312"/>
                <w:sz w:val="24"/>
              </w:rPr>
              <w:t>极限分断能力：</w:t>
            </w:r>
            <w:r>
              <w:rPr>
                <w:rFonts w:ascii="仿宋_GB2312" w:hAnsi="仿宋_GB2312" w:cs="仿宋_GB2312" w:eastAsia="仿宋_GB2312"/>
                <w:sz w:val="24"/>
              </w:rPr>
              <w:t>400A以下≥8kA</w:t>
            </w:r>
          </w:p>
          <w:p>
            <w:pPr>
              <w:pStyle w:val="null3"/>
              <w:ind w:firstLine="480"/>
              <w:jc w:val="both"/>
            </w:pPr>
            <w:r>
              <w:rPr>
                <w:rFonts w:ascii="仿宋_GB2312" w:hAnsi="仿宋_GB2312" w:cs="仿宋_GB2312" w:eastAsia="仿宋_GB2312"/>
                <w:sz w:val="24"/>
              </w:rPr>
              <w:t>漏电闭锁电阻值：</w:t>
            </w:r>
            <w:r>
              <w:rPr>
                <w:rFonts w:ascii="仿宋_GB2312" w:hAnsi="仿宋_GB2312" w:cs="仿宋_GB2312" w:eastAsia="仿宋_GB2312"/>
                <w:sz w:val="24"/>
              </w:rPr>
              <w:t>≥22K+20%（660V），40K+20%（1140V）</w:t>
            </w:r>
          </w:p>
          <w:p>
            <w:pPr>
              <w:pStyle w:val="null3"/>
              <w:ind w:firstLine="480"/>
              <w:jc w:val="both"/>
            </w:pPr>
            <w:r>
              <w:rPr>
                <w:rFonts w:ascii="仿宋_GB2312" w:hAnsi="仿宋_GB2312" w:cs="仿宋_GB2312" w:eastAsia="仿宋_GB2312"/>
                <w:sz w:val="24"/>
              </w:rPr>
              <w:t>漏电保护电阻值：</w:t>
            </w:r>
            <w:r>
              <w:rPr>
                <w:rFonts w:ascii="仿宋_GB2312" w:hAnsi="仿宋_GB2312" w:cs="仿宋_GB2312" w:eastAsia="仿宋_GB2312"/>
                <w:sz w:val="24"/>
              </w:rPr>
              <w:t>≥11K+20%（660V），20K+20%（1140V）</w:t>
            </w:r>
          </w:p>
          <w:tbl>
            <w:tblPr>
              <w:tblBorders>
                <w:top w:val="none" w:color="000000" w:sz="4"/>
                <w:left w:val="none" w:color="000000" w:sz="4"/>
                <w:bottom w:val="none" w:color="000000" w:sz="4"/>
                <w:right w:val="none" w:color="000000" w:sz="4"/>
                <w:insideH w:val="none"/>
                <w:insideV w:val="none"/>
              </w:tblBorders>
            </w:tblPr>
            <w:tblGrid>
              <w:gridCol w:w="1996"/>
              <w:gridCol w:w="253"/>
              <w:gridCol w:w="304"/>
            </w:tblGrid>
            <w:tr>
              <w:tc>
                <w:tcPr>
                  <w:tcW w:type="dxa" w:w="19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产品名称</w:t>
                  </w:r>
                </w:p>
              </w:tc>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r>
            <w:tr>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矿用隔爆兼本质安全型多回路真空电磁起动器</w:t>
                  </w:r>
                  <w:r>
                    <w:rPr>
                      <w:rFonts w:ascii="仿宋_GB2312" w:hAnsi="仿宋_GB2312" w:cs="仿宋_GB2312" w:eastAsia="仿宋_GB2312"/>
                      <w:sz w:val="24"/>
                    </w:rPr>
                    <w:t>QJZ-480/1140(660)-4（4×120）</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矿用隔爆兼本质安全型真空电磁起动器</w:t>
                  </w:r>
                  <w:r>
                    <w:rPr>
                      <w:rFonts w:ascii="仿宋_GB2312" w:hAnsi="仿宋_GB2312" w:cs="仿宋_GB2312" w:eastAsia="仿宋_GB2312"/>
                      <w:sz w:val="24"/>
                    </w:rPr>
                    <w:t>QJZ-400</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矿用隔爆兼本质安全型低压永磁机构真空馈电开关</w:t>
                  </w:r>
                  <w:r>
                    <w:rPr>
                      <w:rFonts w:ascii="仿宋_GB2312" w:hAnsi="仿宋_GB2312" w:cs="仿宋_GB2312" w:eastAsia="仿宋_GB2312"/>
                      <w:sz w:val="24"/>
                    </w:rPr>
                    <w:t>KJZ-200/1140(660)Y</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矿用隔爆兼本质安全型低压永磁机构真空馈电开关</w:t>
                  </w:r>
                  <w:r>
                    <w:rPr>
                      <w:rFonts w:ascii="仿宋_GB2312" w:hAnsi="仿宋_GB2312" w:cs="仿宋_GB2312" w:eastAsia="仿宋_GB2312"/>
                      <w:sz w:val="24"/>
                    </w:rPr>
                    <w:t>KJZ-400/1140(660)Y</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矿用隔爆兼本质安全型低压永磁机构真空馈电开关</w:t>
                  </w:r>
                  <w:r>
                    <w:rPr>
                      <w:rFonts w:ascii="仿宋_GB2312" w:hAnsi="仿宋_GB2312" w:cs="仿宋_GB2312" w:eastAsia="仿宋_GB2312"/>
                      <w:sz w:val="24"/>
                    </w:rPr>
                    <w:t>KJZ-630/1140(660)Y</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矿用隔爆兼本质安全型低压永磁机构真空馈电开关</w:t>
                  </w:r>
                  <w:r>
                    <w:rPr>
                      <w:rFonts w:ascii="仿宋_GB2312" w:hAnsi="仿宋_GB2312" w:cs="仿宋_GB2312" w:eastAsia="仿宋_GB2312"/>
                      <w:sz w:val="24"/>
                    </w:rPr>
                    <w:t>KJZ-500/1140(660)Y</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矿用隔爆兼本质安全型低压永磁机构真空馈电开关</w:t>
                  </w:r>
                  <w:r>
                    <w:rPr>
                      <w:rFonts w:ascii="仿宋_GB2312" w:hAnsi="仿宋_GB2312" w:cs="仿宋_GB2312" w:eastAsia="仿宋_GB2312"/>
                      <w:sz w:val="24"/>
                    </w:rPr>
                    <w:t>KJZ-1000/1140(660)Y</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bl>
          <w:p>
            <w:pPr>
              <w:pStyle w:val="null3"/>
            </w:pPr>
            <w:r>
              <w:drawing>
                <wp:inline distT="0" distR="0" distB="0" distL="0">
                  <wp:extent cx="1621155" cy="1621155"/>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1"/>
                          <a:stretch>
                            <a:fillRect/>
                          </a:stretch>
                        </pic:blipFill>
                        <pic:spPr>
                          <a:xfrm>
                            <a:off x="0" y="0"/>
                            <a:ext cx="1621155" cy="1621155"/>
                          </a:xfrm>
                          <a:prstGeom prst="rect">
                            <a:avLst/>
                          </a:prstGeom>
                        </pic:spPr>
                      </pic:pic>
                    </a:graphicData>
                  </a:graphic>
                </wp:inline>
              </w:drawing>
            </w:r>
            <w:r>
              <w:rPr>
                <w:rFonts w:ascii="仿宋_GB2312" w:hAnsi="仿宋_GB2312" w:cs="仿宋_GB2312" w:eastAsia="仿宋_GB2312"/>
              </w:rPr>
              <w:t xml:space="preserve"> </w:t>
            </w:r>
            <w:r>
              <w:drawing>
                <wp:inline distT="0" distR="0" distB="0" distL="0">
                  <wp:extent cx="1621155" cy="1621155"/>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12"/>
                          <a:stretch>
                            <a:fillRect/>
                          </a:stretch>
                        </pic:blipFill>
                        <pic:spPr>
                          <a:xfrm>
                            <a:off x="0" y="0"/>
                            <a:ext cx="1621155" cy="1621155"/>
                          </a:xfrm>
                          <a:prstGeom prst="rect">
                            <a:avLst/>
                          </a:prstGeom>
                        </pic:spPr>
                      </pic:pic>
                    </a:graphicData>
                  </a:graphic>
                </wp:inline>
              </w:drawing>
            </w:r>
            <w:r>
              <w:rPr>
                <w:rFonts w:ascii="仿宋_GB2312" w:hAnsi="仿宋_GB2312" w:cs="仿宋_GB2312" w:eastAsia="仿宋_GB2312"/>
              </w:rPr>
              <w:t xml:space="preserve"> </w:t>
            </w:r>
            <w:r>
              <w:drawing>
                <wp:inline distT="0" distR="0" distB="0" distL="0">
                  <wp:extent cx="1621155" cy="1621155"/>
                  <wp:docPr id="8" name="Drawing 8" descr="img"/>
                  <a:graphic xmlns:a="http://schemas.openxmlformats.org/drawingml/2006/main">
                    <a:graphicData uri="http://schemas.openxmlformats.org/drawingml/2006/picture">
                      <pic:pic xmlns:pic="http://schemas.openxmlformats.org/drawingml/2006/picture">
                        <pic:nvPicPr>
                          <pic:cNvPr id="0" name="Picture 8" descr="img"/>
                          <pic:cNvPicPr>
                            <a:picLocks noChangeAspect="true"/>
                          </pic:cNvPicPr>
                        </pic:nvPicPr>
                        <pic:blipFill>
                          <a:blip r:embed="rId13"/>
                          <a:stretch>
                            <a:fillRect/>
                          </a:stretch>
                        </pic:blipFill>
                        <pic:spPr>
                          <a:xfrm>
                            <a:off x="0" y="0"/>
                            <a:ext cx="1621155" cy="1621155"/>
                          </a:xfrm>
                          <a:prstGeom prst="rect">
                            <a:avLst/>
                          </a:prstGeom>
                        </pic:spPr>
                      </pic:pic>
                    </a:graphicData>
                  </a:graphic>
                </wp:inline>
              </w:drawing>
            </w:r>
            <w:r>
              <w:rPr>
                <w:rFonts w:ascii="仿宋_GB2312" w:hAnsi="仿宋_GB2312" w:cs="仿宋_GB2312" w:eastAsia="仿宋_GB2312"/>
              </w:rPr>
              <w:t xml:space="preserve"> </w:t>
            </w:r>
            <w:r>
              <w:drawing>
                <wp:inline distT="0" distR="0" distB="0" distL="0">
                  <wp:extent cx="1621155" cy="1621155"/>
                  <wp:docPr id="9" name="Drawing 9" descr="img"/>
                  <a:graphic xmlns:a="http://schemas.openxmlformats.org/drawingml/2006/main">
                    <a:graphicData uri="http://schemas.openxmlformats.org/drawingml/2006/picture">
                      <pic:pic xmlns:pic="http://schemas.openxmlformats.org/drawingml/2006/picture">
                        <pic:nvPicPr>
                          <pic:cNvPr id="0" name="Picture 9" descr="img"/>
                          <pic:cNvPicPr>
                            <a:picLocks noChangeAspect="true"/>
                          </pic:cNvPicPr>
                        </pic:nvPicPr>
                        <pic:blipFill>
                          <a:blip r:embed="rId14"/>
                          <a:stretch>
                            <a:fillRect/>
                          </a:stretch>
                        </pic:blipFill>
                        <pic:spPr>
                          <a:xfrm>
                            <a:off x="0" y="0"/>
                            <a:ext cx="1621155" cy="1621155"/>
                          </a:xfrm>
                          <a:prstGeom prst="rect">
                            <a:avLst/>
                          </a:prstGeom>
                        </pic:spPr>
                      </pic:pic>
                    </a:graphicData>
                  </a:graphic>
                </wp:inline>
              </w:drawing>
            </w:r>
            <w:r>
              <w:br/>
            </w:r>
            <w:r>
              <w:br/>
            </w:r>
            <w:r>
              <w:br/>
            </w:r>
            <w:r>
              <w:br/>
            </w:r>
            <w:r>
              <w:br/>
            </w:r>
            <w:r>
              <w:rPr>
                <w:rFonts w:ascii="仿宋_GB2312" w:hAnsi="仿宋_GB2312" w:cs="仿宋_GB2312" w:eastAsia="仿宋_GB2312"/>
                <w:sz w:val="24"/>
              </w:rPr>
              <w:t>六、操作台参数</w:t>
            </w:r>
            <w:r>
              <w:br/>
            </w:r>
            <w:r>
              <w:drawing>
                <wp:inline distT="0" distR="0" distB="0" distL="0">
                  <wp:extent cx="1621155" cy="1177917"/>
                  <wp:docPr id="10" name="Drawing 10" descr="img"/>
                  <a:graphic xmlns:a="http://schemas.openxmlformats.org/drawingml/2006/main">
                    <a:graphicData uri="http://schemas.openxmlformats.org/drawingml/2006/picture">
                      <pic:pic xmlns:pic="http://schemas.openxmlformats.org/drawingml/2006/picture">
                        <pic:nvPicPr>
                          <pic:cNvPr id="0" name="Picture 10" descr="img"/>
                          <pic:cNvPicPr>
                            <a:picLocks noChangeAspect="true"/>
                          </pic:cNvPicPr>
                        </pic:nvPicPr>
                        <pic:blipFill>
                          <a:blip r:embed="rId15"/>
                          <a:stretch>
                            <a:fillRect/>
                          </a:stretch>
                        </pic:blipFill>
                        <pic:spPr>
                          <a:xfrm>
                            <a:off x="0" y="0"/>
                            <a:ext cx="1621155" cy="1177917"/>
                          </a:xfrm>
                          <a:prstGeom prst="rect">
                            <a:avLst/>
                          </a:prstGeom>
                        </pic:spPr>
                      </pic:pic>
                    </a:graphicData>
                  </a:graphic>
                </wp:inline>
              </w:drawing>
            </w:r>
            <w:r>
              <w:br/>
            </w: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sz w:val="24"/>
              </w:rPr>
              <w:t>环形桌技术参数</w:t>
            </w:r>
          </w:p>
          <w:p>
            <w:pPr>
              <w:pStyle w:val="null3"/>
              <w:ind w:firstLine="480"/>
              <w:jc w:val="both"/>
            </w:pPr>
            <w:r>
              <w:rPr>
                <w:rFonts w:ascii="仿宋_GB2312" w:hAnsi="仿宋_GB2312" w:cs="仿宋_GB2312" w:eastAsia="仿宋_GB2312"/>
                <w:sz w:val="24"/>
              </w:rPr>
              <w:t>1.规格：长1200mm高度750mm*6</w:t>
            </w:r>
            <w:r>
              <w:rPr>
                <w:rFonts w:ascii="仿宋_GB2312" w:hAnsi="仿宋_GB2312" w:cs="仿宋_GB2312" w:eastAsia="仿宋_GB2312"/>
                <w:sz w:val="24"/>
              </w:rPr>
              <w:t>工位</w:t>
            </w:r>
          </w:p>
          <w:p>
            <w:pPr>
              <w:pStyle w:val="null3"/>
              <w:ind w:firstLine="480"/>
              <w:jc w:val="both"/>
            </w:pPr>
            <w:r>
              <w:rPr>
                <w:rFonts w:ascii="仿宋_GB2312" w:hAnsi="仿宋_GB2312" w:cs="仿宋_GB2312" w:eastAsia="仿宋_GB2312"/>
                <w:sz w:val="24"/>
              </w:rPr>
              <w:t>2.基础结构</w:t>
            </w:r>
          </w:p>
          <w:p>
            <w:pPr>
              <w:pStyle w:val="null3"/>
              <w:ind w:firstLine="480"/>
              <w:jc w:val="both"/>
            </w:pPr>
            <w:r>
              <w:rPr>
                <w:rFonts w:ascii="仿宋_GB2312" w:hAnsi="仿宋_GB2312" w:cs="仿宋_GB2312" w:eastAsia="仿宋_GB2312"/>
                <w:sz w:val="24"/>
              </w:rPr>
              <w:t>类型：可组合式梯型桌（支持多组拼接）</w:t>
            </w:r>
          </w:p>
          <w:p>
            <w:pPr>
              <w:pStyle w:val="null3"/>
              <w:ind w:firstLine="480"/>
              <w:jc w:val="both"/>
            </w:pPr>
            <w:r>
              <w:rPr>
                <w:rFonts w:ascii="仿宋_GB2312" w:hAnsi="仿宋_GB2312" w:cs="仿宋_GB2312" w:eastAsia="仿宋_GB2312"/>
                <w:sz w:val="24"/>
              </w:rPr>
              <w:t>功能：便捷操作与学习支持</w:t>
            </w:r>
          </w:p>
          <w:p>
            <w:pPr>
              <w:pStyle w:val="null3"/>
              <w:ind w:firstLine="480"/>
              <w:jc w:val="both"/>
            </w:pPr>
            <w:r>
              <w:rPr>
                <w:rFonts w:ascii="仿宋_GB2312" w:hAnsi="仿宋_GB2312" w:cs="仿宋_GB2312" w:eastAsia="仿宋_GB2312"/>
                <w:sz w:val="24"/>
              </w:rPr>
              <w:t>组件单元：</w:t>
            </w:r>
            <w:r>
              <w:rPr>
                <w:rFonts w:ascii="仿宋_GB2312" w:hAnsi="仿宋_GB2312" w:cs="仿宋_GB2312" w:eastAsia="仿宋_GB2312"/>
                <w:sz w:val="24"/>
              </w:rPr>
              <w:t>6块一组</w:t>
            </w:r>
          </w:p>
          <w:p>
            <w:pPr>
              <w:pStyle w:val="null3"/>
              <w:ind w:firstLine="480"/>
              <w:jc w:val="both"/>
            </w:pPr>
            <w:r>
              <w:rPr>
                <w:rFonts w:ascii="仿宋_GB2312" w:hAnsi="仿宋_GB2312" w:cs="仿宋_GB2312" w:eastAsia="仿宋_GB2312"/>
                <w:sz w:val="24"/>
              </w:rPr>
              <w:t>结构设计：三角梯型</w:t>
            </w:r>
          </w:p>
          <w:p>
            <w:pPr>
              <w:pStyle w:val="null3"/>
              <w:ind w:firstLine="480"/>
              <w:jc w:val="both"/>
            </w:pPr>
            <w:r>
              <w:rPr>
                <w:rFonts w:ascii="仿宋_GB2312" w:hAnsi="仿宋_GB2312" w:cs="仿宋_GB2312" w:eastAsia="仿宋_GB2312"/>
                <w:sz w:val="24"/>
              </w:rPr>
              <w:t>3. 材质规范</w:t>
            </w:r>
          </w:p>
          <w:p>
            <w:pPr>
              <w:pStyle w:val="null3"/>
              <w:ind w:firstLine="480"/>
              <w:jc w:val="both"/>
            </w:pPr>
            <w:r>
              <w:rPr>
                <w:rFonts w:ascii="仿宋_GB2312" w:hAnsi="仿宋_GB2312" w:cs="仿宋_GB2312" w:eastAsia="仿宋_GB2312"/>
                <w:sz w:val="24"/>
              </w:rPr>
              <w:t>桌面材质：</w:t>
            </w:r>
          </w:p>
          <w:p>
            <w:pPr>
              <w:pStyle w:val="null3"/>
              <w:ind w:firstLine="480"/>
              <w:jc w:val="both"/>
            </w:pPr>
            <w:r>
              <w:rPr>
                <w:rFonts w:ascii="仿宋_GB2312" w:hAnsi="仿宋_GB2312" w:cs="仿宋_GB2312" w:eastAsia="仿宋_GB2312"/>
                <w:sz w:val="24"/>
              </w:rPr>
              <w:t>基材：</w:t>
            </w:r>
            <w:r>
              <w:rPr>
                <w:rFonts w:ascii="仿宋_GB2312" w:hAnsi="仿宋_GB2312" w:cs="仿宋_GB2312" w:eastAsia="仿宋_GB2312"/>
                <w:sz w:val="24"/>
              </w:rPr>
              <w:t>E1级环保实木复合板材</w:t>
            </w:r>
          </w:p>
          <w:p>
            <w:pPr>
              <w:pStyle w:val="null3"/>
              <w:ind w:firstLine="480"/>
              <w:jc w:val="both"/>
            </w:pPr>
            <w:r>
              <w:rPr>
                <w:rFonts w:ascii="仿宋_GB2312" w:hAnsi="仿宋_GB2312" w:cs="仿宋_GB2312" w:eastAsia="仿宋_GB2312"/>
                <w:sz w:val="24"/>
              </w:rPr>
              <w:t>表面处理：耐磨哑光</w:t>
            </w:r>
            <w:r>
              <w:rPr>
                <w:rFonts w:ascii="仿宋_GB2312" w:hAnsi="仿宋_GB2312" w:cs="仿宋_GB2312" w:eastAsia="仿宋_GB2312"/>
                <w:sz w:val="24"/>
              </w:rPr>
              <w:t>UV漆（硬度≥2H）</w:t>
            </w:r>
          </w:p>
          <w:p>
            <w:pPr>
              <w:pStyle w:val="null3"/>
              <w:ind w:firstLine="480"/>
              <w:jc w:val="both"/>
            </w:pPr>
            <w:r>
              <w:rPr>
                <w:rFonts w:ascii="仿宋_GB2312" w:hAnsi="仿宋_GB2312" w:cs="仿宋_GB2312" w:eastAsia="仿宋_GB2312"/>
                <w:sz w:val="24"/>
              </w:rPr>
              <w:t>支撑结构：</w:t>
            </w:r>
          </w:p>
          <w:p>
            <w:pPr>
              <w:pStyle w:val="null3"/>
              <w:ind w:firstLine="480"/>
              <w:jc w:val="both"/>
            </w:pPr>
            <w:r>
              <w:rPr>
                <w:rFonts w:ascii="仿宋_GB2312" w:hAnsi="仿宋_GB2312" w:cs="仿宋_GB2312" w:eastAsia="仿宋_GB2312"/>
                <w:sz w:val="24"/>
              </w:rPr>
              <w:t>框架：钢木混合（主支架为</w:t>
            </w:r>
            <w:r>
              <w:rPr>
                <w:rFonts w:ascii="仿宋_GB2312" w:hAnsi="仿宋_GB2312" w:cs="仿宋_GB2312" w:eastAsia="仿宋_GB2312"/>
                <w:sz w:val="24"/>
              </w:rPr>
              <w:t>40×40mm镀锌方钢，壁厚1.2mm）</w:t>
            </w:r>
          </w:p>
          <w:p>
            <w:pPr>
              <w:pStyle w:val="null3"/>
              <w:ind w:firstLine="480"/>
              <w:jc w:val="both"/>
            </w:pPr>
            <w:r>
              <w:rPr>
                <w:rFonts w:ascii="仿宋_GB2312" w:hAnsi="仿宋_GB2312" w:cs="仿宋_GB2312" w:eastAsia="仿宋_GB2312"/>
                <w:sz w:val="24"/>
              </w:rPr>
              <w:t>底座：加重防倾覆设计（承重</w:t>
            </w:r>
            <w:r>
              <w:rPr>
                <w:rFonts w:ascii="仿宋_GB2312" w:hAnsi="仿宋_GB2312" w:cs="仿宋_GB2312" w:eastAsia="仿宋_GB2312"/>
                <w:sz w:val="24"/>
              </w:rPr>
              <w:t>≥200kg/张）</w:t>
            </w:r>
          </w:p>
          <w:p>
            <w:pPr>
              <w:pStyle w:val="null3"/>
            </w:pPr>
            <w:r>
              <w:br/>
            </w:r>
            <w:r>
              <w:br/>
            </w: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自合同签订之日起95天内到货并安装调试并交付使用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陕西能源职业技术学院指定地点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进度款，项目交货安装完成并验收合格后，投标人提供等额发票给采购人，达到付款条件起30个工作日内，支付合同总金额的100.0%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质保期：验收合格后1年。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递交投标文件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投标保证金以采购代理机构到账凭证为准。（4）未中标的投标人的投标保证金，将在中标通知书发出后5个工作日内无息全额退还，但因投标人自身原因导致无法及时退还的除外。中标人的投标保证金，在服务费足额到账3个工作日内或收到合同3个工作日内退还中标单位保证金，但因供应商自身原因导致无法及时退还的除外。 3.5.2本项目主要标的同核心产品。根据法律规定，中标公告须公布主要标的的名称、品牌、规格型号、数量、单价。 3.5.3本项目落实《国务院办公厅关于在政府采购中实施本国产品标准及相关政策的通知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7月（含7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7月（含7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2026年1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2.投标报价低于通过符合性审查的次低报价投标人投标报价50%的，即投标报价&lt;通过符合性审查的次低报价投标人投标报价×50%； 3.投标报价低于采购项目最高限价45%的，即投标报价&lt;采购项目最高限价×45%； 4.评标委员会基于专业判断，认为投标人报价过低，有可能影响产品质量或者不能诚信履约的其他情形。 （二）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三）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2分项价格表.docx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总报价未超过招标文件中规定的最高限价</w:t>
            </w:r>
          </w:p>
        </w:tc>
        <w:tc>
          <w:tcPr>
            <w:tcW w:type="dxa" w:w="1661"/>
          </w:tcPr>
          <w:p>
            <w:pPr>
              <w:pStyle w:val="null3"/>
            </w:pPr>
            <w:r>
              <w:rPr>
                <w:rFonts w:ascii="仿宋_GB2312" w:hAnsi="仿宋_GB2312" w:cs="仿宋_GB2312" w:eastAsia="仿宋_GB2312"/>
              </w:rPr>
              <w:t>开标一览表 标的清单 2分项价格表.docx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满足本招标文件3.4商务要求中“交货时间、交货地点、支付约定、质保期”的要求的</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无其他不符合法律、规章、规范性文件和招标文件规定的</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所投产品技术参数完全符合、响应招标文件3.3技术参数与性能指标要求，没有负偏离计40分。 ①技术参数中标“★”项（共1项）为实质性要求，不满足或未提供佐证材料或佐证材料无法佐证，按无效文件处理； ②技术参数中标“▲”项（共1项）满分3分，负偏离一项扣3分； ③技术参数中非“★”“▲”参数，（以投标人的技术响应偏离表响应情况为准），得分=（投标人满足采购人要求的非“★”“▲”参数数量/非“★”“▲”参数总数量）×37分，满分37分。得分保留小数点后两位数，小数点后第三位四舍五入。 备注： 1.所有产品完全复制招标文件技术指标要求的，给予10分扣分。文字描述、国标、定制尺寸的技术指标除外。 2.标“★”、“▲”项参数须提供佐证材料（包括但不限于佐证材料可为检测报告或产品彩页或官网截图或生产厂家加盖公章的技术证明材料），未提供佐证材料视为负偏离。 3.未标“★”、“▲”参数以供应商技术响应偏离表为准。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投标人提供针对本项目的实施方案，包括但不限于①供货组织安排，包括仓储、运输、派送措施等方面②实施步骤和供货计划表，确保按期交货③设备安装调试及交货验收方案等。 上述3项内容，每提供1项内容计2分，每项内容存在1处瑕疵扣0.5分；满分6分。 备注：本文所称“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投标人针对产品质量保证进行阐述，包括但不限于①产品选型说明②产品性能、产品使用寿命及效果③质量保证措施④提供全生命周期内的质量保证承诺等。 上述4项内容，每提供1项内容计1分，每项内容存在1处瑕疵扣0.5分；满分4分。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7质量保证.docx</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投标人针对本项目有具体的培训方案，包括但不限于①培训计划（含培训计划表、地点、时间及培训对象人数等）②培训内容设计安排（含实操及考核措施，设备的基本操作、日常维护、常见故障排除及安全管理等）。 上述2项内容，每提供1项内容计2分，每项内容存在1处瑕疵扣0.5分；满分4分。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8培训考核方案.docx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投标人针对本项目提供售后服务方案，包括但不限于①定期回访维护计划安排②故障售后响应解决时间及维修措施③长期技术支持服务。 上述3项内容，每提供1项内容计1分，每项内容存在1处瑕疵扣0.5分；满分3分。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9售后服务方案.docx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投标人根据本项目采购需求，提供项目实施团队配置。包括但不限于：①岗位职责分工②人员姓名、年龄、岗位、相关岗位工作经验年限等信息③人员管理制度等方面。 上述3项内容，每提供1项内容计1分，每项内容存在1处瑕疵扣0.5分；满分3分。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10项目团队.docx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投标人提供所投核心产品（掘锚一体机仿真实操装置）货源渠道正常，无产权纠纷，提供所投产品合法来源渠道证明文件（包括但不限于销售协议、代理协议、原厂授权等）。提供计2分，未提供不计分。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11供货渠道证明.docx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核心要素，否则不计为有效业绩。每提供1个有效业绩得1分，最高得5分。 备注：投标文件中提供合同扫描件加盖公章。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12业绩.docx</w:t>
            </w:r>
          </w:p>
        </w:tc>
      </w:tr>
      <w:tr>
        <w:tc>
          <w:tcPr>
            <w:tcW w:type="dxa" w:w="831"/>
            <w:vMerge/>
          </w:tcPr>
          <w:p/>
        </w:tc>
        <w:tc>
          <w:tcPr>
            <w:tcW w:type="dxa" w:w="1661"/>
          </w:tcPr>
          <w:p>
            <w:pPr>
              <w:pStyle w:val="null3"/>
            </w:pPr>
            <w:r>
              <w:rPr>
                <w:rFonts w:ascii="仿宋_GB2312" w:hAnsi="仿宋_GB2312" w:cs="仿宋_GB2312" w:eastAsia="仿宋_GB2312"/>
              </w:rPr>
              <w:t>合理化建议或增值服务</w:t>
            </w:r>
          </w:p>
        </w:tc>
        <w:tc>
          <w:tcPr>
            <w:tcW w:type="dxa" w:w="2492"/>
          </w:tcPr>
          <w:p>
            <w:pPr>
              <w:pStyle w:val="null3"/>
            </w:pPr>
            <w:r>
              <w:rPr>
                <w:rFonts w:ascii="仿宋_GB2312" w:hAnsi="仿宋_GB2312" w:cs="仿宋_GB2312" w:eastAsia="仿宋_GB2312"/>
              </w:rPr>
              <w:t>投标人提供针对有利于本项目实施的合理化建议或增值服务承诺，每提供1个经评标委员会一致认定的建议或增值服务承诺计1分，最多得2分。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13合理化建议或增值服务.docx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详见附件：2分项价格表.docx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详见附件：7质量保证.docx</w:t>
      </w:r>
    </w:p>
    <w:p>
      <w:pPr>
        <w:pStyle w:val="null3"/>
        <w:ind w:firstLine="960"/>
      </w:pPr>
      <w:r>
        <w:rPr>
          <w:rFonts w:ascii="仿宋_GB2312" w:hAnsi="仿宋_GB2312" w:cs="仿宋_GB2312" w:eastAsia="仿宋_GB2312"/>
        </w:rPr>
        <w:t>详见附件：8培训考核方案.docx</w:t>
      </w:r>
    </w:p>
    <w:p>
      <w:pPr>
        <w:pStyle w:val="null3"/>
        <w:ind w:firstLine="960"/>
      </w:pPr>
      <w:r>
        <w:rPr>
          <w:rFonts w:ascii="仿宋_GB2312" w:hAnsi="仿宋_GB2312" w:cs="仿宋_GB2312" w:eastAsia="仿宋_GB2312"/>
        </w:rPr>
        <w:t>详见附件：9售后服务方案.docx</w:t>
      </w:r>
    </w:p>
    <w:p>
      <w:pPr>
        <w:pStyle w:val="null3"/>
        <w:ind w:firstLine="960"/>
      </w:pPr>
      <w:r>
        <w:rPr>
          <w:rFonts w:ascii="仿宋_GB2312" w:hAnsi="仿宋_GB2312" w:cs="仿宋_GB2312" w:eastAsia="仿宋_GB2312"/>
        </w:rPr>
        <w:t>详见附件：10项目团队.docx</w:t>
      </w:r>
    </w:p>
    <w:p>
      <w:pPr>
        <w:pStyle w:val="null3"/>
        <w:ind w:firstLine="960"/>
      </w:pPr>
      <w:r>
        <w:rPr>
          <w:rFonts w:ascii="仿宋_GB2312" w:hAnsi="仿宋_GB2312" w:cs="仿宋_GB2312" w:eastAsia="仿宋_GB2312"/>
        </w:rPr>
        <w:t>详见附件：11供货渠道证明.docx</w:t>
      </w:r>
    </w:p>
    <w:p>
      <w:pPr>
        <w:pStyle w:val="null3"/>
        <w:ind w:firstLine="960"/>
      </w:pPr>
      <w:r>
        <w:rPr>
          <w:rFonts w:ascii="仿宋_GB2312" w:hAnsi="仿宋_GB2312" w:cs="仿宋_GB2312" w:eastAsia="仿宋_GB2312"/>
        </w:rPr>
        <w:t>详见附件：12业绩.docx</w:t>
      </w:r>
    </w:p>
    <w:p>
      <w:pPr>
        <w:pStyle w:val="null3"/>
        <w:ind w:firstLine="960"/>
      </w:pPr>
      <w:r>
        <w:rPr>
          <w:rFonts w:ascii="仿宋_GB2312" w:hAnsi="仿宋_GB2312" w:cs="仿宋_GB2312" w:eastAsia="仿宋_GB2312"/>
        </w:rPr>
        <w:t>详见附件：13合理化建议或增值服务.docx</w:t>
      </w:r>
    </w:p>
    <w:p>
      <w:pPr>
        <w:pStyle w:val="null3"/>
        <w:ind w:firstLine="960"/>
      </w:pPr>
      <w:r>
        <w:rPr>
          <w:rFonts w:ascii="仿宋_GB2312" w:hAnsi="仿宋_GB2312" w:cs="仿宋_GB2312" w:eastAsia="仿宋_GB2312"/>
        </w:rPr>
        <w:t>详见附件：14节能环保.docx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png" Type="http://schemas.openxmlformats.org/officeDocument/2006/relationships/image"/><Relationship Id="rId11" Target="media/image6.png" Type="http://schemas.openxmlformats.org/officeDocument/2006/relationships/image"/><Relationship Id="rId12" Target="media/image7.png" Type="http://schemas.openxmlformats.org/officeDocument/2006/relationships/image"/><Relationship Id="rId13" Target="media/image8.png" Type="http://schemas.openxmlformats.org/officeDocument/2006/relationships/image"/><Relationship Id="rId14" Target="media/image9.png" Type="http://schemas.openxmlformats.org/officeDocument/2006/relationships/image"/><Relationship Id="rId15" Target="media/image10.png" Type="http://schemas.openxmlformats.org/officeDocument/2006/relationships/image"/><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