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CC3643">
      <w:pPr>
        <w:jc w:val="center"/>
        <w:rPr>
          <w:rFonts w:hint="eastAsia" w:ascii="仿宋" w:hAnsi="仿宋" w:eastAsia="仿宋" w:cs="仿宋"/>
          <w:b/>
          <w:bCs/>
          <w:color w:val="auto"/>
          <w:sz w:val="32"/>
          <w:szCs w:val="24"/>
        </w:rPr>
      </w:pPr>
    </w:p>
    <w:p w14:paraId="2F569A50">
      <w:pPr>
        <w:jc w:val="center"/>
        <w:rPr>
          <w:rFonts w:hint="eastAsia" w:ascii="仿宋" w:hAnsi="仿宋" w:eastAsia="仿宋" w:cs="仿宋"/>
          <w:b/>
          <w:bCs/>
          <w:color w:val="auto"/>
          <w:sz w:val="32"/>
          <w:szCs w:val="24"/>
        </w:rPr>
      </w:pPr>
    </w:p>
    <w:p w14:paraId="0CA98C35">
      <w:pPr>
        <w:jc w:val="center"/>
        <w:rPr>
          <w:rFonts w:hint="eastAsia" w:ascii="仿宋" w:hAnsi="仿宋" w:eastAsia="仿宋" w:cs="仿宋"/>
          <w:b/>
          <w:bCs/>
          <w:color w:val="auto"/>
          <w:sz w:val="32"/>
          <w:szCs w:val="24"/>
        </w:rPr>
      </w:pPr>
    </w:p>
    <w:p w14:paraId="3899C4A4">
      <w:pPr>
        <w:jc w:val="center"/>
        <w:rPr>
          <w:rFonts w:hint="eastAsia" w:ascii="仿宋" w:hAnsi="仿宋" w:eastAsia="仿宋" w:cs="仿宋"/>
          <w:color w:val="auto"/>
          <w:sz w:val="32"/>
          <w:szCs w:val="24"/>
          <w:lang w:eastAsia="zh-CN"/>
        </w:rPr>
      </w:pPr>
      <w:r>
        <w:rPr>
          <w:rFonts w:hint="eastAsia" w:ascii="仿宋" w:hAnsi="仿宋" w:eastAsia="仿宋" w:cs="仿宋"/>
          <w:b/>
          <w:bCs/>
          <w:color w:val="auto"/>
          <w:sz w:val="32"/>
          <w:szCs w:val="24"/>
        </w:rPr>
        <w:t>陕西能源职业技术学院</w:t>
      </w:r>
      <w:r>
        <w:rPr>
          <w:rFonts w:hint="eastAsia" w:ascii="仿宋" w:hAnsi="仿宋" w:eastAsia="仿宋" w:cs="仿宋"/>
          <w:b/>
          <w:bCs/>
          <w:color w:val="auto"/>
          <w:sz w:val="32"/>
          <w:szCs w:val="24"/>
          <w:lang w:eastAsia="zh-CN"/>
        </w:rPr>
        <w:t>掘锚机实体模型及控制台项目</w:t>
      </w:r>
      <w:r>
        <w:rPr>
          <w:rFonts w:hint="eastAsia" w:ascii="仿宋" w:hAnsi="仿宋" w:eastAsia="仿宋" w:cs="仿宋"/>
          <w:b/>
          <w:bCs/>
          <w:color w:val="auto"/>
          <w:sz w:val="32"/>
          <w:szCs w:val="24"/>
          <w:lang w:eastAsia="zh-CN"/>
        </w:rPr>
        <w:br w:type="textWrapping"/>
      </w:r>
      <w:r>
        <w:rPr>
          <w:rFonts w:hint="eastAsia" w:ascii="仿宋" w:hAnsi="仿宋" w:eastAsia="仿宋" w:cs="仿宋"/>
          <w:b/>
          <w:bCs/>
          <w:color w:val="auto"/>
          <w:sz w:val="32"/>
          <w:szCs w:val="24"/>
          <w:lang w:eastAsia="zh-CN"/>
        </w:rPr>
        <w:t>（</w:t>
      </w:r>
      <w:r>
        <w:rPr>
          <w:rFonts w:hint="eastAsia" w:ascii="仿宋" w:hAnsi="仿宋" w:eastAsia="仿宋" w:cs="仿宋"/>
          <w:b/>
          <w:bCs/>
          <w:color w:val="auto"/>
          <w:sz w:val="32"/>
          <w:szCs w:val="24"/>
          <w:lang w:val="en-US" w:eastAsia="zh-CN"/>
        </w:rPr>
        <w:t>仅供参考</w:t>
      </w:r>
      <w:bookmarkStart w:id="0" w:name="_GoBack"/>
      <w:bookmarkEnd w:id="0"/>
      <w:r>
        <w:rPr>
          <w:rFonts w:hint="eastAsia" w:ascii="仿宋" w:hAnsi="仿宋" w:eastAsia="仿宋" w:cs="仿宋"/>
          <w:b/>
          <w:bCs/>
          <w:color w:val="auto"/>
          <w:sz w:val="32"/>
          <w:szCs w:val="24"/>
          <w:lang w:eastAsia="zh-CN"/>
        </w:rPr>
        <w:t>）</w:t>
      </w:r>
    </w:p>
    <w:p w14:paraId="6CD87996">
      <w:pPr>
        <w:pStyle w:val="3"/>
        <w:ind w:firstLine="560" w:firstLineChars="200"/>
        <w:jc w:val="center"/>
        <w:rPr>
          <w:rFonts w:hint="eastAsia" w:ascii="仿宋" w:hAnsi="仿宋" w:eastAsia="仿宋" w:cs="仿宋"/>
          <w:color w:val="auto"/>
          <w:sz w:val="28"/>
          <w:szCs w:val="28"/>
        </w:rPr>
      </w:pPr>
    </w:p>
    <w:p w14:paraId="0D589A46">
      <w:pPr>
        <w:pStyle w:val="3"/>
        <w:ind w:firstLine="560" w:firstLineChars="200"/>
        <w:rPr>
          <w:rFonts w:hint="eastAsia" w:ascii="仿宋" w:hAnsi="仿宋" w:eastAsia="仿宋" w:cs="仿宋"/>
          <w:color w:val="auto"/>
          <w:sz w:val="28"/>
          <w:szCs w:val="28"/>
        </w:rPr>
      </w:pPr>
    </w:p>
    <w:p w14:paraId="55662A9E">
      <w:pPr>
        <w:jc w:val="center"/>
        <w:rPr>
          <w:rFonts w:hint="eastAsia" w:ascii="仿宋" w:hAnsi="仿宋" w:eastAsia="仿宋" w:cs="仿宋"/>
          <w:b/>
          <w:color w:val="auto"/>
          <w:sz w:val="28"/>
          <w:szCs w:val="22"/>
        </w:rPr>
      </w:pPr>
      <w:r>
        <w:rPr>
          <w:rFonts w:hint="eastAsia" w:ascii="仿宋" w:hAnsi="仿宋" w:eastAsia="仿宋" w:cs="仿宋"/>
          <w:b/>
          <w:color w:val="auto"/>
          <w:sz w:val="28"/>
          <w:szCs w:val="22"/>
        </w:rPr>
        <w:t>合　　同</w:t>
      </w:r>
    </w:p>
    <w:p w14:paraId="58FA188E">
      <w:pPr>
        <w:pStyle w:val="3"/>
        <w:ind w:firstLine="560" w:firstLineChars="200"/>
        <w:rPr>
          <w:rFonts w:hint="eastAsia" w:ascii="仿宋" w:hAnsi="仿宋" w:eastAsia="仿宋" w:cs="仿宋"/>
          <w:color w:val="auto"/>
          <w:sz w:val="28"/>
          <w:szCs w:val="28"/>
        </w:rPr>
      </w:pPr>
    </w:p>
    <w:p w14:paraId="428B8D4C">
      <w:pPr>
        <w:pStyle w:val="3"/>
        <w:ind w:firstLine="560" w:firstLineChars="200"/>
        <w:rPr>
          <w:rFonts w:hint="eastAsia" w:ascii="仿宋" w:hAnsi="仿宋" w:eastAsia="仿宋" w:cs="仿宋"/>
          <w:color w:val="auto"/>
          <w:sz w:val="28"/>
          <w:szCs w:val="28"/>
        </w:rPr>
      </w:pPr>
    </w:p>
    <w:p w14:paraId="6C603894">
      <w:pPr>
        <w:ind w:firstLine="1400" w:firstLineChars="500"/>
        <w:rPr>
          <w:rFonts w:hint="eastAsia" w:ascii="仿宋" w:hAnsi="仿宋" w:eastAsia="仿宋" w:cs="仿宋"/>
          <w:color w:val="auto"/>
          <w:sz w:val="28"/>
          <w:szCs w:val="22"/>
        </w:rPr>
      </w:pPr>
      <w:r>
        <w:rPr>
          <w:rFonts w:hint="eastAsia" w:ascii="仿宋" w:hAnsi="仿宋" w:eastAsia="仿宋" w:cs="仿宋"/>
          <w:color w:val="auto"/>
          <w:sz w:val="28"/>
          <w:szCs w:val="22"/>
        </w:rPr>
        <w:t>合同编号：____________________</w:t>
      </w:r>
    </w:p>
    <w:p w14:paraId="7FDE0CE9">
      <w:pPr>
        <w:rPr>
          <w:rFonts w:hint="eastAsia" w:ascii="仿宋" w:hAnsi="仿宋" w:eastAsia="仿宋" w:cs="仿宋"/>
          <w:color w:val="auto"/>
          <w:sz w:val="28"/>
          <w:szCs w:val="22"/>
        </w:rPr>
      </w:pPr>
    </w:p>
    <w:p w14:paraId="39109C28">
      <w:pPr>
        <w:rPr>
          <w:rFonts w:hint="eastAsia" w:ascii="仿宋" w:hAnsi="仿宋" w:eastAsia="仿宋" w:cs="仿宋"/>
          <w:color w:val="auto"/>
          <w:sz w:val="28"/>
          <w:szCs w:val="22"/>
        </w:rPr>
      </w:pPr>
    </w:p>
    <w:p w14:paraId="21A98D63">
      <w:pPr>
        <w:ind w:firstLine="1400" w:firstLineChars="500"/>
        <w:rPr>
          <w:rFonts w:hint="eastAsia" w:ascii="仿宋" w:hAnsi="仿宋" w:eastAsia="仿宋" w:cs="仿宋"/>
          <w:color w:val="auto"/>
          <w:sz w:val="28"/>
          <w:szCs w:val="22"/>
        </w:rPr>
      </w:pPr>
      <w:r>
        <w:rPr>
          <w:rFonts w:hint="eastAsia" w:ascii="仿宋" w:hAnsi="仿宋" w:eastAsia="仿宋" w:cs="仿宋"/>
          <w:color w:val="auto"/>
          <w:sz w:val="28"/>
          <w:szCs w:val="22"/>
        </w:rPr>
        <w:t>甲　　方：____________________</w:t>
      </w:r>
      <w:r>
        <w:rPr>
          <w:rFonts w:hint="eastAsia" w:ascii="仿宋" w:hAnsi="仿宋" w:eastAsia="仿宋" w:cs="仿宋"/>
          <w:color w:val="auto"/>
          <w:sz w:val="28"/>
          <w:szCs w:val="22"/>
          <w:lang w:eastAsia="zh-CN"/>
        </w:rPr>
        <w:t>（</w:t>
      </w:r>
      <w:r>
        <w:rPr>
          <w:rFonts w:hint="eastAsia" w:ascii="仿宋" w:hAnsi="仿宋" w:eastAsia="仿宋" w:cs="仿宋"/>
          <w:color w:val="auto"/>
          <w:sz w:val="28"/>
          <w:szCs w:val="22"/>
        </w:rPr>
        <w:t>采购人名称</w:t>
      </w:r>
      <w:r>
        <w:rPr>
          <w:rFonts w:hint="eastAsia" w:ascii="仿宋" w:hAnsi="仿宋" w:eastAsia="仿宋" w:cs="仿宋"/>
          <w:color w:val="auto"/>
          <w:sz w:val="28"/>
          <w:szCs w:val="22"/>
          <w:lang w:eastAsia="zh-CN"/>
        </w:rPr>
        <w:t>）</w:t>
      </w:r>
    </w:p>
    <w:p w14:paraId="64AD1D34">
      <w:pPr>
        <w:rPr>
          <w:rFonts w:hint="eastAsia" w:ascii="仿宋" w:hAnsi="仿宋" w:eastAsia="仿宋" w:cs="仿宋"/>
          <w:color w:val="auto"/>
          <w:sz w:val="28"/>
          <w:szCs w:val="22"/>
        </w:rPr>
      </w:pPr>
    </w:p>
    <w:p w14:paraId="187E75D3">
      <w:pPr>
        <w:rPr>
          <w:rFonts w:hint="eastAsia" w:ascii="仿宋" w:hAnsi="仿宋" w:eastAsia="仿宋" w:cs="仿宋"/>
          <w:color w:val="auto"/>
          <w:sz w:val="28"/>
          <w:szCs w:val="22"/>
        </w:rPr>
      </w:pPr>
    </w:p>
    <w:p w14:paraId="3DCF787A">
      <w:pPr>
        <w:rPr>
          <w:rFonts w:hint="eastAsia" w:ascii="仿宋" w:hAnsi="仿宋" w:eastAsia="仿宋" w:cs="仿宋"/>
          <w:color w:val="auto"/>
          <w:sz w:val="28"/>
          <w:szCs w:val="22"/>
        </w:rPr>
      </w:pPr>
      <w:r>
        <w:rPr>
          <w:rFonts w:hint="eastAsia" w:ascii="仿宋" w:hAnsi="仿宋" w:eastAsia="仿宋" w:cs="仿宋"/>
          <w:color w:val="auto"/>
          <w:sz w:val="28"/>
          <w:szCs w:val="22"/>
        </w:rPr>
        <w:t xml:space="preserve">          乙　　方：____________________</w:t>
      </w:r>
      <w:r>
        <w:rPr>
          <w:rFonts w:hint="eastAsia" w:ascii="仿宋" w:hAnsi="仿宋" w:eastAsia="仿宋" w:cs="仿宋"/>
          <w:color w:val="auto"/>
          <w:sz w:val="28"/>
          <w:szCs w:val="22"/>
          <w:lang w:eastAsia="zh-CN"/>
        </w:rPr>
        <w:t>（</w:t>
      </w:r>
      <w:r>
        <w:rPr>
          <w:rFonts w:hint="eastAsia" w:ascii="仿宋" w:hAnsi="仿宋" w:eastAsia="仿宋" w:cs="仿宋"/>
          <w:color w:val="auto"/>
          <w:sz w:val="28"/>
          <w:szCs w:val="22"/>
        </w:rPr>
        <w:t>中标人名称</w:t>
      </w:r>
      <w:r>
        <w:rPr>
          <w:rFonts w:hint="eastAsia" w:ascii="仿宋" w:hAnsi="仿宋" w:eastAsia="仿宋" w:cs="仿宋"/>
          <w:color w:val="auto"/>
          <w:sz w:val="28"/>
          <w:szCs w:val="22"/>
          <w:lang w:eastAsia="zh-CN"/>
        </w:rPr>
        <w:t>）</w:t>
      </w:r>
    </w:p>
    <w:p w14:paraId="1AE8D268">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仿宋" w:hAnsi="仿宋" w:eastAsia="仿宋" w:cs="仿宋"/>
          <w:color w:val="auto"/>
          <w:sz w:val="24"/>
          <w:szCs w:val="24"/>
        </w:rPr>
      </w:pPr>
      <w:r>
        <w:rPr>
          <w:color w:val="auto"/>
        </w:rPr>
        <w:br w:type="page"/>
      </w:r>
      <w:r>
        <w:rPr>
          <w:rFonts w:hint="eastAsia" w:ascii="仿宋" w:hAnsi="仿宋" w:eastAsia="仿宋" w:cs="仿宋"/>
          <w:color w:val="auto"/>
          <w:sz w:val="24"/>
          <w:szCs w:val="24"/>
        </w:rPr>
        <w:t>根据《中华人民共和国政府采购法</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中华人民共和国民法典》等有关法律法规规定，____________</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采购人名称</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以下简称：“甲方”</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通过______采购</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采购方式</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确定______</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中标人名称</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以下简称：“乙方”</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为______项目</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项目名称</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的______</w:t>
      </w:r>
      <w:r>
        <w:rPr>
          <w:rFonts w:hint="eastAsia" w:ascii="仿宋" w:hAnsi="仿宋" w:eastAsia="仿宋" w:cs="仿宋"/>
          <w:color w:val="auto"/>
          <w:kern w:val="0"/>
          <w:sz w:val="24"/>
          <w:szCs w:val="24"/>
        </w:rPr>
        <w:t>投标人</w:t>
      </w:r>
      <w:r>
        <w:rPr>
          <w:rFonts w:hint="eastAsia" w:ascii="仿宋" w:hAnsi="仿宋" w:eastAsia="仿宋" w:cs="仿宋"/>
          <w:color w:val="auto"/>
          <w:sz w:val="24"/>
          <w:szCs w:val="24"/>
        </w:rPr>
        <w:t>。甲乙双方同意签署《______项目</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项目名称</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合同》</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合同编号：______，以下简称：“合同”</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w:t>
      </w:r>
    </w:p>
    <w:p w14:paraId="433FCB8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1.合同文件</w:t>
      </w:r>
    </w:p>
    <w:p w14:paraId="5D96A04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下列文件是构成本合同不可分割的部分：</w:t>
      </w:r>
    </w:p>
    <w:p w14:paraId="2A0CBE2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（1）</w:t>
      </w:r>
      <w:r>
        <w:rPr>
          <w:rFonts w:hint="eastAsia" w:ascii="仿宋" w:hAnsi="仿宋" w:eastAsia="仿宋" w:cs="仿宋"/>
          <w:color w:val="auto"/>
          <w:sz w:val="24"/>
          <w:szCs w:val="24"/>
        </w:rPr>
        <w:t xml:space="preserve"> 合同条款；</w:t>
      </w:r>
    </w:p>
    <w:p w14:paraId="3635D5AD">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（2）</w:t>
      </w:r>
      <w:r>
        <w:rPr>
          <w:rFonts w:hint="eastAsia" w:ascii="仿宋" w:hAnsi="仿宋" w:eastAsia="仿宋" w:cs="仿宋"/>
          <w:color w:val="auto"/>
          <w:sz w:val="24"/>
          <w:szCs w:val="24"/>
        </w:rPr>
        <w:t xml:space="preserve"> 中标通知书；</w:t>
      </w:r>
    </w:p>
    <w:p w14:paraId="44B71F6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（3）</w:t>
      </w:r>
      <w:r>
        <w:rPr>
          <w:rFonts w:hint="eastAsia" w:ascii="仿宋" w:hAnsi="仿宋" w:eastAsia="仿宋" w:cs="仿宋"/>
          <w:color w:val="auto"/>
          <w:sz w:val="24"/>
          <w:szCs w:val="24"/>
        </w:rPr>
        <w:t xml:space="preserve"> 招标文件；</w:t>
      </w:r>
    </w:p>
    <w:p w14:paraId="1C545A4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（4）</w:t>
      </w:r>
      <w:r>
        <w:rPr>
          <w:rFonts w:hint="eastAsia" w:ascii="仿宋" w:hAnsi="仿宋" w:eastAsia="仿宋" w:cs="仿宋"/>
          <w:color w:val="auto"/>
          <w:sz w:val="24"/>
          <w:szCs w:val="24"/>
        </w:rPr>
        <w:t xml:space="preserve"> 投标文件；</w:t>
      </w:r>
    </w:p>
    <w:p w14:paraId="13800F0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（5）</w:t>
      </w:r>
      <w:r>
        <w:rPr>
          <w:rFonts w:hint="eastAsia" w:ascii="仿宋" w:hAnsi="仿宋" w:eastAsia="仿宋" w:cs="仿宋"/>
          <w:color w:val="auto"/>
          <w:sz w:val="24"/>
          <w:szCs w:val="24"/>
        </w:rPr>
        <w:t xml:space="preserve"> 其他</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根据实际情况需要增加的内容</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w:t>
      </w:r>
    </w:p>
    <w:p w14:paraId="3F95933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组成合同的各项文件应互相解释，互为说明。合同文件的解释优先顺序以上述文件先后顺序为准。</w:t>
      </w:r>
    </w:p>
    <w:p w14:paraId="68007B8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2.合同主要标的及数量</w:t>
      </w:r>
    </w:p>
    <w:p w14:paraId="06E4361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乙方应按照合同的规定，提供本项目《招标</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采购</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文件》中有关要求的产品及服务，包括但不限于以下内容：</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1"/>
        <w:gridCol w:w="1523"/>
        <w:gridCol w:w="912"/>
        <w:gridCol w:w="1525"/>
        <w:gridCol w:w="912"/>
        <w:gridCol w:w="912"/>
        <w:gridCol w:w="912"/>
        <w:gridCol w:w="912"/>
      </w:tblGrid>
      <w:tr w14:paraId="1BB00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noWrap w:val="0"/>
            <w:vAlign w:val="center"/>
          </w:tcPr>
          <w:p w14:paraId="31BFFD7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序号</w:t>
            </w:r>
          </w:p>
        </w:tc>
        <w:tc>
          <w:tcPr>
            <w:tcW w:w="894" w:type="pct"/>
            <w:noWrap w:val="0"/>
            <w:vAlign w:val="center"/>
          </w:tcPr>
          <w:p w14:paraId="45F51B9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货物名称</w:t>
            </w:r>
          </w:p>
        </w:tc>
        <w:tc>
          <w:tcPr>
            <w:tcW w:w="535" w:type="pct"/>
            <w:noWrap w:val="0"/>
            <w:vAlign w:val="center"/>
          </w:tcPr>
          <w:p w14:paraId="28D6BA9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品牌</w:t>
            </w:r>
          </w:p>
        </w:tc>
        <w:tc>
          <w:tcPr>
            <w:tcW w:w="894" w:type="pct"/>
            <w:noWrap w:val="0"/>
            <w:vAlign w:val="center"/>
          </w:tcPr>
          <w:p w14:paraId="2F50DD7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型号规格</w:t>
            </w:r>
          </w:p>
        </w:tc>
        <w:tc>
          <w:tcPr>
            <w:tcW w:w="535" w:type="pct"/>
            <w:noWrap w:val="0"/>
            <w:vAlign w:val="center"/>
          </w:tcPr>
          <w:p w14:paraId="40AEE4F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单价</w:t>
            </w:r>
          </w:p>
        </w:tc>
        <w:tc>
          <w:tcPr>
            <w:tcW w:w="535" w:type="pct"/>
            <w:noWrap w:val="0"/>
            <w:vAlign w:val="center"/>
          </w:tcPr>
          <w:p w14:paraId="374E5AA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数量</w:t>
            </w:r>
          </w:p>
        </w:tc>
        <w:tc>
          <w:tcPr>
            <w:tcW w:w="535" w:type="pct"/>
            <w:noWrap w:val="0"/>
            <w:vAlign w:val="center"/>
          </w:tcPr>
          <w:p w14:paraId="62351AB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小计</w:t>
            </w:r>
          </w:p>
        </w:tc>
        <w:tc>
          <w:tcPr>
            <w:tcW w:w="535" w:type="pct"/>
            <w:noWrap w:val="0"/>
            <w:vAlign w:val="center"/>
          </w:tcPr>
          <w:p w14:paraId="0112C12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备注</w:t>
            </w:r>
          </w:p>
        </w:tc>
      </w:tr>
      <w:tr w14:paraId="28D98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noWrap w:val="0"/>
            <w:vAlign w:val="center"/>
          </w:tcPr>
          <w:p w14:paraId="2B21D54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894" w:type="pct"/>
            <w:noWrap w:val="0"/>
            <w:vAlign w:val="center"/>
          </w:tcPr>
          <w:p w14:paraId="468D44B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6724B67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894" w:type="pct"/>
            <w:noWrap w:val="0"/>
            <w:vAlign w:val="center"/>
          </w:tcPr>
          <w:p w14:paraId="250B3AD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59A7A55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13D0C82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31D4280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69DA808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r>
      <w:tr w14:paraId="69DEC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noWrap w:val="0"/>
            <w:vAlign w:val="center"/>
          </w:tcPr>
          <w:p w14:paraId="66E6B97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894" w:type="pct"/>
            <w:noWrap w:val="0"/>
            <w:vAlign w:val="center"/>
          </w:tcPr>
          <w:p w14:paraId="780F475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0FE41F8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894" w:type="pct"/>
            <w:noWrap w:val="0"/>
            <w:vAlign w:val="center"/>
          </w:tcPr>
          <w:p w14:paraId="1169C4E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3A098D5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0020311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149AFFB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17D129C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r>
      <w:tr w14:paraId="04DF9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noWrap w:val="0"/>
            <w:vAlign w:val="center"/>
          </w:tcPr>
          <w:p w14:paraId="5CEF1A6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894" w:type="pct"/>
            <w:noWrap w:val="0"/>
            <w:vAlign w:val="center"/>
          </w:tcPr>
          <w:p w14:paraId="1E04707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2BBF19F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894" w:type="pct"/>
            <w:noWrap w:val="0"/>
            <w:vAlign w:val="center"/>
          </w:tcPr>
          <w:p w14:paraId="3E78969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050E76C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75AE00A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373B2FC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4797ECD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r>
      <w:tr w14:paraId="3C9FA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noWrap w:val="0"/>
            <w:vAlign w:val="center"/>
          </w:tcPr>
          <w:p w14:paraId="1FE8AD3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894" w:type="pct"/>
            <w:noWrap w:val="0"/>
            <w:vAlign w:val="center"/>
          </w:tcPr>
          <w:p w14:paraId="7DEA4A1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00DEAB5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894" w:type="pct"/>
            <w:noWrap w:val="0"/>
            <w:vAlign w:val="center"/>
          </w:tcPr>
          <w:p w14:paraId="1E6024A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64E0FD0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7B8320B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6C5AA18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7F586BB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r>
      <w:tr w14:paraId="43E0F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noWrap w:val="0"/>
            <w:vAlign w:val="center"/>
          </w:tcPr>
          <w:p w14:paraId="35130C7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894" w:type="pct"/>
            <w:noWrap w:val="0"/>
            <w:vAlign w:val="center"/>
          </w:tcPr>
          <w:p w14:paraId="2631C2C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0ACE647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894" w:type="pct"/>
            <w:noWrap w:val="0"/>
            <w:vAlign w:val="center"/>
          </w:tcPr>
          <w:p w14:paraId="1A10B52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1879432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66BE217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154FF5F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580F64E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r>
      <w:tr w14:paraId="73FD6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noWrap w:val="0"/>
            <w:vAlign w:val="center"/>
          </w:tcPr>
          <w:p w14:paraId="523406B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894" w:type="pct"/>
            <w:noWrap w:val="0"/>
            <w:vAlign w:val="center"/>
          </w:tcPr>
          <w:p w14:paraId="1E4F707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48D30F9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894" w:type="pct"/>
            <w:noWrap w:val="0"/>
            <w:vAlign w:val="center"/>
          </w:tcPr>
          <w:p w14:paraId="0B7AB55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1C50509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359D212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6E76739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2E06A7F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r>
      <w:tr w14:paraId="75688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9" w:type="pct"/>
            <w:gridSpan w:val="4"/>
            <w:noWrap w:val="0"/>
            <w:vAlign w:val="center"/>
          </w:tcPr>
          <w:p w14:paraId="03E295C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合计</w:t>
            </w:r>
          </w:p>
        </w:tc>
        <w:tc>
          <w:tcPr>
            <w:tcW w:w="535" w:type="pct"/>
            <w:noWrap w:val="0"/>
            <w:vAlign w:val="center"/>
          </w:tcPr>
          <w:p w14:paraId="5E1FCAA2">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color w:val="auto"/>
                <w:sz w:val="22"/>
                <w:szCs w:val="22"/>
              </w:rPr>
            </w:pPr>
          </w:p>
        </w:tc>
        <w:tc>
          <w:tcPr>
            <w:tcW w:w="535" w:type="pct"/>
            <w:noWrap w:val="0"/>
            <w:vAlign w:val="center"/>
          </w:tcPr>
          <w:p w14:paraId="7984ADE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color w:val="auto"/>
                <w:sz w:val="22"/>
                <w:szCs w:val="22"/>
              </w:rPr>
            </w:pPr>
          </w:p>
        </w:tc>
        <w:tc>
          <w:tcPr>
            <w:tcW w:w="535" w:type="pct"/>
            <w:noWrap w:val="0"/>
            <w:vAlign w:val="center"/>
          </w:tcPr>
          <w:p w14:paraId="5BEDCD3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color w:val="auto"/>
                <w:sz w:val="22"/>
                <w:szCs w:val="22"/>
              </w:rPr>
            </w:pPr>
          </w:p>
        </w:tc>
        <w:tc>
          <w:tcPr>
            <w:tcW w:w="535" w:type="pct"/>
            <w:noWrap w:val="0"/>
            <w:vAlign w:val="center"/>
          </w:tcPr>
          <w:p w14:paraId="36FFDE00">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color w:val="auto"/>
                <w:sz w:val="22"/>
                <w:szCs w:val="22"/>
              </w:rPr>
            </w:pPr>
          </w:p>
        </w:tc>
      </w:tr>
    </w:tbl>
    <w:p w14:paraId="4AC7776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3.合同总金额及付款方式</w:t>
      </w:r>
    </w:p>
    <w:p w14:paraId="43056FED">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3.1合同总金额</w:t>
      </w:r>
    </w:p>
    <w:p w14:paraId="3C633EB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本合同总金额为人民币______元</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¥______</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。本项目包括但不限于税费、运输、保险、安装、调试、技术支持、质量保障、售后服务、培训和合同中规定乙方应承担的其他义务的费用已由乙方计入本合同总金额中。</w:t>
      </w:r>
    </w:p>
    <w:p w14:paraId="11A71D6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3.2付款方式</w:t>
      </w:r>
    </w:p>
    <w:p w14:paraId="20611FD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3.3履约保证金</w:t>
      </w:r>
    </w:p>
    <w:p w14:paraId="2CB2615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4.合同签订地：______</w:t>
      </w:r>
    </w:p>
    <w:p w14:paraId="1D1EEB88">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5.合同生效</w:t>
      </w:r>
    </w:p>
    <w:p w14:paraId="754C4609">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本合同一式肆份，甲方执贰份、乙方执壹份、采购代理机构（见证方）执壹份。在甲、乙及见证方签字盖章，</w:t>
      </w:r>
      <w:r>
        <w:rPr>
          <w:rFonts w:hint="eastAsia" w:ascii="仿宋" w:hAnsi="仿宋" w:eastAsia="仿宋" w:cs="仿宋"/>
          <w:color w:val="auto"/>
          <w:sz w:val="24"/>
          <w:szCs w:val="24"/>
          <w:lang w:eastAsia="zh-CN"/>
        </w:rPr>
        <w:t>并在</w:t>
      </w:r>
      <w:r>
        <w:rPr>
          <w:rFonts w:hint="eastAsia" w:ascii="仿宋" w:hAnsi="仿宋" w:eastAsia="仿宋" w:cs="仿宋"/>
          <w:color w:val="auto"/>
          <w:sz w:val="24"/>
          <w:szCs w:val="24"/>
        </w:rPr>
        <w:t>甲方收到乙方提交的履约保证金后生效。</w:t>
      </w:r>
    </w:p>
    <w:p w14:paraId="5BEA61D4">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6.其他约定：见证方只见证合同金额。</w:t>
      </w:r>
    </w:p>
    <w:p w14:paraId="35FA523E">
      <w:pPr>
        <w:spacing w:line="336" w:lineRule="auto"/>
        <w:rPr>
          <w:rFonts w:hint="eastAsia" w:ascii="仿宋" w:hAnsi="仿宋" w:eastAsia="仿宋" w:cs="仿宋"/>
          <w:color w:val="auto"/>
          <w:sz w:val="24"/>
          <w:szCs w:val="24"/>
        </w:rPr>
      </w:pPr>
      <w:r>
        <w:rPr>
          <w:rFonts w:hint="eastAsia" w:ascii="仿宋" w:hAnsi="仿宋" w:eastAsia="仿宋" w:cs="仿宋"/>
          <w:color w:val="auto"/>
          <w:sz w:val="24"/>
          <w:szCs w:val="24"/>
        </w:rPr>
        <w:br w:type="page"/>
      </w:r>
    </w:p>
    <w:tbl>
      <w:tblPr>
        <w:tblStyle w:val="7"/>
        <w:tblW w:w="0" w:type="auto"/>
        <w:tblInd w:w="93" w:type="dxa"/>
        <w:tblLayout w:type="fixed"/>
        <w:tblCellMar>
          <w:top w:w="0" w:type="dxa"/>
          <w:left w:w="108" w:type="dxa"/>
          <w:bottom w:w="0" w:type="dxa"/>
          <w:right w:w="108" w:type="dxa"/>
        </w:tblCellMar>
      </w:tblPr>
      <w:tblGrid>
        <w:gridCol w:w="4551"/>
        <w:gridCol w:w="4253"/>
      </w:tblGrid>
      <w:tr w14:paraId="5B8562CD">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14:paraId="5D3058CA">
            <w:pPr>
              <w:rPr>
                <w:rFonts w:hint="eastAsia" w:ascii="仿宋" w:hAnsi="仿宋" w:eastAsia="仿宋" w:cs="仿宋"/>
                <w:color w:val="auto"/>
                <w:kern w:val="0"/>
                <w:sz w:val="22"/>
                <w:szCs w:val="22"/>
              </w:rPr>
            </w:pPr>
            <w:r>
              <w:rPr>
                <w:rFonts w:hint="eastAsia" w:ascii="仿宋" w:hAnsi="仿宋" w:eastAsia="仿宋" w:cs="仿宋"/>
                <w:color w:val="auto"/>
                <w:kern w:val="0"/>
                <w:sz w:val="22"/>
                <w:szCs w:val="22"/>
              </w:rPr>
              <w:t>甲  方</w:t>
            </w:r>
          </w:p>
        </w:tc>
        <w:tc>
          <w:tcPr>
            <w:tcW w:w="4253" w:type="dxa"/>
            <w:tcBorders>
              <w:top w:val="single" w:color="auto" w:sz="8" w:space="0"/>
              <w:left w:val="nil"/>
              <w:bottom w:val="single" w:color="auto" w:sz="8" w:space="0"/>
              <w:right w:val="single" w:color="auto" w:sz="8" w:space="0"/>
            </w:tcBorders>
            <w:noWrap w:val="0"/>
            <w:vAlign w:val="center"/>
          </w:tcPr>
          <w:p w14:paraId="1A93BA46">
            <w:pPr>
              <w:rPr>
                <w:rFonts w:hint="eastAsia" w:ascii="仿宋" w:hAnsi="仿宋" w:eastAsia="仿宋" w:cs="仿宋"/>
                <w:color w:val="auto"/>
                <w:kern w:val="0"/>
                <w:sz w:val="22"/>
                <w:szCs w:val="22"/>
              </w:rPr>
            </w:pPr>
            <w:r>
              <w:rPr>
                <w:rFonts w:hint="eastAsia" w:ascii="仿宋" w:hAnsi="仿宋" w:eastAsia="仿宋" w:cs="仿宋"/>
                <w:color w:val="auto"/>
                <w:kern w:val="0"/>
                <w:sz w:val="22"/>
                <w:szCs w:val="22"/>
              </w:rPr>
              <w:t>乙  方</w:t>
            </w:r>
          </w:p>
        </w:tc>
      </w:tr>
      <w:tr w14:paraId="2662799C">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7272C3EF">
            <w:pPr>
              <w:rPr>
                <w:rFonts w:hint="eastAsia" w:ascii="仿宋" w:hAnsi="仿宋" w:eastAsia="仿宋" w:cs="仿宋"/>
                <w:color w:val="auto"/>
                <w:kern w:val="0"/>
                <w:sz w:val="22"/>
                <w:szCs w:val="22"/>
              </w:rPr>
            </w:pPr>
            <w:r>
              <w:rPr>
                <w:rFonts w:hint="eastAsia" w:ascii="仿宋" w:hAnsi="仿宋" w:eastAsia="仿宋" w:cs="仿宋"/>
                <w:color w:val="auto"/>
                <w:kern w:val="0"/>
                <w:sz w:val="22"/>
                <w:szCs w:val="22"/>
              </w:rPr>
              <w:t>（盖章）</w:t>
            </w:r>
          </w:p>
        </w:tc>
        <w:tc>
          <w:tcPr>
            <w:tcW w:w="4253" w:type="dxa"/>
            <w:tcBorders>
              <w:top w:val="nil"/>
              <w:left w:val="nil"/>
              <w:bottom w:val="nil"/>
              <w:right w:val="single" w:color="auto" w:sz="8" w:space="0"/>
            </w:tcBorders>
            <w:noWrap w:val="0"/>
            <w:vAlign w:val="center"/>
          </w:tcPr>
          <w:p w14:paraId="64B76D16">
            <w:pPr>
              <w:rPr>
                <w:rFonts w:hint="eastAsia" w:ascii="仿宋" w:hAnsi="仿宋" w:eastAsia="仿宋" w:cs="仿宋"/>
                <w:color w:val="auto"/>
                <w:kern w:val="0"/>
                <w:sz w:val="22"/>
                <w:szCs w:val="22"/>
              </w:rPr>
            </w:pPr>
            <w:r>
              <w:rPr>
                <w:rFonts w:hint="eastAsia" w:ascii="仿宋" w:hAnsi="仿宋" w:eastAsia="仿宋" w:cs="仿宋"/>
                <w:color w:val="auto"/>
                <w:kern w:val="0"/>
                <w:sz w:val="22"/>
                <w:szCs w:val="22"/>
              </w:rPr>
              <w:t>（盖章）</w:t>
            </w:r>
          </w:p>
        </w:tc>
      </w:tr>
      <w:tr w14:paraId="2CB437CA">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2E984575">
            <w:pPr>
              <w:rPr>
                <w:rFonts w:hint="eastAsia" w:ascii="仿宋" w:hAnsi="仿宋" w:eastAsia="仿宋" w:cs="仿宋"/>
                <w:color w:val="auto"/>
                <w:kern w:val="0"/>
                <w:sz w:val="22"/>
                <w:szCs w:val="22"/>
              </w:rPr>
            </w:pPr>
          </w:p>
        </w:tc>
        <w:tc>
          <w:tcPr>
            <w:tcW w:w="4253" w:type="dxa"/>
            <w:tcBorders>
              <w:top w:val="nil"/>
              <w:left w:val="nil"/>
              <w:bottom w:val="single" w:color="auto" w:sz="8" w:space="0"/>
              <w:right w:val="single" w:color="auto" w:sz="8" w:space="0"/>
            </w:tcBorders>
            <w:noWrap w:val="0"/>
            <w:vAlign w:val="center"/>
          </w:tcPr>
          <w:p w14:paraId="036D4E04">
            <w:pPr>
              <w:rPr>
                <w:rFonts w:hint="eastAsia" w:ascii="仿宋" w:hAnsi="仿宋" w:eastAsia="仿宋" w:cs="仿宋"/>
                <w:color w:val="auto"/>
                <w:kern w:val="0"/>
                <w:sz w:val="22"/>
                <w:szCs w:val="22"/>
              </w:rPr>
            </w:pPr>
          </w:p>
        </w:tc>
      </w:tr>
      <w:tr w14:paraId="35100715">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35AF380C">
            <w:pPr>
              <w:rPr>
                <w:rFonts w:hint="eastAsia" w:ascii="仿宋" w:hAnsi="仿宋" w:eastAsia="仿宋" w:cs="仿宋"/>
                <w:color w:val="auto"/>
                <w:kern w:val="0"/>
                <w:sz w:val="22"/>
                <w:szCs w:val="22"/>
              </w:rPr>
            </w:pPr>
            <w:r>
              <w:rPr>
                <w:rFonts w:hint="eastAsia" w:ascii="仿宋" w:hAnsi="仿宋" w:eastAsia="仿宋" w:cs="仿宋"/>
                <w:color w:val="auto"/>
                <w:kern w:val="0"/>
                <w:sz w:val="22"/>
                <w:szCs w:val="22"/>
              </w:rPr>
              <w:t>地址：</w:t>
            </w:r>
          </w:p>
        </w:tc>
        <w:tc>
          <w:tcPr>
            <w:tcW w:w="4253" w:type="dxa"/>
            <w:tcBorders>
              <w:top w:val="nil"/>
              <w:left w:val="nil"/>
              <w:bottom w:val="single" w:color="auto" w:sz="8" w:space="0"/>
              <w:right w:val="single" w:color="auto" w:sz="8" w:space="0"/>
            </w:tcBorders>
            <w:noWrap w:val="0"/>
            <w:vAlign w:val="center"/>
          </w:tcPr>
          <w:p w14:paraId="65B8A858">
            <w:pPr>
              <w:rPr>
                <w:rFonts w:hint="eastAsia" w:ascii="仿宋" w:hAnsi="仿宋" w:eastAsia="仿宋" w:cs="仿宋"/>
                <w:color w:val="auto"/>
                <w:kern w:val="0"/>
                <w:sz w:val="22"/>
                <w:szCs w:val="22"/>
              </w:rPr>
            </w:pPr>
            <w:r>
              <w:rPr>
                <w:rFonts w:hint="eastAsia" w:ascii="仿宋" w:hAnsi="仿宋" w:eastAsia="仿宋" w:cs="仿宋"/>
                <w:color w:val="auto"/>
                <w:kern w:val="0"/>
                <w:sz w:val="22"/>
                <w:szCs w:val="22"/>
              </w:rPr>
              <w:t>地址：</w:t>
            </w:r>
          </w:p>
        </w:tc>
      </w:tr>
      <w:tr w14:paraId="490A224F">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6027C488">
            <w:pPr>
              <w:rPr>
                <w:rFonts w:hint="eastAsia" w:ascii="仿宋" w:hAnsi="仿宋" w:eastAsia="仿宋" w:cs="仿宋"/>
                <w:color w:val="auto"/>
                <w:kern w:val="0"/>
                <w:sz w:val="22"/>
                <w:szCs w:val="22"/>
              </w:rPr>
            </w:pPr>
            <w:r>
              <w:rPr>
                <w:rFonts w:hint="eastAsia" w:ascii="仿宋" w:hAnsi="仿宋" w:eastAsia="仿宋" w:cs="仿宋"/>
                <w:color w:val="auto"/>
                <w:kern w:val="0"/>
                <w:sz w:val="22"/>
                <w:szCs w:val="22"/>
              </w:rPr>
              <w:t>邮编：</w:t>
            </w:r>
          </w:p>
        </w:tc>
        <w:tc>
          <w:tcPr>
            <w:tcW w:w="4253" w:type="dxa"/>
            <w:tcBorders>
              <w:top w:val="nil"/>
              <w:left w:val="nil"/>
              <w:bottom w:val="single" w:color="auto" w:sz="8" w:space="0"/>
              <w:right w:val="single" w:color="auto" w:sz="8" w:space="0"/>
            </w:tcBorders>
            <w:noWrap w:val="0"/>
            <w:vAlign w:val="center"/>
          </w:tcPr>
          <w:p w14:paraId="464587DC">
            <w:pPr>
              <w:rPr>
                <w:rFonts w:hint="eastAsia" w:ascii="仿宋" w:hAnsi="仿宋" w:eastAsia="仿宋" w:cs="仿宋"/>
                <w:color w:val="auto"/>
                <w:kern w:val="0"/>
                <w:sz w:val="22"/>
                <w:szCs w:val="22"/>
              </w:rPr>
            </w:pPr>
            <w:r>
              <w:rPr>
                <w:rFonts w:hint="eastAsia" w:ascii="仿宋" w:hAnsi="仿宋" w:eastAsia="仿宋" w:cs="仿宋"/>
                <w:color w:val="auto"/>
                <w:kern w:val="0"/>
                <w:sz w:val="22"/>
                <w:szCs w:val="22"/>
              </w:rPr>
              <w:t>邮编：</w:t>
            </w:r>
          </w:p>
        </w:tc>
      </w:tr>
      <w:tr w14:paraId="03FCA0DB">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28FFFA1A">
            <w:pPr>
              <w:rPr>
                <w:rFonts w:hint="eastAsia" w:ascii="仿宋" w:hAnsi="仿宋" w:eastAsia="仿宋" w:cs="仿宋"/>
                <w:color w:val="auto"/>
                <w:kern w:val="0"/>
                <w:sz w:val="22"/>
                <w:szCs w:val="22"/>
              </w:rPr>
            </w:pPr>
            <w:r>
              <w:rPr>
                <w:rFonts w:hint="eastAsia" w:ascii="仿宋" w:hAnsi="仿宋" w:eastAsia="仿宋" w:cs="仿宋"/>
                <w:color w:val="auto"/>
                <w:kern w:val="0"/>
                <w:sz w:val="22"/>
                <w:szCs w:val="22"/>
              </w:rPr>
              <w:t>全权代表：（签字）</w:t>
            </w:r>
          </w:p>
        </w:tc>
        <w:tc>
          <w:tcPr>
            <w:tcW w:w="4253" w:type="dxa"/>
            <w:tcBorders>
              <w:top w:val="nil"/>
              <w:left w:val="nil"/>
              <w:bottom w:val="single" w:color="auto" w:sz="8" w:space="0"/>
              <w:right w:val="single" w:color="auto" w:sz="8" w:space="0"/>
            </w:tcBorders>
            <w:noWrap w:val="0"/>
            <w:vAlign w:val="center"/>
          </w:tcPr>
          <w:p w14:paraId="42E0E7BD">
            <w:pPr>
              <w:rPr>
                <w:rFonts w:hint="eastAsia" w:ascii="仿宋" w:hAnsi="仿宋" w:eastAsia="仿宋" w:cs="仿宋"/>
                <w:color w:val="auto"/>
                <w:kern w:val="0"/>
                <w:sz w:val="22"/>
                <w:szCs w:val="22"/>
              </w:rPr>
            </w:pPr>
            <w:r>
              <w:rPr>
                <w:rFonts w:hint="eastAsia" w:ascii="仿宋" w:hAnsi="仿宋" w:eastAsia="仿宋" w:cs="仿宋"/>
                <w:color w:val="auto"/>
                <w:kern w:val="0"/>
                <w:sz w:val="22"/>
                <w:szCs w:val="22"/>
              </w:rPr>
              <w:t>法定代表人：</w:t>
            </w:r>
          </w:p>
        </w:tc>
      </w:tr>
      <w:tr w14:paraId="7D5E0FE7">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664DB33F">
            <w:pPr>
              <w:rPr>
                <w:rFonts w:hint="eastAsia" w:ascii="仿宋" w:hAnsi="仿宋" w:eastAsia="仿宋" w:cs="仿宋"/>
                <w:color w:val="auto"/>
                <w:kern w:val="0"/>
                <w:sz w:val="22"/>
                <w:szCs w:val="22"/>
              </w:rPr>
            </w:pPr>
          </w:p>
        </w:tc>
        <w:tc>
          <w:tcPr>
            <w:tcW w:w="4253" w:type="dxa"/>
            <w:tcBorders>
              <w:top w:val="nil"/>
              <w:left w:val="nil"/>
              <w:bottom w:val="single" w:color="auto" w:sz="8" w:space="0"/>
              <w:right w:val="single" w:color="auto" w:sz="8" w:space="0"/>
            </w:tcBorders>
            <w:noWrap w:val="0"/>
            <w:vAlign w:val="center"/>
          </w:tcPr>
          <w:p w14:paraId="5C0CA720">
            <w:pPr>
              <w:rPr>
                <w:rFonts w:hint="eastAsia" w:ascii="仿宋" w:hAnsi="仿宋" w:eastAsia="仿宋" w:cs="仿宋"/>
                <w:color w:val="auto"/>
                <w:kern w:val="0"/>
                <w:sz w:val="22"/>
                <w:szCs w:val="22"/>
              </w:rPr>
            </w:pPr>
            <w:r>
              <w:rPr>
                <w:rFonts w:hint="eastAsia" w:ascii="仿宋" w:hAnsi="仿宋" w:eastAsia="仿宋" w:cs="仿宋"/>
                <w:color w:val="auto"/>
                <w:kern w:val="0"/>
                <w:sz w:val="22"/>
                <w:szCs w:val="22"/>
              </w:rPr>
              <w:t>被授权代表：（签字）</w:t>
            </w:r>
          </w:p>
        </w:tc>
      </w:tr>
      <w:tr w14:paraId="322E8343">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0254D1E0">
            <w:pPr>
              <w:rPr>
                <w:rFonts w:hint="eastAsia" w:ascii="仿宋" w:hAnsi="仿宋" w:eastAsia="仿宋" w:cs="仿宋"/>
                <w:color w:val="auto"/>
                <w:kern w:val="0"/>
                <w:sz w:val="22"/>
                <w:szCs w:val="22"/>
              </w:rPr>
            </w:pPr>
            <w:r>
              <w:rPr>
                <w:rFonts w:hint="eastAsia" w:ascii="仿宋" w:hAnsi="仿宋" w:eastAsia="仿宋" w:cs="仿宋"/>
                <w:color w:val="auto"/>
                <w:kern w:val="0"/>
                <w:sz w:val="22"/>
                <w:szCs w:val="22"/>
              </w:rPr>
              <w:t>电话：</w:t>
            </w:r>
          </w:p>
        </w:tc>
        <w:tc>
          <w:tcPr>
            <w:tcW w:w="4253" w:type="dxa"/>
            <w:tcBorders>
              <w:top w:val="nil"/>
              <w:left w:val="nil"/>
              <w:bottom w:val="single" w:color="auto" w:sz="8" w:space="0"/>
              <w:right w:val="single" w:color="auto" w:sz="8" w:space="0"/>
            </w:tcBorders>
            <w:noWrap w:val="0"/>
            <w:vAlign w:val="center"/>
          </w:tcPr>
          <w:p w14:paraId="154680E8">
            <w:pPr>
              <w:rPr>
                <w:rFonts w:hint="eastAsia" w:ascii="仿宋" w:hAnsi="仿宋" w:eastAsia="仿宋" w:cs="仿宋"/>
                <w:color w:val="auto"/>
                <w:kern w:val="0"/>
                <w:sz w:val="22"/>
                <w:szCs w:val="22"/>
              </w:rPr>
            </w:pPr>
            <w:r>
              <w:rPr>
                <w:rFonts w:hint="eastAsia" w:ascii="仿宋" w:hAnsi="仿宋" w:eastAsia="仿宋" w:cs="仿宋"/>
                <w:color w:val="auto"/>
                <w:kern w:val="0"/>
                <w:sz w:val="22"/>
                <w:szCs w:val="22"/>
              </w:rPr>
              <w:t>电话：</w:t>
            </w:r>
          </w:p>
        </w:tc>
      </w:tr>
      <w:tr w14:paraId="35F89895">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313C11B4">
            <w:pPr>
              <w:rPr>
                <w:rFonts w:hint="eastAsia" w:ascii="仿宋" w:hAnsi="仿宋" w:eastAsia="仿宋" w:cs="仿宋"/>
                <w:color w:val="auto"/>
                <w:kern w:val="0"/>
                <w:sz w:val="22"/>
                <w:szCs w:val="22"/>
              </w:rPr>
            </w:pPr>
            <w:r>
              <w:rPr>
                <w:rFonts w:hint="eastAsia" w:ascii="仿宋" w:hAnsi="仿宋" w:eastAsia="仿宋" w:cs="仿宋"/>
                <w:color w:val="auto"/>
                <w:kern w:val="0"/>
                <w:sz w:val="22"/>
                <w:szCs w:val="22"/>
              </w:rPr>
              <w:t>传真：</w:t>
            </w:r>
          </w:p>
        </w:tc>
        <w:tc>
          <w:tcPr>
            <w:tcW w:w="4253" w:type="dxa"/>
            <w:tcBorders>
              <w:top w:val="nil"/>
              <w:left w:val="nil"/>
              <w:bottom w:val="single" w:color="auto" w:sz="8" w:space="0"/>
              <w:right w:val="single" w:color="auto" w:sz="8" w:space="0"/>
            </w:tcBorders>
            <w:noWrap w:val="0"/>
            <w:vAlign w:val="center"/>
          </w:tcPr>
          <w:p w14:paraId="16548705">
            <w:pPr>
              <w:rPr>
                <w:rFonts w:hint="eastAsia" w:ascii="仿宋" w:hAnsi="仿宋" w:eastAsia="仿宋" w:cs="仿宋"/>
                <w:color w:val="auto"/>
                <w:kern w:val="0"/>
                <w:sz w:val="22"/>
                <w:szCs w:val="22"/>
              </w:rPr>
            </w:pPr>
            <w:r>
              <w:rPr>
                <w:rFonts w:hint="eastAsia" w:ascii="仿宋" w:hAnsi="仿宋" w:eastAsia="仿宋" w:cs="仿宋"/>
                <w:color w:val="auto"/>
                <w:kern w:val="0"/>
                <w:sz w:val="22"/>
                <w:szCs w:val="22"/>
              </w:rPr>
              <w:t>传真：</w:t>
            </w:r>
          </w:p>
        </w:tc>
      </w:tr>
      <w:tr w14:paraId="071F7DE1">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474D4E2C">
            <w:pPr>
              <w:rPr>
                <w:rFonts w:hint="eastAsia" w:ascii="仿宋" w:hAnsi="仿宋" w:eastAsia="仿宋" w:cs="仿宋"/>
                <w:color w:val="auto"/>
                <w:kern w:val="0"/>
                <w:sz w:val="22"/>
                <w:szCs w:val="22"/>
              </w:rPr>
            </w:pPr>
          </w:p>
        </w:tc>
        <w:tc>
          <w:tcPr>
            <w:tcW w:w="4253" w:type="dxa"/>
            <w:tcBorders>
              <w:top w:val="nil"/>
              <w:left w:val="nil"/>
              <w:bottom w:val="single" w:color="auto" w:sz="8" w:space="0"/>
              <w:right w:val="single" w:color="auto" w:sz="8" w:space="0"/>
            </w:tcBorders>
            <w:noWrap w:val="0"/>
            <w:vAlign w:val="center"/>
          </w:tcPr>
          <w:p w14:paraId="5C89D9E5">
            <w:pPr>
              <w:rPr>
                <w:rFonts w:hint="eastAsia" w:ascii="仿宋" w:hAnsi="仿宋" w:eastAsia="仿宋" w:cs="仿宋"/>
                <w:color w:val="auto"/>
                <w:kern w:val="0"/>
                <w:sz w:val="22"/>
                <w:szCs w:val="22"/>
              </w:rPr>
            </w:pPr>
            <w:r>
              <w:rPr>
                <w:rFonts w:hint="eastAsia" w:ascii="仿宋" w:hAnsi="仿宋" w:eastAsia="仿宋" w:cs="仿宋"/>
                <w:color w:val="auto"/>
                <w:kern w:val="0"/>
                <w:sz w:val="22"/>
                <w:szCs w:val="22"/>
              </w:rPr>
              <w:t>开户银行：</w:t>
            </w:r>
          </w:p>
        </w:tc>
      </w:tr>
      <w:tr w14:paraId="7F3BCDB2">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59D632A3">
            <w:pPr>
              <w:rPr>
                <w:rFonts w:hint="eastAsia" w:ascii="仿宋" w:hAnsi="仿宋" w:eastAsia="仿宋" w:cs="仿宋"/>
                <w:color w:val="auto"/>
                <w:kern w:val="0"/>
                <w:sz w:val="22"/>
                <w:szCs w:val="22"/>
              </w:rPr>
            </w:pPr>
          </w:p>
        </w:tc>
        <w:tc>
          <w:tcPr>
            <w:tcW w:w="4253" w:type="dxa"/>
            <w:tcBorders>
              <w:top w:val="nil"/>
              <w:left w:val="nil"/>
              <w:bottom w:val="single" w:color="auto" w:sz="8" w:space="0"/>
              <w:right w:val="single" w:color="auto" w:sz="8" w:space="0"/>
            </w:tcBorders>
            <w:noWrap w:val="0"/>
            <w:vAlign w:val="center"/>
          </w:tcPr>
          <w:p w14:paraId="63B9FBE9">
            <w:pPr>
              <w:rPr>
                <w:rFonts w:hint="eastAsia" w:ascii="仿宋" w:hAnsi="仿宋" w:eastAsia="仿宋" w:cs="仿宋"/>
                <w:color w:val="auto"/>
                <w:kern w:val="0"/>
                <w:sz w:val="22"/>
                <w:szCs w:val="22"/>
              </w:rPr>
            </w:pPr>
            <w:r>
              <w:rPr>
                <w:rFonts w:hint="eastAsia" w:ascii="仿宋" w:hAnsi="仿宋" w:eastAsia="仿宋" w:cs="仿宋"/>
                <w:color w:val="auto"/>
                <w:kern w:val="0"/>
                <w:sz w:val="22"/>
                <w:szCs w:val="22"/>
              </w:rPr>
              <w:t>账号</w:t>
            </w:r>
            <w:r>
              <w:rPr>
                <w:rFonts w:hint="eastAsia" w:ascii="仿宋" w:hAnsi="仿宋" w:eastAsia="仿宋" w:cs="仿宋"/>
                <w:color w:val="auto"/>
                <w:kern w:val="0"/>
                <w:sz w:val="22"/>
                <w:szCs w:val="22"/>
                <w:lang w:eastAsia="zh-CN"/>
              </w:rPr>
              <w:t>：</w:t>
            </w:r>
          </w:p>
        </w:tc>
      </w:tr>
      <w:tr w14:paraId="5A892258">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7E1A2F43">
            <w:pPr>
              <w:rPr>
                <w:rFonts w:hint="eastAsia" w:ascii="仿宋" w:hAnsi="仿宋" w:eastAsia="仿宋" w:cs="仿宋"/>
                <w:color w:val="auto"/>
                <w:kern w:val="0"/>
                <w:sz w:val="22"/>
                <w:szCs w:val="22"/>
              </w:rPr>
            </w:pPr>
            <w:r>
              <w:rPr>
                <w:rFonts w:hint="eastAsia" w:ascii="仿宋" w:hAnsi="仿宋" w:eastAsia="仿宋" w:cs="仿宋"/>
                <w:color w:val="auto"/>
                <w:kern w:val="0"/>
                <w:sz w:val="22"/>
                <w:szCs w:val="22"/>
              </w:rPr>
              <w:t>日期：     年   月   日</w:t>
            </w:r>
          </w:p>
        </w:tc>
        <w:tc>
          <w:tcPr>
            <w:tcW w:w="4253" w:type="dxa"/>
            <w:tcBorders>
              <w:top w:val="nil"/>
              <w:left w:val="nil"/>
              <w:bottom w:val="single" w:color="auto" w:sz="8" w:space="0"/>
              <w:right w:val="single" w:color="auto" w:sz="8" w:space="0"/>
            </w:tcBorders>
            <w:noWrap w:val="0"/>
            <w:vAlign w:val="center"/>
          </w:tcPr>
          <w:p w14:paraId="524AF11E">
            <w:pPr>
              <w:rPr>
                <w:rFonts w:hint="eastAsia" w:ascii="仿宋" w:hAnsi="仿宋" w:eastAsia="仿宋" w:cs="仿宋"/>
                <w:color w:val="auto"/>
                <w:kern w:val="0"/>
                <w:sz w:val="22"/>
                <w:szCs w:val="22"/>
              </w:rPr>
            </w:pPr>
            <w:r>
              <w:rPr>
                <w:rFonts w:hint="eastAsia" w:ascii="仿宋" w:hAnsi="仿宋" w:eastAsia="仿宋" w:cs="仿宋"/>
                <w:color w:val="auto"/>
                <w:kern w:val="0"/>
                <w:sz w:val="22"/>
                <w:szCs w:val="22"/>
              </w:rPr>
              <w:t>日期：     年   月   日</w:t>
            </w:r>
          </w:p>
        </w:tc>
      </w:tr>
      <w:tr w14:paraId="52346431">
        <w:tblPrEx>
          <w:tblCellMar>
            <w:top w:w="0" w:type="dxa"/>
            <w:left w:w="108" w:type="dxa"/>
            <w:bottom w:w="0" w:type="dxa"/>
            <w:right w:w="108" w:type="dxa"/>
          </w:tblCellMar>
        </w:tblPrEx>
        <w:trPr>
          <w:trHeight w:val="381" w:hRule="atLeast"/>
        </w:trPr>
        <w:tc>
          <w:tcPr>
            <w:tcW w:w="4551" w:type="dxa"/>
            <w:tcBorders>
              <w:top w:val="nil"/>
              <w:left w:val="single" w:color="auto" w:sz="8" w:space="0"/>
              <w:bottom w:val="nil"/>
              <w:right w:val="single" w:color="auto" w:sz="8" w:space="0"/>
            </w:tcBorders>
            <w:noWrap w:val="0"/>
            <w:vAlign w:val="center"/>
          </w:tcPr>
          <w:p w14:paraId="5557F7EE">
            <w:pPr>
              <w:rPr>
                <w:rFonts w:hint="eastAsia" w:ascii="仿宋" w:hAnsi="仿宋" w:eastAsia="仿宋" w:cs="仿宋"/>
                <w:color w:val="auto"/>
                <w:kern w:val="0"/>
                <w:sz w:val="22"/>
                <w:szCs w:val="22"/>
              </w:rPr>
            </w:pPr>
            <w:r>
              <w:rPr>
                <w:rFonts w:hint="eastAsia" w:ascii="仿宋" w:hAnsi="仿宋" w:eastAsia="仿宋" w:cs="仿宋"/>
                <w:color w:val="auto"/>
                <w:kern w:val="0"/>
                <w:sz w:val="22"/>
                <w:szCs w:val="22"/>
              </w:rPr>
              <w:t>见证方</w:t>
            </w:r>
          </w:p>
        </w:tc>
        <w:tc>
          <w:tcPr>
            <w:tcW w:w="4253" w:type="dxa"/>
            <w:tcBorders>
              <w:top w:val="nil"/>
              <w:left w:val="nil"/>
              <w:bottom w:val="nil"/>
              <w:right w:val="nil"/>
            </w:tcBorders>
            <w:noWrap/>
            <w:vAlign w:val="center"/>
          </w:tcPr>
          <w:p w14:paraId="3BB807E4">
            <w:pPr>
              <w:rPr>
                <w:rFonts w:hint="eastAsia" w:ascii="仿宋" w:hAnsi="仿宋" w:eastAsia="仿宋" w:cs="仿宋"/>
                <w:color w:val="auto"/>
                <w:kern w:val="0"/>
                <w:sz w:val="22"/>
                <w:szCs w:val="22"/>
              </w:rPr>
            </w:pPr>
          </w:p>
        </w:tc>
      </w:tr>
      <w:tr w14:paraId="2A1D5352">
        <w:tblPrEx>
          <w:tblCellMar>
            <w:top w:w="0" w:type="dxa"/>
            <w:left w:w="108" w:type="dxa"/>
            <w:bottom w:w="0" w:type="dxa"/>
            <w:right w:w="108" w:type="dxa"/>
          </w:tblCellMar>
        </w:tblPrEx>
        <w:trPr>
          <w:trHeight w:val="270" w:hRule="atLeast"/>
        </w:trPr>
        <w:tc>
          <w:tcPr>
            <w:tcW w:w="4551" w:type="dxa"/>
            <w:vMerge w:val="restart"/>
            <w:tcBorders>
              <w:top w:val="single" w:color="auto" w:sz="8" w:space="0"/>
              <w:left w:val="single" w:color="auto" w:sz="8" w:space="0"/>
              <w:right w:val="single" w:color="auto" w:sz="8" w:space="0"/>
            </w:tcBorders>
            <w:noWrap w:val="0"/>
            <w:vAlign w:val="center"/>
          </w:tcPr>
          <w:p w14:paraId="64EFDE99">
            <w:pPr>
              <w:rPr>
                <w:rFonts w:hint="eastAsia" w:ascii="仿宋" w:hAnsi="仿宋" w:eastAsia="仿宋" w:cs="仿宋"/>
                <w:color w:val="auto"/>
                <w:kern w:val="0"/>
                <w:sz w:val="22"/>
                <w:szCs w:val="22"/>
              </w:rPr>
            </w:pPr>
            <w:r>
              <w:rPr>
                <w:rFonts w:hint="eastAsia" w:ascii="仿宋" w:hAnsi="仿宋" w:eastAsia="仿宋" w:cs="仿宋"/>
                <w:color w:val="auto"/>
                <w:kern w:val="0"/>
                <w:sz w:val="22"/>
                <w:szCs w:val="22"/>
              </w:rPr>
              <w:t>（盖章）</w:t>
            </w:r>
          </w:p>
        </w:tc>
        <w:tc>
          <w:tcPr>
            <w:tcW w:w="4253" w:type="dxa"/>
            <w:tcBorders>
              <w:top w:val="nil"/>
              <w:left w:val="nil"/>
              <w:bottom w:val="nil"/>
              <w:right w:val="nil"/>
            </w:tcBorders>
            <w:noWrap/>
            <w:vAlign w:val="center"/>
          </w:tcPr>
          <w:p w14:paraId="36D05721">
            <w:pPr>
              <w:rPr>
                <w:rFonts w:hint="eastAsia" w:ascii="仿宋" w:hAnsi="仿宋" w:eastAsia="仿宋" w:cs="仿宋"/>
                <w:color w:val="auto"/>
                <w:kern w:val="0"/>
                <w:sz w:val="22"/>
                <w:szCs w:val="22"/>
              </w:rPr>
            </w:pPr>
          </w:p>
        </w:tc>
      </w:tr>
      <w:tr w14:paraId="1E5F4F7E">
        <w:tblPrEx>
          <w:tblCellMar>
            <w:top w:w="0" w:type="dxa"/>
            <w:left w:w="108" w:type="dxa"/>
            <w:bottom w:w="0" w:type="dxa"/>
            <w:right w:w="108" w:type="dxa"/>
          </w:tblCellMar>
        </w:tblPrEx>
        <w:trPr>
          <w:trHeight w:val="299" w:hRule="atLeast"/>
        </w:trPr>
        <w:tc>
          <w:tcPr>
            <w:tcW w:w="4551" w:type="dxa"/>
            <w:vMerge w:val="continue"/>
            <w:tcBorders>
              <w:left w:val="single" w:color="auto" w:sz="8" w:space="0"/>
              <w:right w:val="single" w:color="auto" w:sz="8" w:space="0"/>
            </w:tcBorders>
            <w:noWrap w:val="0"/>
            <w:vAlign w:val="center"/>
          </w:tcPr>
          <w:p w14:paraId="6A7058CB">
            <w:pPr>
              <w:rPr>
                <w:rFonts w:hint="eastAsia" w:ascii="仿宋" w:hAnsi="仿宋" w:eastAsia="仿宋" w:cs="仿宋"/>
                <w:color w:val="auto"/>
                <w:kern w:val="0"/>
                <w:sz w:val="22"/>
                <w:szCs w:val="22"/>
              </w:rPr>
            </w:pPr>
          </w:p>
        </w:tc>
        <w:tc>
          <w:tcPr>
            <w:tcW w:w="4253" w:type="dxa"/>
            <w:tcBorders>
              <w:top w:val="nil"/>
              <w:left w:val="nil"/>
              <w:bottom w:val="nil"/>
              <w:right w:val="nil"/>
            </w:tcBorders>
            <w:noWrap/>
            <w:vAlign w:val="center"/>
          </w:tcPr>
          <w:p w14:paraId="737F3A95">
            <w:pPr>
              <w:rPr>
                <w:rFonts w:hint="eastAsia" w:ascii="仿宋" w:hAnsi="仿宋" w:eastAsia="仿宋" w:cs="仿宋"/>
                <w:color w:val="auto"/>
                <w:kern w:val="0"/>
                <w:sz w:val="22"/>
                <w:szCs w:val="22"/>
              </w:rPr>
            </w:pPr>
          </w:p>
        </w:tc>
      </w:tr>
      <w:tr w14:paraId="118AB590">
        <w:tblPrEx>
          <w:tblCellMar>
            <w:top w:w="0" w:type="dxa"/>
            <w:left w:w="108" w:type="dxa"/>
            <w:bottom w:w="0" w:type="dxa"/>
            <w:right w:w="108" w:type="dxa"/>
          </w:tblCellMar>
        </w:tblPrEx>
        <w:trPr>
          <w:trHeight w:val="270" w:hRule="atLeast"/>
        </w:trPr>
        <w:tc>
          <w:tcPr>
            <w:tcW w:w="4551" w:type="dxa"/>
            <w:vMerge w:val="continue"/>
            <w:tcBorders>
              <w:left w:val="single" w:color="auto" w:sz="8" w:space="0"/>
              <w:right w:val="single" w:color="auto" w:sz="8" w:space="0"/>
            </w:tcBorders>
            <w:noWrap w:val="0"/>
            <w:vAlign w:val="center"/>
          </w:tcPr>
          <w:p w14:paraId="12B9CBB0">
            <w:pPr>
              <w:rPr>
                <w:rFonts w:hint="eastAsia" w:ascii="仿宋" w:hAnsi="仿宋" w:eastAsia="仿宋" w:cs="仿宋"/>
                <w:color w:val="auto"/>
                <w:kern w:val="0"/>
                <w:sz w:val="22"/>
                <w:szCs w:val="22"/>
              </w:rPr>
            </w:pPr>
          </w:p>
        </w:tc>
        <w:tc>
          <w:tcPr>
            <w:tcW w:w="4253" w:type="dxa"/>
            <w:tcBorders>
              <w:top w:val="nil"/>
              <w:left w:val="nil"/>
              <w:bottom w:val="nil"/>
              <w:right w:val="nil"/>
            </w:tcBorders>
            <w:noWrap/>
            <w:vAlign w:val="center"/>
          </w:tcPr>
          <w:p w14:paraId="66BED863">
            <w:pPr>
              <w:rPr>
                <w:rFonts w:hint="eastAsia" w:ascii="仿宋" w:hAnsi="仿宋" w:eastAsia="仿宋" w:cs="仿宋"/>
                <w:color w:val="auto"/>
                <w:kern w:val="0"/>
                <w:sz w:val="22"/>
                <w:szCs w:val="22"/>
              </w:rPr>
            </w:pPr>
          </w:p>
        </w:tc>
      </w:tr>
      <w:tr w14:paraId="1EAECC52">
        <w:tblPrEx>
          <w:tblCellMar>
            <w:top w:w="0" w:type="dxa"/>
            <w:left w:w="108" w:type="dxa"/>
            <w:bottom w:w="0" w:type="dxa"/>
            <w:right w:w="108" w:type="dxa"/>
          </w:tblCellMar>
        </w:tblPrEx>
        <w:trPr>
          <w:trHeight w:val="285" w:hRule="atLeast"/>
        </w:trPr>
        <w:tc>
          <w:tcPr>
            <w:tcW w:w="4551" w:type="dxa"/>
            <w:vMerge w:val="continue"/>
            <w:tcBorders>
              <w:left w:val="single" w:color="auto" w:sz="8" w:space="0"/>
              <w:bottom w:val="single" w:color="000000" w:sz="8" w:space="0"/>
              <w:right w:val="single" w:color="auto" w:sz="8" w:space="0"/>
            </w:tcBorders>
            <w:noWrap w:val="0"/>
            <w:vAlign w:val="center"/>
          </w:tcPr>
          <w:p w14:paraId="36FB7617">
            <w:pPr>
              <w:rPr>
                <w:rFonts w:hint="eastAsia" w:ascii="仿宋" w:hAnsi="仿宋" w:eastAsia="仿宋" w:cs="仿宋"/>
                <w:color w:val="auto"/>
                <w:kern w:val="0"/>
                <w:sz w:val="22"/>
                <w:szCs w:val="22"/>
              </w:rPr>
            </w:pPr>
          </w:p>
        </w:tc>
        <w:tc>
          <w:tcPr>
            <w:tcW w:w="4253" w:type="dxa"/>
            <w:tcBorders>
              <w:top w:val="nil"/>
              <w:left w:val="nil"/>
              <w:bottom w:val="nil"/>
              <w:right w:val="nil"/>
            </w:tcBorders>
            <w:noWrap/>
            <w:vAlign w:val="center"/>
          </w:tcPr>
          <w:p w14:paraId="7BC8DEAA">
            <w:pPr>
              <w:rPr>
                <w:rFonts w:hint="eastAsia" w:ascii="仿宋" w:hAnsi="仿宋" w:eastAsia="仿宋" w:cs="仿宋"/>
                <w:color w:val="auto"/>
                <w:kern w:val="0"/>
                <w:sz w:val="22"/>
                <w:szCs w:val="22"/>
              </w:rPr>
            </w:pPr>
          </w:p>
        </w:tc>
      </w:tr>
      <w:tr w14:paraId="40548631">
        <w:tblPrEx>
          <w:tblCellMar>
            <w:top w:w="0" w:type="dxa"/>
            <w:left w:w="108" w:type="dxa"/>
            <w:bottom w:w="0" w:type="dxa"/>
            <w:right w:w="108" w:type="dxa"/>
          </w:tblCellMar>
        </w:tblPrEx>
        <w:trPr>
          <w:trHeight w:val="512" w:hRule="atLeast"/>
        </w:trPr>
        <w:tc>
          <w:tcPr>
            <w:tcW w:w="4551" w:type="dxa"/>
            <w:tcBorders>
              <w:top w:val="nil"/>
              <w:left w:val="single" w:color="auto" w:sz="8" w:space="0"/>
              <w:bottom w:val="single" w:color="auto" w:sz="8" w:space="0"/>
              <w:right w:val="single" w:color="auto" w:sz="8" w:space="0"/>
            </w:tcBorders>
            <w:noWrap w:val="0"/>
            <w:vAlign w:val="center"/>
          </w:tcPr>
          <w:p w14:paraId="05A4E8FD">
            <w:pPr>
              <w:rPr>
                <w:rFonts w:hint="eastAsia" w:ascii="仿宋" w:hAnsi="仿宋" w:eastAsia="仿宋" w:cs="仿宋"/>
                <w:color w:val="auto"/>
                <w:kern w:val="0"/>
                <w:sz w:val="22"/>
                <w:szCs w:val="22"/>
              </w:rPr>
            </w:pPr>
            <w:r>
              <w:rPr>
                <w:rFonts w:hint="eastAsia" w:ascii="仿宋" w:hAnsi="仿宋" w:eastAsia="仿宋" w:cs="仿宋"/>
                <w:color w:val="auto"/>
                <w:kern w:val="0"/>
                <w:sz w:val="22"/>
                <w:szCs w:val="22"/>
              </w:rPr>
              <w:t>日期：     年   月   日</w:t>
            </w:r>
          </w:p>
        </w:tc>
        <w:tc>
          <w:tcPr>
            <w:tcW w:w="4253" w:type="dxa"/>
            <w:tcBorders>
              <w:top w:val="nil"/>
              <w:left w:val="nil"/>
              <w:bottom w:val="nil"/>
              <w:right w:val="nil"/>
            </w:tcBorders>
            <w:noWrap/>
            <w:vAlign w:val="center"/>
          </w:tcPr>
          <w:p w14:paraId="1EF9A688">
            <w:pPr>
              <w:rPr>
                <w:rFonts w:hint="eastAsia" w:ascii="仿宋" w:hAnsi="仿宋" w:eastAsia="仿宋" w:cs="仿宋"/>
                <w:color w:val="auto"/>
                <w:kern w:val="0"/>
                <w:sz w:val="22"/>
                <w:szCs w:val="22"/>
              </w:rPr>
            </w:pPr>
          </w:p>
        </w:tc>
      </w:tr>
    </w:tbl>
    <w:p w14:paraId="6EDAD823">
      <w:pPr>
        <w:rPr>
          <w:rFonts w:hint="eastAsia" w:ascii="仿宋" w:hAnsi="仿宋" w:eastAsia="仿宋" w:cs="仿宋"/>
          <w:color w:val="auto"/>
          <w:sz w:val="24"/>
          <w:szCs w:val="24"/>
        </w:rPr>
      </w:pPr>
      <w:r>
        <w:rPr>
          <w:rFonts w:hint="eastAsia" w:ascii="仿宋" w:hAnsi="仿宋" w:eastAsia="仿宋" w:cs="仿宋"/>
          <w:color w:val="auto"/>
          <w:sz w:val="24"/>
          <w:szCs w:val="24"/>
        </w:rPr>
        <w:t>　　</w:t>
      </w:r>
    </w:p>
    <w:p w14:paraId="53D9A089">
      <w:pPr>
        <w:rPr>
          <w:rFonts w:hint="eastAsia" w:ascii="仿宋" w:hAnsi="仿宋" w:eastAsia="仿宋" w:cs="仿宋"/>
          <w:color w:val="auto"/>
          <w:sz w:val="24"/>
          <w:szCs w:val="24"/>
        </w:rPr>
      </w:pPr>
      <w:r>
        <w:rPr>
          <w:rFonts w:hint="eastAsia" w:ascii="仿宋" w:hAnsi="仿宋" w:eastAsia="仿宋" w:cs="仿宋"/>
          <w:color w:val="auto"/>
          <w:sz w:val="24"/>
          <w:szCs w:val="24"/>
        </w:rPr>
        <w:br w:type="page"/>
      </w:r>
      <w:r>
        <w:rPr>
          <w:rFonts w:hint="eastAsia" w:ascii="仿宋" w:hAnsi="仿宋" w:eastAsia="仿宋" w:cs="仿宋"/>
          <w:color w:val="auto"/>
          <w:sz w:val="24"/>
          <w:szCs w:val="24"/>
        </w:rPr>
        <w:t>一、合同条款</w:t>
      </w:r>
    </w:p>
    <w:p w14:paraId="4428A331">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合同条款前附表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558"/>
      </w:tblGrid>
      <w:tr w14:paraId="0A707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3FE7681A">
            <w:pPr>
              <w:pStyle w:val="3"/>
              <w:jc w:val="center"/>
              <w:rPr>
                <w:rFonts w:hint="eastAsia" w:ascii="仿宋" w:hAnsi="仿宋" w:eastAsia="仿宋" w:cs="仿宋"/>
                <w:color w:val="auto"/>
                <w:sz w:val="22"/>
                <w:szCs w:val="22"/>
              </w:rPr>
            </w:pPr>
            <w:r>
              <w:rPr>
                <w:rFonts w:hint="eastAsia" w:ascii="仿宋" w:hAnsi="仿宋" w:eastAsia="仿宋" w:cs="仿宋"/>
                <w:color w:val="auto"/>
                <w:sz w:val="22"/>
                <w:szCs w:val="22"/>
              </w:rPr>
              <w:t>序号</w:t>
            </w:r>
          </w:p>
        </w:tc>
        <w:tc>
          <w:tcPr>
            <w:tcW w:w="8558" w:type="dxa"/>
            <w:noWrap w:val="0"/>
            <w:vAlign w:val="center"/>
          </w:tcPr>
          <w:p w14:paraId="70CF5ECC">
            <w:pPr>
              <w:pStyle w:val="3"/>
              <w:jc w:val="center"/>
              <w:rPr>
                <w:rFonts w:hint="eastAsia" w:ascii="仿宋" w:hAnsi="仿宋" w:eastAsia="仿宋" w:cs="仿宋"/>
                <w:color w:val="auto"/>
                <w:sz w:val="22"/>
                <w:szCs w:val="22"/>
              </w:rPr>
            </w:pPr>
            <w:r>
              <w:rPr>
                <w:rFonts w:hint="eastAsia" w:ascii="仿宋" w:hAnsi="仿宋" w:eastAsia="仿宋" w:cs="仿宋"/>
                <w:color w:val="auto"/>
                <w:sz w:val="22"/>
                <w:szCs w:val="22"/>
              </w:rPr>
              <w:t>内容</w:t>
            </w:r>
          </w:p>
        </w:tc>
      </w:tr>
      <w:tr w14:paraId="64C93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4F3C3B3E">
            <w:pPr>
              <w:pStyle w:val="3"/>
              <w:jc w:val="center"/>
              <w:rPr>
                <w:rFonts w:hint="eastAsia" w:ascii="仿宋" w:hAnsi="仿宋" w:eastAsia="仿宋" w:cs="仿宋"/>
                <w:color w:val="auto"/>
                <w:sz w:val="22"/>
                <w:szCs w:val="22"/>
              </w:rPr>
            </w:pPr>
            <w:r>
              <w:rPr>
                <w:rFonts w:hint="eastAsia" w:ascii="仿宋" w:hAnsi="仿宋" w:eastAsia="仿宋" w:cs="仿宋"/>
                <w:color w:val="auto"/>
                <w:sz w:val="22"/>
                <w:szCs w:val="22"/>
              </w:rPr>
              <w:t>1</w:t>
            </w:r>
          </w:p>
        </w:tc>
        <w:tc>
          <w:tcPr>
            <w:tcW w:w="8558" w:type="dxa"/>
            <w:noWrap w:val="0"/>
            <w:vAlign w:val="center"/>
          </w:tcPr>
          <w:p w14:paraId="107D08CB">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合同名称：</w:t>
            </w:r>
          </w:p>
          <w:p w14:paraId="2AE90BB5">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合同编号：</w:t>
            </w:r>
          </w:p>
        </w:tc>
      </w:tr>
      <w:tr w14:paraId="7D0A6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58BB91C0">
            <w:pPr>
              <w:pStyle w:val="3"/>
              <w:jc w:val="center"/>
              <w:rPr>
                <w:rFonts w:hint="eastAsia" w:ascii="仿宋" w:hAnsi="仿宋" w:eastAsia="仿宋" w:cs="仿宋"/>
                <w:color w:val="auto"/>
                <w:sz w:val="22"/>
                <w:szCs w:val="22"/>
              </w:rPr>
            </w:pPr>
            <w:r>
              <w:rPr>
                <w:rFonts w:hint="eastAsia" w:ascii="仿宋" w:hAnsi="仿宋" w:eastAsia="仿宋" w:cs="仿宋"/>
                <w:color w:val="auto"/>
                <w:sz w:val="22"/>
                <w:szCs w:val="22"/>
              </w:rPr>
              <w:t>2</w:t>
            </w:r>
          </w:p>
        </w:tc>
        <w:tc>
          <w:tcPr>
            <w:tcW w:w="8558" w:type="dxa"/>
            <w:noWrap w:val="0"/>
            <w:vAlign w:val="center"/>
          </w:tcPr>
          <w:p w14:paraId="3B77B5F1">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甲方名称：</w:t>
            </w:r>
          </w:p>
        </w:tc>
      </w:tr>
      <w:tr w14:paraId="20E55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533F69E3">
            <w:pPr>
              <w:pStyle w:val="3"/>
              <w:jc w:val="center"/>
              <w:rPr>
                <w:rFonts w:hint="eastAsia" w:ascii="仿宋" w:hAnsi="仿宋" w:eastAsia="仿宋" w:cs="仿宋"/>
                <w:color w:val="auto"/>
                <w:sz w:val="22"/>
                <w:szCs w:val="22"/>
              </w:rPr>
            </w:pPr>
          </w:p>
        </w:tc>
        <w:tc>
          <w:tcPr>
            <w:tcW w:w="8558" w:type="dxa"/>
            <w:noWrap w:val="0"/>
            <w:vAlign w:val="center"/>
          </w:tcPr>
          <w:p w14:paraId="3A69B10E">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甲方地址：</w:t>
            </w:r>
          </w:p>
        </w:tc>
      </w:tr>
      <w:tr w14:paraId="59ECE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47AF2537">
            <w:pPr>
              <w:pStyle w:val="3"/>
              <w:jc w:val="center"/>
              <w:rPr>
                <w:rFonts w:hint="eastAsia" w:ascii="仿宋" w:hAnsi="仿宋" w:eastAsia="仿宋" w:cs="仿宋"/>
                <w:color w:val="auto"/>
                <w:sz w:val="22"/>
                <w:szCs w:val="22"/>
              </w:rPr>
            </w:pPr>
          </w:p>
        </w:tc>
        <w:tc>
          <w:tcPr>
            <w:tcW w:w="8558" w:type="dxa"/>
            <w:noWrap w:val="0"/>
            <w:vAlign w:val="center"/>
          </w:tcPr>
          <w:p w14:paraId="689D70DB">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甲方联系人：　　　　电话：</w:t>
            </w:r>
          </w:p>
        </w:tc>
      </w:tr>
      <w:tr w14:paraId="011FC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4B16A21F">
            <w:pPr>
              <w:pStyle w:val="3"/>
              <w:jc w:val="center"/>
              <w:rPr>
                <w:rFonts w:hint="eastAsia" w:ascii="仿宋" w:hAnsi="仿宋" w:eastAsia="仿宋" w:cs="仿宋"/>
                <w:color w:val="auto"/>
                <w:sz w:val="22"/>
                <w:szCs w:val="22"/>
              </w:rPr>
            </w:pPr>
            <w:r>
              <w:rPr>
                <w:rFonts w:hint="eastAsia" w:ascii="仿宋" w:hAnsi="仿宋" w:eastAsia="仿宋" w:cs="仿宋"/>
                <w:color w:val="auto"/>
                <w:sz w:val="22"/>
                <w:szCs w:val="22"/>
              </w:rPr>
              <w:t>3</w:t>
            </w:r>
          </w:p>
        </w:tc>
        <w:tc>
          <w:tcPr>
            <w:tcW w:w="8558" w:type="dxa"/>
            <w:noWrap w:val="0"/>
            <w:vAlign w:val="center"/>
          </w:tcPr>
          <w:p w14:paraId="54350757">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乙方名称：</w:t>
            </w:r>
          </w:p>
        </w:tc>
      </w:tr>
      <w:tr w14:paraId="27922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6EDCFC9F">
            <w:pPr>
              <w:pStyle w:val="3"/>
              <w:jc w:val="center"/>
              <w:rPr>
                <w:rFonts w:hint="eastAsia" w:ascii="仿宋" w:hAnsi="仿宋" w:eastAsia="仿宋" w:cs="仿宋"/>
                <w:color w:val="auto"/>
                <w:sz w:val="22"/>
                <w:szCs w:val="22"/>
              </w:rPr>
            </w:pPr>
          </w:p>
        </w:tc>
        <w:tc>
          <w:tcPr>
            <w:tcW w:w="8558" w:type="dxa"/>
            <w:noWrap w:val="0"/>
            <w:vAlign w:val="center"/>
          </w:tcPr>
          <w:p w14:paraId="43A71D66">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乙方地址：</w:t>
            </w:r>
          </w:p>
        </w:tc>
      </w:tr>
      <w:tr w14:paraId="151E2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64A1602D">
            <w:pPr>
              <w:pStyle w:val="3"/>
              <w:jc w:val="center"/>
              <w:rPr>
                <w:rFonts w:hint="eastAsia" w:ascii="仿宋" w:hAnsi="仿宋" w:eastAsia="仿宋" w:cs="仿宋"/>
                <w:color w:val="auto"/>
                <w:sz w:val="22"/>
                <w:szCs w:val="22"/>
              </w:rPr>
            </w:pPr>
          </w:p>
        </w:tc>
        <w:tc>
          <w:tcPr>
            <w:tcW w:w="8558" w:type="dxa"/>
            <w:noWrap w:val="0"/>
            <w:vAlign w:val="center"/>
          </w:tcPr>
          <w:p w14:paraId="56FFDDF9">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乙方联系人：　　　　电话：</w:t>
            </w:r>
          </w:p>
        </w:tc>
      </w:tr>
      <w:tr w14:paraId="4578C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48DACC19">
            <w:pPr>
              <w:pStyle w:val="3"/>
              <w:jc w:val="center"/>
              <w:rPr>
                <w:rFonts w:hint="eastAsia" w:ascii="仿宋" w:hAnsi="仿宋" w:eastAsia="仿宋" w:cs="仿宋"/>
                <w:color w:val="auto"/>
                <w:sz w:val="22"/>
                <w:szCs w:val="22"/>
              </w:rPr>
            </w:pPr>
          </w:p>
        </w:tc>
        <w:tc>
          <w:tcPr>
            <w:tcW w:w="8558" w:type="dxa"/>
            <w:noWrap w:val="0"/>
            <w:vAlign w:val="center"/>
          </w:tcPr>
          <w:p w14:paraId="31EE166E">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乙方开户银行名称：</w:t>
            </w:r>
          </w:p>
          <w:p w14:paraId="6C9E6900">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账号：</w:t>
            </w:r>
          </w:p>
        </w:tc>
      </w:tr>
      <w:tr w14:paraId="14C90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28" w:type="dxa"/>
            <w:vMerge w:val="restart"/>
            <w:noWrap w:val="0"/>
            <w:vAlign w:val="center"/>
          </w:tcPr>
          <w:p w14:paraId="1DC5E7CF">
            <w:pPr>
              <w:pStyle w:val="3"/>
              <w:jc w:val="center"/>
              <w:rPr>
                <w:rFonts w:hint="eastAsia" w:ascii="仿宋" w:hAnsi="仿宋" w:eastAsia="仿宋" w:cs="仿宋"/>
                <w:color w:val="auto"/>
                <w:sz w:val="22"/>
                <w:szCs w:val="22"/>
              </w:rPr>
            </w:pPr>
            <w:r>
              <w:rPr>
                <w:rFonts w:hint="eastAsia" w:ascii="仿宋" w:hAnsi="仿宋" w:eastAsia="仿宋" w:cs="仿宋"/>
                <w:color w:val="auto"/>
                <w:sz w:val="22"/>
                <w:szCs w:val="22"/>
              </w:rPr>
              <w:t>4</w:t>
            </w:r>
          </w:p>
        </w:tc>
        <w:tc>
          <w:tcPr>
            <w:tcW w:w="8558" w:type="dxa"/>
            <w:noWrap w:val="0"/>
            <w:vAlign w:val="center"/>
          </w:tcPr>
          <w:p w14:paraId="56D83C0B">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见证方名称：陕西正信招标有限公司</w:t>
            </w:r>
          </w:p>
        </w:tc>
      </w:tr>
      <w:tr w14:paraId="02560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28" w:type="dxa"/>
            <w:vMerge w:val="continue"/>
            <w:noWrap w:val="0"/>
            <w:vAlign w:val="center"/>
          </w:tcPr>
          <w:p w14:paraId="3ACC292B">
            <w:pPr>
              <w:pStyle w:val="3"/>
              <w:jc w:val="center"/>
              <w:rPr>
                <w:rFonts w:hint="eastAsia" w:ascii="仿宋" w:hAnsi="仿宋" w:eastAsia="仿宋" w:cs="仿宋"/>
                <w:color w:val="auto"/>
                <w:sz w:val="22"/>
                <w:szCs w:val="22"/>
              </w:rPr>
            </w:pPr>
          </w:p>
        </w:tc>
        <w:tc>
          <w:tcPr>
            <w:tcW w:w="8558" w:type="dxa"/>
            <w:noWrap w:val="0"/>
            <w:vAlign w:val="center"/>
          </w:tcPr>
          <w:p w14:paraId="1B29A20F">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单位地址：西安市莲湖区环城西路南段元晟合中心6层</w:t>
            </w:r>
          </w:p>
        </w:tc>
      </w:tr>
      <w:tr w14:paraId="54172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728" w:type="dxa"/>
            <w:vMerge w:val="continue"/>
            <w:noWrap w:val="0"/>
            <w:vAlign w:val="center"/>
          </w:tcPr>
          <w:p w14:paraId="09435B72">
            <w:pPr>
              <w:pStyle w:val="3"/>
              <w:jc w:val="center"/>
              <w:rPr>
                <w:rFonts w:hint="eastAsia" w:ascii="仿宋" w:hAnsi="仿宋" w:eastAsia="仿宋" w:cs="仿宋"/>
                <w:color w:val="auto"/>
                <w:sz w:val="22"/>
                <w:szCs w:val="22"/>
              </w:rPr>
            </w:pPr>
          </w:p>
        </w:tc>
        <w:tc>
          <w:tcPr>
            <w:tcW w:w="8558" w:type="dxa"/>
            <w:noWrap w:val="0"/>
            <w:vAlign w:val="center"/>
          </w:tcPr>
          <w:p w14:paraId="1A864513">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联系人：行政部       电话：029-88</w:t>
            </w:r>
            <w:r>
              <w:rPr>
                <w:rFonts w:hint="eastAsia" w:ascii="仿宋" w:hAnsi="仿宋" w:eastAsia="仿宋" w:cs="仿宋"/>
                <w:color w:val="auto"/>
                <w:sz w:val="22"/>
                <w:szCs w:val="22"/>
                <w:lang w:val="en-US" w:eastAsia="zh-CN"/>
              </w:rPr>
              <w:t>110800</w:t>
            </w:r>
            <w:r>
              <w:rPr>
                <w:rFonts w:hint="eastAsia" w:ascii="仿宋" w:hAnsi="仿宋" w:eastAsia="仿宋" w:cs="仿宋"/>
                <w:color w:val="auto"/>
                <w:sz w:val="22"/>
                <w:szCs w:val="22"/>
              </w:rPr>
              <w:t>-8008</w:t>
            </w:r>
          </w:p>
        </w:tc>
      </w:tr>
      <w:tr w14:paraId="6879B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058420E2">
            <w:pPr>
              <w:pStyle w:val="3"/>
              <w:jc w:val="center"/>
              <w:rPr>
                <w:rFonts w:hint="eastAsia" w:ascii="仿宋" w:hAnsi="仿宋" w:eastAsia="仿宋" w:cs="仿宋"/>
                <w:color w:val="auto"/>
                <w:sz w:val="22"/>
                <w:szCs w:val="22"/>
              </w:rPr>
            </w:pPr>
            <w:r>
              <w:rPr>
                <w:rFonts w:hint="eastAsia" w:ascii="仿宋" w:hAnsi="仿宋" w:eastAsia="仿宋" w:cs="仿宋"/>
                <w:color w:val="auto"/>
                <w:sz w:val="22"/>
                <w:szCs w:val="22"/>
              </w:rPr>
              <w:t>5</w:t>
            </w:r>
          </w:p>
        </w:tc>
        <w:tc>
          <w:tcPr>
            <w:tcW w:w="8558" w:type="dxa"/>
            <w:noWrap w:val="0"/>
            <w:vAlign w:val="center"/>
          </w:tcPr>
          <w:p w14:paraId="36BEC579">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合同金额：</w:t>
            </w:r>
          </w:p>
        </w:tc>
      </w:tr>
      <w:tr w14:paraId="6BFC4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7CC9C155">
            <w:pPr>
              <w:pStyle w:val="3"/>
              <w:jc w:val="center"/>
              <w:rPr>
                <w:rFonts w:hint="eastAsia" w:ascii="仿宋" w:hAnsi="仿宋" w:eastAsia="仿宋" w:cs="仿宋"/>
                <w:color w:val="auto"/>
                <w:sz w:val="22"/>
                <w:szCs w:val="22"/>
              </w:rPr>
            </w:pPr>
            <w:r>
              <w:rPr>
                <w:rFonts w:hint="eastAsia" w:ascii="仿宋" w:hAnsi="仿宋" w:eastAsia="仿宋" w:cs="仿宋"/>
                <w:color w:val="auto"/>
                <w:sz w:val="22"/>
                <w:szCs w:val="22"/>
              </w:rPr>
              <w:t>6</w:t>
            </w:r>
          </w:p>
        </w:tc>
        <w:tc>
          <w:tcPr>
            <w:tcW w:w="8558" w:type="dxa"/>
            <w:noWrap w:val="0"/>
            <w:vAlign w:val="center"/>
          </w:tcPr>
          <w:p w14:paraId="74337708">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包装要求：落实《关于印发〈商品包装政府采购需求标准（试行）〉〈快递包装政府采购需求标准（试行）〉》（财办库〔2020〕123号）</w:t>
            </w:r>
          </w:p>
        </w:tc>
      </w:tr>
      <w:tr w14:paraId="14B82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031EDE68">
            <w:pPr>
              <w:pStyle w:val="3"/>
              <w:jc w:val="center"/>
              <w:rPr>
                <w:rFonts w:hint="eastAsia" w:ascii="仿宋" w:hAnsi="仿宋" w:eastAsia="仿宋" w:cs="仿宋"/>
                <w:color w:val="auto"/>
                <w:sz w:val="22"/>
                <w:szCs w:val="22"/>
              </w:rPr>
            </w:pPr>
            <w:r>
              <w:rPr>
                <w:rFonts w:hint="eastAsia" w:ascii="仿宋" w:hAnsi="仿宋" w:eastAsia="仿宋" w:cs="仿宋"/>
                <w:color w:val="auto"/>
                <w:sz w:val="22"/>
                <w:szCs w:val="22"/>
              </w:rPr>
              <w:t>7</w:t>
            </w:r>
          </w:p>
        </w:tc>
        <w:tc>
          <w:tcPr>
            <w:tcW w:w="8558" w:type="dxa"/>
            <w:noWrap w:val="0"/>
            <w:vAlign w:val="center"/>
          </w:tcPr>
          <w:p w14:paraId="66DEEC88">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交货时间及地点：</w:t>
            </w:r>
          </w:p>
        </w:tc>
      </w:tr>
      <w:tr w14:paraId="7EFF1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2FDB809">
            <w:pPr>
              <w:pStyle w:val="3"/>
              <w:jc w:val="center"/>
              <w:rPr>
                <w:rFonts w:hint="eastAsia" w:ascii="仿宋" w:hAnsi="仿宋" w:eastAsia="仿宋" w:cs="仿宋"/>
                <w:color w:val="auto"/>
                <w:sz w:val="22"/>
                <w:szCs w:val="22"/>
              </w:rPr>
            </w:pPr>
            <w:r>
              <w:rPr>
                <w:rFonts w:hint="eastAsia" w:ascii="仿宋" w:hAnsi="仿宋" w:eastAsia="仿宋" w:cs="仿宋"/>
                <w:color w:val="auto"/>
                <w:sz w:val="22"/>
                <w:szCs w:val="22"/>
              </w:rPr>
              <w:t>8</w:t>
            </w:r>
          </w:p>
        </w:tc>
        <w:tc>
          <w:tcPr>
            <w:tcW w:w="8558" w:type="dxa"/>
            <w:noWrap w:val="0"/>
            <w:vAlign w:val="center"/>
          </w:tcPr>
          <w:p w14:paraId="01984FA8">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质量保证期：</w:t>
            </w:r>
          </w:p>
        </w:tc>
      </w:tr>
      <w:tr w14:paraId="720D5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4E9045EF">
            <w:pPr>
              <w:pStyle w:val="3"/>
              <w:jc w:val="center"/>
              <w:rPr>
                <w:rFonts w:hint="eastAsia" w:ascii="仿宋" w:hAnsi="仿宋" w:eastAsia="仿宋" w:cs="仿宋"/>
                <w:color w:val="auto"/>
                <w:sz w:val="22"/>
                <w:szCs w:val="22"/>
              </w:rPr>
            </w:pPr>
            <w:r>
              <w:rPr>
                <w:rFonts w:hint="eastAsia" w:ascii="仿宋" w:hAnsi="仿宋" w:eastAsia="仿宋" w:cs="仿宋"/>
                <w:color w:val="auto"/>
                <w:sz w:val="22"/>
                <w:szCs w:val="22"/>
              </w:rPr>
              <w:t>9</w:t>
            </w:r>
          </w:p>
        </w:tc>
        <w:tc>
          <w:tcPr>
            <w:tcW w:w="8558" w:type="dxa"/>
            <w:noWrap w:val="0"/>
            <w:vAlign w:val="center"/>
          </w:tcPr>
          <w:p w14:paraId="03140CAB">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验收方式及标准：</w:t>
            </w:r>
          </w:p>
        </w:tc>
      </w:tr>
      <w:tr w14:paraId="06B76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39DD14F3">
            <w:pPr>
              <w:pStyle w:val="3"/>
              <w:jc w:val="center"/>
              <w:rPr>
                <w:rFonts w:hint="eastAsia" w:ascii="仿宋" w:hAnsi="仿宋" w:eastAsia="仿宋" w:cs="仿宋"/>
                <w:color w:val="auto"/>
                <w:sz w:val="22"/>
                <w:szCs w:val="22"/>
              </w:rPr>
            </w:pPr>
            <w:r>
              <w:rPr>
                <w:rFonts w:hint="eastAsia" w:ascii="仿宋" w:hAnsi="仿宋" w:eastAsia="仿宋" w:cs="仿宋"/>
                <w:color w:val="auto"/>
                <w:sz w:val="22"/>
                <w:szCs w:val="22"/>
              </w:rPr>
              <w:t>10</w:t>
            </w:r>
          </w:p>
        </w:tc>
        <w:tc>
          <w:tcPr>
            <w:tcW w:w="8558" w:type="dxa"/>
            <w:noWrap w:val="0"/>
            <w:vAlign w:val="center"/>
          </w:tcPr>
          <w:p w14:paraId="7C8BA06C">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付款方式：</w:t>
            </w:r>
          </w:p>
        </w:tc>
      </w:tr>
      <w:tr w14:paraId="43166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2FAE95CD">
            <w:pPr>
              <w:pStyle w:val="3"/>
              <w:jc w:val="center"/>
              <w:rPr>
                <w:rFonts w:hint="eastAsia" w:ascii="仿宋" w:hAnsi="仿宋" w:eastAsia="仿宋" w:cs="仿宋"/>
                <w:color w:val="auto"/>
                <w:sz w:val="22"/>
                <w:szCs w:val="22"/>
              </w:rPr>
            </w:pPr>
            <w:r>
              <w:rPr>
                <w:rFonts w:hint="eastAsia" w:ascii="仿宋" w:hAnsi="仿宋" w:eastAsia="仿宋" w:cs="仿宋"/>
                <w:color w:val="auto"/>
                <w:sz w:val="22"/>
                <w:szCs w:val="22"/>
              </w:rPr>
              <w:t>11</w:t>
            </w:r>
          </w:p>
        </w:tc>
        <w:tc>
          <w:tcPr>
            <w:tcW w:w="8558" w:type="dxa"/>
            <w:noWrap w:val="0"/>
            <w:vAlign w:val="center"/>
          </w:tcPr>
          <w:p w14:paraId="42047082">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履约保证金及其返还：</w:t>
            </w:r>
          </w:p>
        </w:tc>
      </w:tr>
      <w:tr w14:paraId="687FF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21BB6244">
            <w:pPr>
              <w:pStyle w:val="3"/>
              <w:jc w:val="center"/>
              <w:rPr>
                <w:rFonts w:hint="eastAsia" w:ascii="仿宋" w:hAnsi="仿宋" w:eastAsia="仿宋" w:cs="仿宋"/>
                <w:color w:val="auto"/>
                <w:sz w:val="22"/>
                <w:szCs w:val="22"/>
              </w:rPr>
            </w:pPr>
            <w:r>
              <w:rPr>
                <w:rFonts w:hint="eastAsia" w:ascii="仿宋" w:hAnsi="仿宋" w:eastAsia="仿宋" w:cs="仿宋"/>
                <w:color w:val="auto"/>
                <w:sz w:val="22"/>
                <w:szCs w:val="22"/>
              </w:rPr>
              <w:t>12</w:t>
            </w:r>
          </w:p>
        </w:tc>
        <w:tc>
          <w:tcPr>
            <w:tcW w:w="8558" w:type="dxa"/>
            <w:noWrap w:val="0"/>
            <w:vAlign w:val="center"/>
          </w:tcPr>
          <w:p w14:paraId="2813DDAE">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□违约金约定：</w:t>
            </w:r>
          </w:p>
          <w:p w14:paraId="6F6BECB5">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□损失赔偿约定：</w:t>
            </w:r>
          </w:p>
        </w:tc>
      </w:tr>
      <w:tr w14:paraId="31CBC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C505B74">
            <w:pPr>
              <w:pStyle w:val="3"/>
              <w:jc w:val="center"/>
              <w:rPr>
                <w:rFonts w:hint="eastAsia" w:ascii="仿宋" w:hAnsi="仿宋" w:eastAsia="仿宋" w:cs="仿宋"/>
                <w:color w:val="auto"/>
                <w:sz w:val="22"/>
                <w:szCs w:val="22"/>
              </w:rPr>
            </w:pPr>
            <w:r>
              <w:rPr>
                <w:rFonts w:hint="eastAsia" w:ascii="仿宋" w:hAnsi="仿宋" w:eastAsia="仿宋" w:cs="仿宋"/>
                <w:color w:val="auto"/>
                <w:sz w:val="22"/>
                <w:szCs w:val="22"/>
              </w:rPr>
              <w:t>13</w:t>
            </w:r>
          </w:p>
        </w:tc>
        <w:tc>
          <w:tcPr>
            <w:tcW w:w="8558" w:type="dxa"/>
            <w:noWrap w:val="0"/>
            <w:vAlign w:val="center"/>
          </w:tcPr>
          <w:p w14:paraId="5E32242B">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误期赔偿费约定：如果乙方没有按照合同规定的时间交货和提供服务，甲方有权从货款或履约保证金中扣除误期赔偿费而不影响合同项下的其他补救方法。赔偿费按每日加收合同金额的0.5%</w:t>
            </w: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rPr>
              <w:t>各单位可根据实际情况重新设定</w:t>
            </w: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rPr>
              <w:t>计收，直至交货或提供服务为止。但误期赔偿费的最高限额不超过合同价的15%</w:t>
            </w: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rPr>
              <w:t>各单位可根据实际情况重新设定</w:t>
            </w: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rPr>
              <w:t>。</w:t>
            </w:r>
          </w:p>
        </w:tc>
      </w:tr>
      <w:tr w14:paraId="0F9B5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DDF6C02">
            <w:pPr>
              <w:pStyle w:val="3"/>
              <w:jc w:val="center"/>
              <w:rPr>
                <w:rFonts w:hint="eastAsia" w:ascii="仿宋" w:hAnsi="仿宋" w:eastAsia="仿宋" w:cs="仿宋"/>
                <w:color w:val="auto"/>
                <w:sz w:val="22"/>
                <w:szCs w:val="22"/>
              </w:rPr>
            </w:pPr>
            <w:r>
              <w:rPr>
                <w:rFonts w:hint="eastAsia" w:ascii="仿宋" w:hAnsi="仿宋" w:eastAsia="仿宋" w:cs="仿宋"/>
                <w:color w:val="auto"/>
                <w:sz w:val="22"/>
                <w:szCs w:val="22"/>
              </w:rPr>
              <w:t>14</w:t>
            </w:r>
          </w:p>
        </w:tc>
        <w:tc>
          <w:tcPr>
            <w:tcW w:w="8558" w:type="dxa"/>
            <w:noWrap w:val="0"/>
            <w:vAlign w:val="center"/>
          </w:tcPr>
          <w:p w14:paraId="4E37A372">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合同履行期限：自合同生效之日起至合同全部权利义务履行完毕之日止。</w:t>
            </w:r>
          </w:p>
        </w:tc>
      </w:tr>
      <w:tr w14:paraId="24C1E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noWrap w:val="0"/>
            <w:vAlign w:val="center"/>
          </w:tcPr>
          <w:p w14:paraId="39626269">
            <w:pPr>
              <w:pStyle w:val="3"/>
              <w:jc w:val="center"/>
              <w:rPr>
                <w:rFonts w:hint="eastAsia" w:ascii="仿宋" w:hAnsi="仿宋" w:eastAsia="仿宋" w:cs="仿宋"/>
                <w:color w:val="auto"/>
                <w:sz w:val="22"/>
                <w:szCs w:val="22"/>
              </w:rPr>
            </w:pPr>
            <w:r>
              <w:rPr>
                <w:rFonts w:hint="eastAsia" w:ascii="仿宋" w:hAnsi="仿宋" w:eastAsia="仿宋" w:cs="仿宋"/>
                <w:color w:val="auto"/>
                <w:sz w:val="22"/>
                <w:szCs w:val="22"/>
              </w:rPr>
              <w:t>15</w:t>
            </w:r>
          </w:p>
        </w:tc>
        <w:tc>
          <w:tcPr>
            <w:tcW w:w="8558" w:type="dxa"/>
            <w:noWrap w:val="0"/>
            <w:vAlign w:val="center"/>
          </w:tcPr>
          <w:p w14:paraId="32A63AF7">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合同纠纷的解决方式：</w:t>
            </w:r>
          </w:p>
          <w:p w14:paraId="5F5D0330">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首先通过双方协商解决，协商解决不成，则通过以下途径之一解决纠纷</w:t>
            </w: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rPr>
              <w:t>请在方框内画“√”选择</w:t>
            </w: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rPr>
              <w:t>：</w:t>
            </w:r>
          </w:p>
          <w:p w14:paraId="06FEB8F4">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□提请______仲裁委员会按照仲裁程序在______</w:t>
            </w: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rPr>
              <w:t>仲裁地</w:t>
            </w: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rPr>
              <w:t>仲裁</w:t>
            </w:r>
          </w:p>
          <w:p w14:paraId="0DB140A8">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□向甲方所在地人民法院提起诉讼</w:t>
            </w:r>
          </w:p>
        </w:tc>
      </w:tr>
    </w:tbl>
    <w:p w14:paraId="1C793368">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1.定义</w:t>
      </w:r>
    </w:p>
    <w:p w14:paraId="734A5DEA">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本合同下列术语应解释为：</w:t>
      </w:r>
    </w:p>
    <w:p w14:paraId="0151321C">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1.1　“甲方”是指采购人。</w:t>
      </w:r>
    </w:p>
    <w:p w14:paraId="51741E58">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1.2　“乙方”是指中标人。</w:t>
      </w:r>
    </w:p>
    <w:p w14:paraId="43304B55">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1.3  “见证方”是指采购代理机构。</w:t>
      </w:r>
    </w:p>
    <w:p w14:paraId="0AAA6D11">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1.4　“合同”系指甲乙双方签署的、合同中载明的甲乙双方所达成的协议，包括所有的附件、附录和上述文件所提到的构成合同的所有文件。</w:t>
      </w:r>
    </w:p>
    <w:p w14:paraId="047E4082">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1.5　“货物”是指根据本合同规定，乙方按照招标</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采购</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、投标文件，向甲方提供符合要求的全部产品，包括一切设备、机械、仪器仪表、备品备件、工具及与信息处理和交流有关的硬件、软件以及所有有关的文件等。</w:t>
      </w:r>
    </w:p>
    <w:p w14:paraId="21F5373D">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1.6　“服务”是指根据本合同规定，乙方承担与货物有关的相关服务，包括但不限于运输、保险、安装、调试、技术支持、质量保障、售后服务、培训和合同中规定乙方应承担的其他义务。</w:t>
      </w:r>
    </w:p>
    <w:p w14:paraId="2DACF2B6">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1.7　除非特别指出，“天”均为自然天。</w:t>
      </w:r>
    </w:p>
    <w:p w14:paraId="230BE045">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　合同标的标准</w:t>
      </w:r>
    </w:p>
    <w:p w14:paraId="7705D3C7">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2.1　乙方为甲方交付的货物及服务应符合招标文件所述的内容，如果没有提及适用标准，则应符合相应的国家标准。这些标准必须是有关机构发布的最新版本的标准。</w:t>
      </w:r>
    </w:p>
    <w:p w14:paraId="3904A257">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2.2　除非技术要求中另有规定，计量单位均采用中华人民共和国法定计量单位。</w:t>
      </w:r>
    </w:p>
    <w:p w14:paraId="7E62C31E">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2.3　货物还应符合国家有关安全、环保、卫生的相关规定。</w:t>
      </w:r>
    </w:p>
    <w:p w14:paraId="1C51C3D2">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　质量保证</w:t>
      </w:r>
    </w:p>
    <w:p w14:paraId="5DB59238">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3.1　乙方应保证所供货物是全新的、未使用过的，并完全符合或高于合同要求的质量、规格和技术性能的要求。</w:t>
      </w:r>
    </w:p>
    <w:p w14:paraId="2FBF6A3C">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3.2　乙方应保证其货物在正确安装、正常使用和保养条件下，在其使用寿命期内具有满意的性能，或者没有因乙方的行为或疏忽而产生的缺陷。在货物最终交付验收后不少于合同规定或乙方承诺</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两者以较长的为准</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的质量保证期内，本保证保持有效。</w:t>
      </w:r>
    </w:p>
    <w:p w14:paraId="0289E829">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3.3　如果服务和交付物与合同不符或不符合甲方要求，或证实交付物是有缺陷的，包括潜在的缺陷或使用不符合要求的材料等，由此引起的全部费用由乙方承担。若以上原因导致或引起甲方损失及导致或引起第三方受到损害的，全部赔偿责任均应由乙方承担。</w:t>
      </w:r>
    </w:p>
    <w:p w14:paraId="0CBBEE76">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3.4在质量保证期内所发现的缺陷，甲方应尽快以书面形式通知乙方。</w:t>
      </w:r>
    </w:p>
    <w:p w14:paraId="54515D17">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3.5　乙方收到通知后应在本合同规定的响应时间内以合理的速度免费维修或更换有缺陷的货物或部件。</w:t>
      </w:r>
    </w:p>
    <w:p w14:paraId="2B0C01ED">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3.6　在质量保证期内，如果货物的质量或规格与合同不符，或证实货物是有缺陷的，包括潜在的缺陷或使用不符合要求的材料等，甲方可以根据本合同第10.1条规定以书面形式向乙方提出补救措施或索赔。</w:t>
      </w:r>
    </w:p>
    <w:p w14:paraId="7147F93C">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3.7　乙方在约定的时间内未能弥补缺陷，甲方可采取必要的补救措施，但其风险和费用将由乙方承担，甲方根据合同规定对乙方行使的其他权利不受影响。</w:t>
      </w:r>
    </w:p>
    <w:p w14:paraId="48C72945">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3.8　本合同的质量保证期见合同条款前附表。</w:t>
      </w:r>
    </w:p>
    <w:p w14:paraId="7580D9B0">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4.包装要求</w:t>
      </w:r>
    </w:p>
    <w:p w14:paraId="785EED9A">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4.1　除合同另有规定外，乙方提供的全部货物均应按标准保护措施进行包装，这类包装应适应于远距离运输、防潮、防震、防锈和防野蛮装卸，以确保货物安全无损运抵指定现场。</w:t>
      </w:r>
    </w:p>
    <w:p w14:paraId="4E3B3B2F">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4.2　乙方应承担由于其包装或防护措施不当而引起的货物损坏和丢失的任何损失责任和费用。</w:t>
      </w:r>
    </w:p>
    <w:p w14:paraId="6332317B">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4.3　每一个包装箱内应附一份详细装箱单和质量证书。</w:t>
      </w:r>
    </w:p>
    <w:p w14:paraId="22630E09">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5.知识产权</w:t>
      </w:r>
    </w:p>
    <w:p w14:paraId="05EA4664">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5.1　乙方应保证所提供的货物及服务免受第三方提出侵犯其知识产权</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专利权、商标权、版权等</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的起诉。如果甲方在使用乙方货物或货物的任何一部分过程中，第三方提出货物侵犯其专利权、工业设计权、使用权等知识产权，乙方应当修正以避免侵权。</w:t>
      </w:r>
    </w:p>
    <w:p w14:paraId="683AF825">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5.2　如果甲方在使用乙方货物或货物的任何一部分过程中，第三方指控侵犯其专利权、工业设计权、使用权等知识产权，乙方将自费为甲方、各采购人答辩，并支付法院最终判决的甲方应支付第三方的一切费用。</w:t>
      </w:r>
    </w:p>
    <w:p w14:paraId="385B4DFD">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5.3　有关本项目的所有设计、施工文件的著作权属于甲方。乙方有保护甲方著作权的义务，并对在设计过程中所</w:t>
      </w:r>
      <w:r>
        <w:rPr>
          <w:rFonts w:hint="eastAsia" w:ascii="仿宋" w:hAnsi="仿宋" w:eastAsia="仿宋" w:cs="仿宋"/>
          <w:color w:val="auto"/>
          <w:sz w:val="24"/>
          <w:szCs w:val="24"/>
          <w:lang w:eastAsia="zh-CN"/>
        </w:rPr>
        <w:t>接触</w:t>
      </w:r>
      <w:r>
        <w:rPr>
          <w:rFonts w:hint="eastAsia" w:ascii="仿宋" w:hAnsi="仿宋" w:eastAsia="仿宋" w:cs="仿宋"/>
          <w:color w:val="auto"/>
          <w:sz w:val="24"/>
          <w:szCs w:val="24"/>
        </w:rPr>
        <w:t>的甲方的相关秘密有保密的义务。未经甲方书面同意，乙方不得将设计文件、成果另作其他商业用途或向任何第三方披露，不得将设计文件用于其他项目工程的建设，不得用于与本协议无关的工程。发生此类情况时，乙方应当赔偿甲方损失，甲方保留向乙方追偿的权利。</w:t>
      </w:r>
    </w:p>
    <w:p w14:paraId="0421ADB4">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6.权利瑕疵担保</w:t>
      </w:r>
    </w:p>
    <w:p w14:paraId="1BC4AF78">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6.1　乙方保证对其出售的货物享有合法的权利。</w:t>
      </w:r>
    </w:p>
    <w:p w14:paraId="2CF35337">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6.2　乙方保证在其出售的货物上不存在任何未曾向甲方透露的担保物权，如抵押权、质押权、留置权等。</w:t>
      </w:r>
    </w:p>
    <w:p w14:paraId="21DF48EB">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6.3　如甲方使用该货物构成上述侵权的，则由乙方承担全部责任。</w:t>
      </w:r>
    </w:p>
    <w:p w14:paraId="33B2E831">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7.保密义务</w:t>
      </w:r>
    </w:p>
    <w:p w14:paraId="170C7235">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7.1　甲乙双方在采购和履行合同过程中所获悉的对方属于保密的内容，双方均有保密义务。</w:t>
      </w:r>
    </w:p>
    <w:p w14:paraId="31DFD357">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8.履约保证金</w:t>
      </w:r>
    </w:p>
    <w:p w14:paraId="4180A86A">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8.1　乙方应以银行转账等非现金形式向甲方提供。乙方以银行、保险公司出具保函形式提交履约保证金的，甲方不得拒收。</w:t>
      </w:r>
    </w:p>
    <w:p w14:paraId="257B700E">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8.2　履约保证金具体金额及返还要求见合同条款前附表。</w:t>
      </w:r>
    </w:p>
    <w:p w14:paraId="75074663">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8.3　如乙方未能履行合同规定的义务，甲方有权按照本合同的约定从履约保证金中进行相应扣除。乙方应在甲方扣除履约保证金后15天内，及时补充扣除部分金额。</w:t>
      </w:r>
    </w:p>
    <w:p w14:paraId="29A3E16B">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8.4　乙方不履行合同，或者履行合同义务不符合约定使得合同目的不能实现，履约保证金不予退还，给甲方造成的损失超过履约保证金数额的，还应当对超过部分予以赔偿。</w:t>
      </w:r>
    </w:p>
    <w:p w14:paraId="2BAC2885">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9.交货与验收</w:t>
      </w:r>
    </w:p>
    <w:p w14:paraId="0041922C">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9.1　交货地点：合同条款前附表指定地点。</w:t>
      </w:r>
    </w:p>
    <w:p w14:paraId="226A982E">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9.2　交货时间：合同条款前附表指定时间。</w:t>
      </w:r>
    </w:p>
    <w:p w14:paraId="463C172E">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9.3　甲方在收到乙方交付的货物后应当及时组织验收。</w:t>
      </w:r>
    </w:p>
    <w:p w14:paraId="431CB441">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9.4　货物的包装：符合出厂规范及符合《商品包装政府采购需求标准（试行）</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快递包装政府采购需求标准（试行）》，包装完整无破损，防雨、防潮等各种符号标识清楚，进口设备应具有原产国标识且标识清楚。货物的表面瑕疵，甲方应在验收时当面提出；对质量问题有异议的应在安装调试时进行记录。</w:t>
      </w:r>
    </w:p>
    <w:p w14:paraId="276FC64E">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9.5　在验收过程中发现数量不足或有质量、技术等问题，乙方应按照合同要求采取补足、更换或退货等处理措施，并承担由此发生的一切费用和损失。</w:t>
      </w:r>
    </w:p>
    <w:p w14:paraId="7CF35360">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9.6　甲方对货物进行检查验收合格后，应当及时履行验收手续。</w:t>
      </w:r>
    </w:p>
    <w:p w14:paraId="64643D88">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rPr>
        <w:t>9.7　大型或者复杂的货物采购项目，甲方可以邀请国家认可的质量检测机构参加验收工作，并由其出具验收报告。</w:t>
      </w:r>
    </w:p>
    <w:p w14:paraId="718946B1">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9.8  在履约验收环节，乙方须按照《商品包装政府采购需求标准（试行）</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《快递包装政府采购需求标准（试行）》的环保要求出具检测报告。</w:t>
      </w:r>
    </w:p>
    <w:p w14:paraId="36C65465">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10.违约责任</w:t>
      </w:r>
    </w:p>
    <w:p w14:paraId="7701A1F0">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10.1　质量缺陷的补救措施和索赔</w:t>
      </w:r>
    </w:p>
    <w:p w14:paraId="03E72A11">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（1）</w:t>
      </w:r>
      <w:r>
        <w:rPr>
          <w:rFonts w:hint="eastAsia" w:ascii="仿宋" w:hAnsi="仿宋" w:eastAsia="仿宋" w:cs="仿宋"/>
          <w:color w:val="auto"/>
          <w:sz w:val="24"/>
          <w:szCs w:val="24"/>
        </w:rPr>
        <w:t>如果乙方提供的产品不符合质量标准或存在产品质量缺陷，而甲方在合同条款规定的检验、安装、调试、验收和质量保证期内，根据法定质量检测部门出具的检验证书向乙方提出了索赔，乙方应按照甲方同意的下列一种或几种方式结合起来解决索赔事宜：</w:t>
      </w:r>
    </w:p>
    <w:p w14:paraId="09DACC8F">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①乙方同意退货并将货款退还给甲方，由此发生的一切费用和损失由乙方承担。如甲方以适当的条件和方法购买与未履约标的相类似的货物，乙方应负担新购买类似货物所超出的费用。</w:t>
      </w:r>
    </w:p>
    <w:p w14:paraId="11624615">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②根据货物的质量状况以及甲方所遭受的损失，经过甲乙双方商定降低货物的价格。</w:t>
      </w:r>
    </w:p>
    <w:p w14:paraId="62455462">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③乙方应在接到甲方通知后7日内负责采用符合合同规定的规格、质量和性能要求的新零件、部件和设备来更换有缺陷的部分或修补缺陷部分，其费用由乙方负担。同时，乙方应在约定的质量保证期基础上相应延长修补和更换件的质量保证期。</w:t>
      </w:r>
    </w:p>
    <w:p w14:paraId="5FD99209">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（2）</w:t>
      </w:r>
      <w:r>
        <w:rPr>
          <w:rFonts w:hint="eastAsia" w:ascii="仿宋" w:hAnsi="仿宋" w:eastAsia="仿宋" w:cs="仿宋"/>
          <w:color w:val="auto"/>
          <w:sz w:val="24"/>
          <w:szCs w:val="24"/>
        </w:rPr>
        <w:t>如果在甲方发出索赔通知后10日内乙方未作答复，上述索赔应视为已被乙方接受。如果乙方未能在甲方发出索赔通知后10日内或甲方同意延长的期限内，按照上述规定的任何一种方法采取补救措施，甲方有权从应付货款中扣除索赔金额或者没收履约保证金，如不足以弥补甲方损失的，甲方有权进一步要求乙方赔偿。</w:t>
      </w:r>
    </w:p>
    <w:p w14:paraId="3BA7E8CC">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10.2　迟延交货的违约责任</w:t>
      </w:r>
    </w:p>
    <w:p w14:paraId="3A246587">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（1）</w:t>
      </w:r>
      <w:r>
        <w:rPr>
          <w:rFonts w:hint="eastAsia" w:ascii="仿宋" w:hAnsi="仿宋" w:eastAsia="仿宋" w:cs="仿宋"/>
          <w:color w:val="auto"/>
          <w:sz w:val="24"/>
          <w:szCs w:val="24"/>
        </w:rPr>
        <w:t>乙方应按照本合同规定的时间、地点交货和提供服务。</w:t>
      </w:r>
    </w:p>
    <w:p w14:paraId="6C1F08F2">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（2）</w:t>
      </w:r>
      <w:r>
        <w:rPr>
          <w:rFonts w:hint="eastAsia" w:ascii="仿宋" w:hAnsi="仿宋" w:eastAsia="仿宋" w:cs="仿宋"/>
          <w:color w:val="auto"/>
          <w:sz w:val="24"/>
          <w:szCs w:val="24"/>
        </w:rPr>
        <w:t>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14:paraId="708E80E8">
      <w:pPr>
        <w:pStyle w:val="3"/>
        <w:keepNext w:val="0"/>
        <w:keepLines w:val="0"/>
        <w:pageBreakBefore w:val="0"/>
        <w:widowControl w:val="0"/>
        <w:kinsoku/>
        <w:wordWrap/>
        <w:overflowPunct/>
        <w:topLinePunct w:val="0"/>
        <w:autoSpaceDE/>
        <w:autoSpaceDN/>
        <w:bidi w:val="0"/>
        <w:adjustRightInd/>
        <w:snapToGrid/>
        <w:spacing w:line="520" w:lineRule="exact"/>
        <w:ind w:firstLine="456"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6"/>
          <w:sz w:val="24"/>
          <w:szCs w:val="24"/>
          <w:lang w:eastAsia="zh-CN"/>
        </w:rPr>
        <w:t>（3）</w:t>
      </w:r>
      <w:r>
        <w:rPr>
          <w:rFonts w:hint="eastAsia" w:ascii="仿宋" w:hAnsi="仿宋" w:eastAsia="仿宋" w:cs="仿宋"/>
          <w:color w:val="auto"/>
          <w:spacing w:val="-6"/>
          <w:sz w:val="24"/>
          <w:szCs w:val="24"/>
        </w:rPr>
        <w:t>除甲乙双方另有约定外，如果乙方没有按照合同规定的时间交货和提供服务，甲方有权从货款、履约保证金中扣除或要求乙方另行支付误期赔偿费而不影响合同项下的其他补救方法。赔偿费每日按合同金额的0.5%</w:t>
      </w:r>
      <w:r>
        <w:rPr>
          <w:rFonts w:hint="eastAsia" w:ascii="仿宋" w:hAnsi="仿宋" w:eastAsia="仿宋" w:cs="仿宋"/>
          <w:color w:val="auto"/>
          <w:spacing w:val="-6"/>
          <w:sz w:val="24"/>
          <w:szCs w:val="24"/>
          <w:lang w:eastAsia="zh-CN"/>
        </w:rPr>
        <w:t>（</w:t>
      </w:r>
      <w:r>
        <w:rPr>
          <w:rFonts w:hint="eastAsia" w:ascii="仿宋" w:hAnsi="仿宋" w:eastAsia="仿宋" w:cs="仿宋"/>
          <w:color w:val="auto"/>
          <w:spacing w:val="-6"/>
          <w:sz w:val="24"/>
          <w:szCs w:val="24"/>
        </w:rPr>
        <w:t>各单位可根据实际情况重新设定</w:t>
      </w:r>
      <w:r>
        <w:rPr>
          <w:rFonts w:hint="eastAsia" w:ascii="仿宋" w:hAnsi="仿宋" w:eastAsia="仿宋" w:cs="仿宋"/>
          <w:color w:val="auto"/>
          <w:spacing w:val="-6"/>
          <w:sz w:val="24"/>
          <w:szCs w:val="24"/>
          <w:lang w:eastAsia="zh-CN"/>
        </w:rPr>
        <w:t>）</w:t>
      </w:r>
      <w:r>
        <w:rPr>
          <w:rFonts w:hint="eastAsia" w:ascii="仿宋" w:hAnsi="仿宋" w:eastAsia="仿宋" w:cs="仿宋"/>
          <w:color w:val="auto"/>
          <w:spacing w:val="-6"/>
          <w:sz w:val="24"/>
          <w:szCs w:val="24"/>
        </w:rPr>
        <w:t>计收，直至交货或提供服务为止。但误期赔偿费的最高限额不超过合同价的15%</w:t>
      </w:r>
      <w:r>
        <w:rPr>
          <w:rFonts w:hint="eastAsia" w:ascii="仿宋" w:hAnsi="仿宋" w:eastAsia="仿宋" w:cs="仿宋"/>
          <w:color w:val="auto"/>
          <w:spacing w:val="-6"/>
          <w:sz w:val="24"/>
          <w:szCs w:val="24"/>
          <w:lang w:eastAsia="zh-CN"/>
        </w:rPr>
        <w:t>（</w:t>
      </w:r>
      <w:r>
        <w:rPr>
          <w:rFonts w:hint="eastAsia" w:ascii="仿宋" w:hAnsi="仿宋" w:eastAsia="仿宋" w:cs="仿宋"/>
          <w:color w:val="auto"/>
          <w:spacing w:val="-6"/>
          <w:sz w:val="24"/>
          <w:szCs w:val="24"/>
        </w:rPr>
        <w:t>各单位可根据实际情况</w:t>
      </w:r>
      <w:r>
        <w:rPr>
          <w:rFonts w:hint="eastAsia" w:ascii="仿宋" w:hAnsi="仿宋" w:eastAsia="仿宋" w:cs="仿宋"/>
          <w:color w:val="auto"/>
          <w:sz w:val="24"/>
          <w:szCs w:val="24"/>
        </w:rPr>
        <w:t>重新设定</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w:t>
      </w:r>
    </w:p>
    <w:p w14:paraId="3BD0C210">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（4）</w:t>
      </w:r>
      <w:r>
        <w:rPr>
          <w:rFonts w:hint="eastAsia" w:ascii="仿宋" w:hAnsi="仿宋" w:eastAsia="仿宋" w:cs="仿宋"/>
          <w:color w:val="auto"/>
          <w:sz w:val="24"/>
          <w:szCs w:val="24"/>
        </w:rPr>
        <w:t>如果乙方迟延交货超过30日，甲方有权终止全部或部分合同，并依其认为适当的条件和方法购买与未交货物类似的货物，乙方应负担购买类似货物所超出的费用。但是，乙方应继续执行合同中未终止的部分。</w:t>
      </w:r>
    </w:p>
    <w:p w14:paraId="776F2263">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10.3　未履行合同义务的违约责任</w:t>
      </w:r>
    </w:p>
    <w:p w14:paraId="0E95D935">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（1）</w:t>
      </w:r>
      <w:r>
        <w:rPr>
          <w:rFonts w:hint="eastAsia" w:ascii="仿宋" w:hAnsi="仿宋" w:eastAsia="仿宋" w:cs="仿宋"/>
          <w:color w:val="auto"/>
          <w:sz w:val="24"/>
          <w:szCs w:val="24"/>
        </w:rPr>
        <w:t>守约方有权终止全部或部分合同。</w:t>
      </w:r>
    </w:p>
    <w:p w14:paraId="77040612">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（2）</w:t>
      </w:r>
      <w:r>
        <w:rPr>
          <w:rFonts w:hint="eastAsia" w:ascii="仿宋" w:hAnsi="仿宋" w:eastAsia="仿宋" w:cs="仿宋"/>
          <w:color w:val="auto"/>
          <w:sz w:val="24"/>
          <w:szCs w:val="24"/>
        </w:rPr>
        <w:t>乙方违约的，甲方有权没收全额履约保证金。</w:t>
      </w:r>
    </w:p>
    <w:p w14:paraId="4F77EE37">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（3）</w:t>
      </w:r>
      <w:r>
        <w:rPr>
          <w:rFonts w:hint="eastAsia" w:ascii="仿宋" w:hAnsi="仿宋" w:eastAsia="仿宋" w:cs="仿宋"/>
          <w:color w:val="auto"/>
          <w:sz w:val="24"/>
          <w:szCs w:val="24"/>
        </w:rPr>
        <w:t>由违约一方支付违约金，违约金标准见合同条款前附表</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各单位可根据实际情况自行约定</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w:t>
      </w:r>
    </w:p>
    <w:p w14:paraId="711FD16F">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（4）</w:t>
      </w:r>
      <w:r>
        <w:rPr>
          <w:rFonts w:hint="eastAsia" w:ascii="仿宋" w:hAnsi="仿宋" w:eastAsia="仿宋" w:cs="仿宋"/>
          <w:color w:val="auto"/>
          <w:sz w:val="24"/>
          <w:szCs w:val="24"/>
        </w:rPr>
        <w:t>违约金不足以弥补守约方实际损失、可预见或者应当预见的损失，由违约方全额予以赔偿。</w:t>
      </w:r>
    </w:p>
    <w:p w14:paraId="1BE8281C">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11.不可抗力</w:t>
      </w:r>
    </w:p>
    <w:p w14:paraId="696E4134">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11.1　如果合同双方因不可抗力而导致合同实施延误或合同无法实施，不应该承担误期赔偿或不能履行合同义务的责任。</w:t>
      </w:r>
    </w:p>
    <w:p w14:paraId="2E3B42DE">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11.2　本条所述的“不可抗力”系指那些双方不可预见、不可避免、不可克服的客观情况，但不包括双方的违约或疏忽。这些事件包括但不限于：战争、严重火灾、洪水、台风、地震等。</w:t>
      </w:r>
    </w:p>
    <w:p w14:paraId="02AEE7B1">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11.3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70B2253C">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12.合同纠纷的解决方式</w:t>
      </w:r>
    </w:p>
    <w:p w14:paraId="3D8ECD82">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12.1　合同各方应通过友好协商，解决在执行合同过程中所发生的或与合同有关的一切争端。如协商30日内</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根据实际情况设定</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不能解决，可以按合同规定的方式提起仲裁或诉讼。</w:t>
      </w:r>
    </w:p>
    <w:p w14:paraId="3C5F3AB5">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12.2　仲裁裁决应为最终裁决，对双方均具有约束力。</w:t>
      </w:r>
    </w:p>
    <w:p w14:paraId="4852270D">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12.3　仲裁费除仲裁机关另有裁决外应由败诉方负担。</w:t>
      </w:r>
    </w:p>
    <w:p w14:paraId="60DB353A">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12.4　诉讼应由甲方住所地人民法院管辖。财产保全担保保险费、财产保全申请费、律师代理费、差旅费、评估费、鉴定费及诉讼费等与仲裁或诉讼活动相关费用应由败诉方负担。</w:t>
      </w:r>
    </w:p>
    <w:p w14:paraId="13CE8E2D">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12.5　如仲裁或诉讼事项不影响合同其他部分的履行，则在仲裁或诉讼期间，除正在进行仲裁或诉讼的部分外，合同的其他部分应继续执行。</w:t>
      </w:r>
    </w:p>
    <w:p w14:paraId="28EB4011">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13.合同修改或变更</w:t>
      </w:r>
    </w:p>
    <w:p w14:paraId="3FA8DE6E">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13.1　如无重大变故，</w:t>
      </w:r>
      <w:r>
        <w:rPr>
          <w:rFonts w:hint="eastAsia" w:ascii="仿宋" w:hAnsi="仿宋" w:eastAsia="仿宋" w:cs="仿宋"/>
          <w:color w:val="auto"/>
          <w:sz w:val="24"/>
          <w:szCs w:val="24"/>
          <w:lang w:eastAsia="zh-CN"/>
        </w:rPr>
        <w:t>甲乙</w:t>
      </w:r>
      <w:r>
        <w:rPr>
          <w:rFonts w:hint="eastAsia" w:ascii="仿宋" w:hAnsi="仿宋" w:eastAsia="仿宋" w:cs="仿宋"/>
          <w:color w:val="auto"/>
          <w:sz w:val="24"/>
          <w:szCs w:val="24"/>
        </w:rPr>
        <w:t>双方不得擅自变更合同。</w:t>
      </w:r>
    </w:p>
    <w:p w14:paraId="15789B3A">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13.2　如确需变更合同，甲乙双方应签署书面变更协议。变更协议为本合同不可分割的一部分。</w:t>
      </w:r>
    </w:p>
    <w:p w14:paraId="6D24FBE4">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13.3　在不改变合同其他条款的前提下，甲方有权在合同价款10%的范围内追加与合同标的相同的货物或服务，并就此与乙方签订补充合同，乙方不得拒绝。</w:t>
      </w:r>
    </w:p>
    <w:p w14:paraId="6D28E5AC">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14.合同中止</w:t>
      </w:r>
    </w:p>
    <w:p w14:paraId="387C7DF6">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14.1　合同在履行过程中，因采购计划调整，甲方可以要求中止履行，待计划确定后继续履行；合同履行过程中因</w:t>
      </w:r>
      <w:r>
        <w:rPr>
          <w:rFonts w:hint="eastAsia" w:ascii="仿宋" w:hAnsi="仿宋" w:eastAsia="仿宋" w:cs="仿宋"/>
          <w:color w:val="auto"/>
          <w:kern w:val="0"/>
          <w:sz w:val="24"/>
          <w:szCs w:val="24"/>
        </w:rPr>
        <w:t>投标人</w:t>
      </w:r>
      <w:r>
        <w:rPr>
          <w:rFonts w:hint="eastAsia" w:ascii="仿宋" w:hAnsi="仿宋" w:eastAsia="仿宋" w:cs="仿宋"/>
          <w:color w:val="auto"/>
          <w:sz w:val="24"/>
          <w:szCs w:val="24"/>
        </w:rPr>
        <w:t>就采购过程或结果提起投诉的，甲方认为有必要或财政部门责令中止的，应当中止合同的履行。</w:t>
      </w:r>
    </w:p>
    <w:p w14:paraId="08DB649C">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15.终止合同</w:t>
      </w:r>
    </w:p>
    <w:p w14:paraId="4D495723">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15.1　若出现如下情形，在甲方对乙方违约行为而采取的任何补救措施不受影响的情况下，甲方可向乙方发出书面通知书，提出终止部分或全部合同：</w:t>
      </w:r>
    </w:p>
    <w:p w14:paraId="5F670366">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（1）</w:t>
      </w:r>
      <w:r>
        <w:rPr>
          <w:rFonts w:hint="eastAsia" w:ascii="仿宋" w:hAnsi="仿宋" w:eastAsia="仿宋" w:cs="仿宋"/>
          <w:color w:val="auto"/>
          <w:sz w:val="24"/>
          <w:szCs w:val="24"/>
        </w:rPr>
        <w:t>如果乙方未能在合同规定的期限或甲方同意延长的期限内提供货物或服务；</w:t>
      </w:r>
    </w:p>
    <w:p w14:paraId="178D5AB7">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（2）</w:t>
      </w:r>
      <w:r>
        <w:rPr>
          <w:rFonts w:hint="eastAsia" w:ascii="仿宋" w:hAnsi="仿宋" w:eastAsia="仿宋" w:cs="仿宋"/>
          <w:color w:val="auto"/>
          <w:sz w:val="24"/>
          <w:szCs w:val="24"/>
        </w:rPr>
        <w:t>如果乙方未能履行合同规定的其他任何义务，出现两次服务达不到承诺标准情况，甲方有权终止合同；</w:t>
      </w:r>
    </w:p>
    <w:p w14:paraId="6FE4E513">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（3）</w:t>
      </w:r>
      <w:r>
        <w:rPr>
          <w:rFonts w:hint="eastAsia" w:ascii="仿宋" w:hAnsi="仿宋" w:eastAsia="仿宋" w:cs="仿宋"/>
          <w:color w:val="auto"/>
          <w:sz w:val="24"/>
          <w:szCs w:val="24"/>
        </w:rPr>
        <w:t>如果甲方认为乙方在本合同的竞争或实施中有腐败和欺诈行为。</w:t>
      </w:r>
    </w:p>
    <w:p w14:paraId="2D4863FD">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15.2　如果甲方根据上述第15.1条的规定，终止了全部或部分合同，甲方可以适当的条件和方法购买乙方未能提供的货物或服务，乙方应对甲方购买类似货物或服务所超出的费用负责。同时，乙方应继续执行合同中未终止的部分。</w:t>
      </w:r>
    </w:p>
    <w:p w14:paraId="7264308C">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16.破产终止合同</w:t>
      </w:r>
    </w:p>
    <w:p w14:paraId="3CC98111">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16.1　如果乙方破产或无清偿能力，甲方可在任何时候以书面形式通知乙方终止合同而不给乙方补偿。</w:t>
      </w:r>
    </w:p>
    <w:p w14:paraId="29A641D0">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16.2　该终止行为将不损害或影响甲方已经采取或将要采取的任何行动或补救措施的权利。</w:t>
      </w:r>
    </w:p>
    <w:p w14:paraId="5F780589">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17.其他终止合同情况</w:t>
      </w:r>
    </w:p>
    <w:p w14:paraId="60384165">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17.1　若合同继续履行将给甲方造成重大损失的，甲方可以终止合同而不给予乙方任何补偿。</w:t>
      </w:r>
    </w:p>
    <w:p w14:paraId="59DD308C">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17.2　乙方在执行合同的过程中发生重大事故，对履行合同有直接影响的，甲方可以终止合同而不给予乙方任何补偿。</w:t>
      </w:r>
    </w:p>
    <w:p w14:paraId="1993FD50">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17.3　甲方因重大变故取消或部分取消原来的采购任务，导致合同全部或部分内容无须继续履行的，可以终止合同而不给予乙方任何补偿。</w:t>
      </w:r>
    </w:p>
    <w:p w14:paraId="3EF746FB">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18.合同转让和分包</w:t>
      </w:r>
    </w:p>
    <w:p w14:paraId="3398D7A8">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18.1　乙方不得以任何形式将合同转包，或部分或全部转让其应履行的合同义务。</w:t>
      </w:r>
    </w:p>
    <w:p w14:paraId="59B37CAD">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18.2　除经甲方事先书面同意外，乙方不得以任何形式将合同分包。</w:t>
      </w:r>
    </w:p>
    <w:p w14:paraId="2563885F">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19.适用法律</w:t>
      </w:r>
    </w:p>
    <w:p w14:paraId="17105522">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19.1　本合同适用中华人民共和国现行法律、行政法规和规章，如合同条款与法律、行政法规和规章不一致的，按照法律、行政法规和规章修改本合同。</w:t>
      </w:r>
    </w:p>
    <w:p w14:paraId="46CEDECE">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20.合同语言</w:t>
      </w:r>
    </w:p>
    <w:p w14:paraId="6D38FA19">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20.1　本合同语言为中文。</w:t>
      </w:r>
    </w:p>
    <w:p w14:paraId="696630FD">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20.2　双方交换的与合同有关的信件和其他文件应用合同语言书写。</w:t>
      </w:r>
    </w:p>
    <w:p w14:paraId="4626D1A7">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21.合同生效</w:t>
      </w:r>
    </w:p>
    <w:p w14:paraId="36D22906">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21.1　本合同应在双方签字盖章和甲方收到乙方提供的履约保证金后生效。</w:t>
      </w:r>
    </w:p>
    <w:p w14:paraId="47F381D8">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22.合同效力</w:t>
      </w:r>
    </w:p>
    <w:p w14:paraId="4D199537">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22.1　除本合同和甲乙双方书面签署的补充协议外，其他任何形式的双方约定和往来函件均不具有法律效力，对本项目无约束力。</w:t>
      </w:r>
    </w:p>
    <w:p w14:paraId="6E425A7C">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23.检查和审计</w:t>
      </w:r>
    </w:p>
    <w:p w14:paraId="05D22E5E">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23.1在本合同的履行过程中，甲方有权对乙方的合同履约情况进行阶段性检查，并对乙方投标时提供的相关资料进行复核。</w:t>
      </w:r>
    </w:p>
    <w:p w14:paraId="4E31A5AF">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23.2　在本合同的履行过程中，如果甲乙双方发生争议或者乙方没有按照合同约定履行义务，乙方应允许甲方检查乙方与实施本合同有关的账户和记录，并由甲方指定的审计人员对其进行审计。</w:t>
      </w:r>
    </w:p>
    <w:p w14:paraId="1FAC992C">
      <w:pPr>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WNlMDZjMzNkNmFhYmMxMTExNDdhYjA3MmM1OTBiOTUifQ=="/>
  </w:docVars>
  <w:rsids>
    <w:rsidRoot w:val="00557FB6"/>
    <w:rsid w:val="00142EA8"/>
    <w:rsid w:val="00263520"/>
    <w:rsid w:val="002B3606"/>
    <w:rsid w:val="002C2299"/>
    <w:rsid w:val="00364DE4"/>
    <w:rsid w:val="003905EB"/>
    <w:rsid w:val="003A5407"/>
    <w:rsid w:val="00482B40"/>
    <w:rsid w:val="004C08DC"/>
    <w:rsid w:val="004D47E3"/>
    <w:rsid w:val="00557FB6"/>
    <w:rsid w:val="00603266"/>
    <w:rsid w:val="0064619E"/>
    <w:rsid w:val="006E0C10"/>
    <w:rsid w:val="007D4B86"/>
    <w:rsid w:val="008332E1"/>
    <w:rsid w:val="00842182"/>
    <w:rsid w:val="00860A81"/>
    <w:rsid w:val="008903DD"/>
    <w:rsid w:val="008D330C"/>
    <w:rsid w:val="00903678"/>
    <w:rsid w:val="00911137"/>
    <w:rsid w:val="00936F22"/>
    <w:rsid w:val="009817F0"/>
    <w:rsid w:val="00986681"/>
    <w:rsid w:val="00A8471A"/>
    <w:rsid w:val="00AA4B3E"/>
    <w:rsid w:val="00AB501A"/>
    <w:rsid w:val="00B057A4"/>
    <w:rsid w:val="00B95912"/>
    <w:rsid w:val="00BB236D"/>
    <w:rsid w:val="00BF1F87"/>
    <w:rsid w:val="00E24583"/>
    <w:rsid w:val="00E2508E"/>
    <w:rsid w:val="00E4611D"/>
    <w:rsid w:val="00EB18EF"/>
    <w:rsid w:val="00F22D4C"/>
    <w:rsid w:val="00F5358B"/>
    <w:rsid w:val="00FA7C9B"/>
    <w:rsid w:val="00FB1DF6"/>
    <w:rsid w:val="081F4440"/>
    <w:rsid w:val="0A6D2DFC"/>
    <w:rsid w:val="0BB71511"/>
    <w:rsid w:val="0D3771A0"/>
    <w:rsid w:val="0FC040B7"/>
    <w:rsid w:val="17B60A4A"/>
    <w:rsid w:val="1BED6A38"/>
    <w:rsid w:val="1EB66348"/>
    <w:rsid w:val="1F080FF5"/>
    <w:rsid w:val="24BF75D6"/>
    <w:rsid w:val="27741719"/>
    <w:rsid w:val="2D902BB8"/>
    <w:rsid w:val="30002781"/>
    <w:rsid w:val="3A8E12EF"/>
    <w:rsid w:val="40DC0B82"/>
    <w:rsid w:val="43AF03B2"/>
    <w:rsid w:val="44CA47E8"/>
    <w:rsid w:val="480E5284"/>
    <w:rsid w:val="517B4897"/>
    <w:rsid w:val="528125D9"/>
    <w:rsid w:val="538400C8"/>
    <w:rsid w:val="53A90B96"/>
    <w:rsid w:val="56113377"/>
    <w:rsid w:val="5D3477C3"/>
    <w:rsid w:val="5FC4468B"/>
    <w:rsid w:val="624B1296"/>
    <w:rsid w:val="69BB6FFA"/>
    <w:rsid w:val="72DA4C29"/>
    <w:rsid w:val="73F1491F"/>
    <w:rsid w:val="78201ABD"/>
    <w:rsid w:val="78E356DE"/>
    <w:rsid w:val="79F4156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99"/>
    <w:rPr>
      <w:rFonts w:ascii="宋体" w:hAnsi="Courier New"/>
      <w:szCs w:val="21"/>
    </w:rPr>
  </w:style>
  <w:style w:type="paragraph" w:styleId="4">
    <w:name w:val="Body Text Indent 2"/>
    <w:basedOn w:val="1"/>
    <w:qFormat/>
    <w:uiPriority w:val="0"/>
    <w:pPr>
      <w:ind w:left="555"/>
    </w:pPr>
    <w:rPr>
      <w:sz w:val="28"/>
      <w:szCs w:val="20"/>
    </w:rPr>
  </w:style>
  <w:style w:type="paragraph" w:styleId="5">
    <w:name w:val="footer"/>
    <w:basedOn w:val="1"/>
    <w:link w:val="10"/>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脚 Char"/>
    <w:basedOn w:val="9"/>
    <w:link w:val="5"/>
    <w:qFormat/>
    <w:uiPriority w:val="0"/>
    <w:rPr>
      <w:kern w:val="2"/>
      <w:sz w:val="18"/>
      <w:szCs w:val="18"/>
    </w:rPr>
  </w:style>
  <w:style w:type="character" w:customStyle="1" w:styleId="11">
    <w:name w:val="页眉 Char"/>
    <w:basedOn w:val="9"/>
    <w:link w:val="6"/>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14</Pages>
  <Words>6297</Words>
  <Characters>6693</Characters>
  <Lines>16</Lines>
  <Paragraphs>4</Paragraphs>
  <TotalTime>0</TotalTime>
  <ScaleCrop>false</ScaleCrop>
  <LinksUpToDate>false</LinksUpToDate>
  <CharactersWithSpaces>6841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2007-04-09T01:20:00Z</dcterms:created>
  <dc:creator>Billgates</dc:creator>
  <cp:lastModifiedBy>李雨</cp:lastModifiedBy>
  <cp:lastPrinted>2004-08-17T04:14:00Z</cp:lastPrinted>
  <dcterms:modified xsi:type="dcterms:W3CDTF">2026-07-29T06:10:30Z</dcterms:modified>
  <dc:title>西北大学购货合同</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7A6A72AE94B440F2B166CBB4DBDD3F76_13</vt:lpwstr>
  </property>
  <property fmtid="{D5CDD505-2E9C-101B-9397-08002B2CF9AE}" pid="4" name="KSOTemplateDocerSaveRecord">
    <vt:lpwstr>eyJoZGlkIjoiNDI0YzZjNGVmMzA5N2Y4ZmZlZDQxNGEyYzcyYzQ3YzUiLCJ1c2VySWQiOiIyNTg5NTgwNjkifQ==</vt:lpwstr>
  </property>
</Properties>
</file>