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版本号：2026-HZZB-HZ-00720260720001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汉中市2025年普通干线公路大中修及预防性养护工程竣（交）工验收检测项目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2026-HZZB-HZ-007</w:t>
      </w:r>
      <w:r>
        <w:br/>
      </w:r>
      <w:r>
        <w:br/>
      </w:r>
      <w:r>
        <w:br/>
      </w:r>
    </w:p>
    <w:p>
      <w:pPr>
        <w:pStyle w:val="null3"/>
        <w:jc w:val="center"/>
        <w:outlineLvl w:val="2"/>
      </w:pPr>
      <w:r>
        <w:rPr>
          <w:rFonts w:ascii="仿宋_GB2312" w:hAnsi="仿宋_GB2312" w:cs="仿宋_GB2312" w:eastAsia="仿宋_GB2312"/>
          <w:sz w:val="28"/>
          <w:b/>
        </w:rPr>
        <w:t>汉中市公路局</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汉中市公路局</w:t>
      </w:r>
      <w:r>
        <w:rPr>
          <w:rFonts w:ascii="仿宋_GB2312" w:hAnsi="仿宋_GB2312" w:cs="仿宋_GB2312" w:eastAsia="仿宋_GB2312"/>
        </w:rPr>
        <w:t>委托，拟对</w:t>
      </w:r>
      <w:r>
        <w:rPr>
          <w:rFonts w:ascii="仿宋_GB2312" w:hAnsi="仿宋_GB2312" w:cs="仿宋_GB2312" w:eastAsia="仿宋_GB2312"/>
        </w:rPr>
        <w:t>汉中市2025年普通干线公路大中修及预防性养护工程竣（交）工验收检测项目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2026-HZZB-HZ-007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汉中市2025年普通干线公路大中修及预防性养护工程竣（交）工验收检测项目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3.1汉中市公路局2024年大中修及预防性养护工程(第四批)工程地位于佛坪县，共1个合同段，施工总里程7.943公里，包括G108线秦岭(周至界)至东河台2.976公里微裂均质化方案，G108线秦岭隧道1.564公里旧路铣刨后加铺改性沥青面层方案，G108线西岔河段0.253公里微裂均质化方案，G108土地岭至土地岭隧道段0.246公里微裂均质化方案，G108线土地岭隧道2.454公里旧路铣刨后加铺改性沥青面层方案，G108线秧田段0.45公里微裂均质化方案。 3.2汉中市公路局2025年大中修及预防性养护工程分布在汉中市5个县区境内5条国省干线上，施工总里程86.49公里。项目总投资7946万元。工程自2025年6月全线开工，于2025年12月底完成全面完工，项目累计完成投资额7946万元，占投资额的100%。分为3段，分别为： LMl标段：①G210西乡县茶镇至古城段（K1548＋700～K1588＋415）39.715公里二级公路中修及预防性养护；②G108洋县曹家沟至酉水段（K1592+100～K1601+075）8.975公里双层精细化碎石表处。 LM2标段：①G345线略阳县观音堂至七里店段（K2123＋130～K2128+300、K2129+500∼K2132+170、K2133+600∼K2135+027、K2136+200～K2136+960）10.027公里二级公路大中修、S317线略阳八〇九至横现河段(K352+848～K357+890)5.042公里三级公路中修养护；②G244留坝县磨坪村至汉台区景家沟段（K957＋420～K975+000、K985+000～K987+000、K995+541～K995+987K1043＋495～1045＋200、K1046＋000～K1047＋000段）22.731公里二级公路大修及预防性养护。 QS标段：西乡、洋县、略阳、留坝、汉台沿线涉及的部分二类、三类桥梁和隧道局部病害修复利用。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采购包1（汉中市2025年普通干线公路大中修及预防性养护工程竣（交）工验收检测项目）：属于专门面向中小企业采购。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1、供应商资质：供应商须具备交通运输主管部门颁发的公路工程乙级及以上（含乙级）检测资质。</w:t>
      </w:r>
    </w:p>
    <w:p>
      <w:pPr>
        <w:pStyle w:val="null3"/>
      </w:pPr>
      <w:r>
        <w:rPr>
          <w:rFonts w:ascii="仿宋_GB2312" w:hAnsi="仿宋_GB2312" w:cs="仿宋_GB2312" w:eastAsia="仿宋_GB2312"/>
        </w:rPr>
        <w:t>2、供应商授权：供应商应授权合法的人员参加投标全过程，其中法定代表人直接参加投标的，须出具法定代表人证明书及其身份证；法定代表人授权代表参加投标的，须出具法定代表人有效的授权书及被授权代表身份证。</w:t>
      </w:r>
    </w:p>
    <w:p>
      <w:pPr>
        <w:pStyle w:val="null3"/>
      </w:pPr>
      <w:r>
        <w:rPr>
          <w:rFonts w:ascii="仿宋_GB2312" w:hAnsi="仿宋_GB2312" w:cs="仿宋_GB2312" w:eastAsia="仿宋_GB2312"/>
        </w:rPr>
        <w:t>3、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4、联合体形式：本项目不接受联合体投标，提供非联合体声明。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0916-2230232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汉中市汉台区南关社区汉上第一街12号楼23层04-05室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开户名称：衡正国际工程咨询有限公司汉中分公司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 0552 0910 0052 851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代理服务费收费标准：参照《国家发展改革委关于降低部分建设项目收费标准规范收费行为等 有关问题的通知》[2011]534号文件规定的标准收取。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汉中市公路局</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符合公路工程技术标准、规范、规程及国家有关部门的相关规定。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联系电话：0916-8886036</w:t>
      </w:r>
    </w:p>
    <w:p>
      <w:pPr>
        <w:pStyle w:val="null3"/>
      </w:pPr>
      <w:r>
        <w:rPr>
          <w:rFonts w:ascii="仿宋_GB2312" w:hAnsi="仿宋_GB2312" w:cs="仿宋_GB2312" w:eastAsia="仿宋_GB2312"/>
        </w:rPr>
        <w:t>地址：汉中市汉台区南关社区汉上第一街12号楼23层招标代理部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汉中市公路局2024年大中修及预防性养护工程(第四批)工程地位于佛坪县，共1个合同段，施工总里程7.943公里，包括G108线秦岭(周至界)至东河台2.976公里微裂均质化方案，G108线秦岭隧道1.564公里旧路铣刨后加铺改性沥青面层方案，G108线西岔河段0.253公里微裂均质化方案，G108土地岭至土地岭隧道段0.246公里微裂均质化方案，G108线土地岭隧道2.454公里旧路铣刨后加铺改性沥青面层方案，G108线秧田段0.45公里微裂均质化方案。 2.汉中市公路局2025年大中修及预防性养护工程分布在汉中市5个县区境内5条国省干线上，施工总里程86.49公里。项目总投资7946万元。工程自2025年6月全线开工，于2025年12月底完成全面完工，项目累计完成投资额7946万元，占投资额的100%。分为3段，分别为： LMl标段：①G210西乡县茶镇至古城段（K1548＋700～K1588＋415）39.715公里二级公路中修及预防性养护；②G108洋县曹家沟至酉水段（K1592+100～K1601+075）8.975公里双层精细化碎石表处。 LM2标段：①G345线略阳县观音堂至七里店段（K2123＋130～K2128+300、K2129+500∼K2132+170、K2133+600∼K2135+027、K2136+200～K2136+960）10.027公里二级公路大中修、S317线略阳八〇九至横现河段(K352+848～K357+890)5.042公里三级公路中修养护；②G244留坝县磨坪村至汉台区景家沟段（K957＋420～K975+000、K985+000～K987+000、K995+541～K995+987K1043＋495～1045＋200、K1046＋000～K1047＋000段）22.731公里二级公路大修及预防性养护。 QS标段：西乡、洋县、略阳、留坝、汉台沿线涉及的部分二类、三类桥梁和隧道局部病害修复利用。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汉中市公路局2024年大中修及预防性养护工程(第四批)与汉中市2025年普通干线公路大中修及预防性养护工程竣（交）工验收检测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标的名称：汉中市公路局2024年大中修及预防性养护工程(第四批)与汉中市2025年普通干线公路大中修及预防性养护工程竣（交）工验收检测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42"/>
              <w:jc w:val="both"/>
            </w:pPr>
            <w:r>
              <w:rPr>
                <w:rFonts w:ascii="仿宋_GB2312" w:hAnsi="仿宋_GB2312" w:cs="仿宋_GB2312" w:eastAsia="仿宋_GB2312"/>
                <w:sz w:val="22"/>
                <w:b/>
              </w:rPr>
              <w:t>（一）本次检测工作中主要采用下述标准、规范、文件：</w:t>
            </w:r>
          </w:p>
          <w:p>
            <w:pPr>
              <w:pStyle w:val="null3"/>
              <w:ind w:firstLine="420"/>
              <w:jc w:val="both"/>
            </w:pPr>
            <w:r>
              <w:rPr>
                <w:rFonts w:ascii="仿宋_GB2312" w:hAnsi="仿宋_GB2312" w:cs="仿宋_GB2312" w:eastAsia="仿宋_GB2312"/>
                <w:sz w:val="21"/>
              </w:rPr>
              <w:t>1.JTG 3363-2019《公路桥涵地基与基础设计规范》；</w:t>
            </w:r>
          </w:p>
          <w:p>
            <w:pPr>
              <w:pStyle w:val="null3"/>
              <w:ind w:firstLine="420"/>
              <w:jc w:val="both"/>
            </w:pPr>
            <w:r>
              <w:rPr>
                <w:rFonts w:ascii="仿宋_GB2312" w:hAnsi="仿宋_GB2312" w:cs="仿宋_GB2312" w:eastAsia="仿宋_GB2312"/>
                <w:sz w:val="21"/>
              </w:rPr>
              <w:t>2.JTG/T 3610-2019《公路路基施工技术规范》、JTG/T 3650-2020《公路桥涵施工技术规范》、JTG/T 3660-2020《公路隧道施工技术规范》；</w:t>
            </w:r>
          </w:p>
          <w:p>
            <w:pPr>
              <w:pStyle w:val="null3"/>
              <w:ind w:firstLine="420"/>
              <w:jc w:val="both"/>
            </w:pPr>
            <w:r>
              <w:rPr>
                <w:rFonts w:ascii="仿宋_GB2312" w:hAnsi="仿宋_GB2312" w:cs="仿宋_GB2312" w:eastAsia="仿宋_GB2312"/>
                <w:sz w:val="21"/>
              </w:rPr>
              <w:t>3.JTG 3450-2019《公路路基路面现场测试规程》、JTG 3430-2020《公路土工试验规程》、JTG 3431-2024《公路工程岩石试验规程》；</w:t>
            </w:r>
          </w:p>
          <w:p>
            <w:pPr>
              <w:pStyle w:val="null3"/>
              <w:ind w:firstLine="420"/>
              <w:jc w:val="both"/>
            </w:pPr>
            <w:r>
              <w:rPr>
                <w:rFonts w:ascii="仿宋_GB2312" w:hAnsi="仿宋_GB2312" w:cs="仿宋_GB2312" w:eastAsia="仿宋_GB2312"/>
                <w:sz w:val="21"/>
              </w:rPr>
              <w:t>4.JTG F80/1-2017《公路工程质量检验评定标准 第一册 土建工程》；</w:t>
            </w:r>
          </w:p>
          <w:p>
            <w:pPr>
              <w:pStyle w:val="null3"/>
              <w:ind w:firstLine="420"/>
              <w:jc w:val="both"/>
            </w:pPr>
            <w:r>
              <w:rPr>
                <w:rFonts w:ascii="仿宋_GB2312" w:hAnsi="仿宋_GB2312" w:cs="仿宋_GB2312" w:eastAsia="仿宋_GB2312"/>
                <w:sz w:val="21"/>
              </w:rPr>
              <w:t>5.GB50330-2013《建筑边坡工程技术规范》；</w:t>
            </w:r>
          </w:p>
          <w:p>
            <w:pPr>
              <w:pStyle w:val="null3"/>
              <w:ind w:firstLine="420"/>
              <w:jc w:val="both"/>
            </w:pPr>
            <w:r>
              <w:rPr>
                <w:rFonts w:ascii="仿宋_GB2312" w:hAnsi="仿宋_GB2312" w:cs="仿宋_GB2312" w:eastAsia="仿宋_GB2312"/>
                <w:sz w:val="21"/>
              </w:rPr>
              <w:t>6.JGJ/T23-2011《回弹法检测混凝土抗压强度技术规程》；</w:t>
            </w:r>
          </w:p>
          <w:p>
            <w:pPr>
              <w:pStyle w:val="null3"/>
              <w:ind w:firstLine="420"/>
              <w:jc w:val="both"/>
            </w:pPr>
            <w:r>
              <w:rPr>
                <w:rFonts w:ascii="仿宋_GB2312" w:hAnsi="仿宋_GB2312" w:cs="仿宋_GB2312" w:eastAsia="仿宋_GB2312"/>
                <w:sz w:val="21"/>
              </w:rPr>
              <w:t>7.GB50330-2013《</w:t>
            </w:r>
            <w:r>
              <w:rPr>
                <w:rFonts w:ascii="仿宋_GB2312" w:hAnsi="仿宋_GB2312" w:cs="仿宋_GB2312" w:eastAsia="仿宋_GB2312"/>
                <w:sz w:val="21"/>
              </w:rPr>
              <w:t>建筑边坡工程技术规范</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8.GB50021-2001《岩土工程勘查规范》；</w:t>
            </w:r>
          </w:p>
          <w:p>
            <w:pPr>
              <w:pStyle w:val="null3"/>
              <w:ind w:firstLine="420"/>
              <w:jc w:val="both"/>
            </w:pPr>
            <w:r>
              <w:rPr>
                <w:rFonts w:ascii="仿宋_GB2312" w:hAnsi="仿宋_GB2312" w:cs="仿宋_GB2312" w:eastAsia="仿宋_GB2312"/>
                <w:sz w:val="21"/>
              </w:rPr>
              <w:t>9.T/CECS 02-2020《超声回弹综合法检测混凝土抗压强度技术规程》；</w:t>
            </w:r>
          </w:p>
          <w:p>
            <w:pPr>
              <w:pStyle w:val="null3"/>
              <w:ind w:firstLine="420"/>
              <w:jc w:val="both"/>
            </w:pPr>
            <w:r>
              <w:rPr>
                <w:rFonts w:ascii="仿宋_GB2312" w:hAnsi="仿宋_GB2312" w:cs="仿宋_GB2312" w:eastAsia="仿宋_GB2312"/>
                <w:sz w:val="21"/>
              </w:rPr>
              <w:t>10.T/CECS 21-2024《超声法检测混凝土缺陷技术规程》；</w:t>
            </w:r>
          </w:p>
          <w:p>
            <w:pPr>
              <w:pStyle w:val="null3"/>
              <w:ind w:firstLine="420"/>
              <w:jc w:val="both"/>
            </w:pPr>
            <w:r>
              <w:rPr>
                <w:rFonts w:ascii="仿宋_GB2312" w:hAnsi="仿宋_GB2312" w:cs="仿宋_GB2312" w:eastAsia="仿宋_GB2312"/>
                <w:sz w:val="21"/>
              </w:rPr>
              <w:t>11.JGJ106-2014《建筑基桩检测技术规范》；</w:t>
            </w:r>
          </w:p>
          <w:p>
            <w:pPr>
              <w:pStyle w:val="null3"/>
              <w:ind w:firstLine="420"/>
              <w:jc w:val="both"/>
            </w:pPr>
            <w:r>
              <w:rPr>
                <w:rFonts w:ascii="仿宋_GB2312" w:hAnsi="仿宋_GB2312" w:cs="仿宋_GB2312" w:eastAsia="仿宋_GB2312"/>
                <w:sz w:val="21"/>
              </w:rPr>
              <w:t>12.JGJ 79-2012《建筑地基处理技术规范》；</w:t>
            </w:r>
          </w:p>
          <w:p>
            <w:pPr>
              <w:pStyle w:val="null3"/>
              <w:ind w:firstLine="420"/>
              <w:jc w:val="both"/>
            </w:pPr>
            <w:r>
              <w:rPr>
                <w:rFonts w:ascii="仿宋_GB2312" w:hAnsi="仿宋_GB2312" w:cs="仿宋_GB2312" w:eastAsia="仿宋_GB2312"/>
                <w:sz w:val="21"/>
              </w:rPr>
              <w:t>13.DBJ/T 15-60-2019《建筑地基基础检测规范》；</w:t>
            </w:r>
          </w:p>
          <w:p>
            <w:pPr>
              <w:pStyle w:val="null3"/>
              <w:ind w:firstLine="420"/>
              <w:jc w:val="both"/>
            </w:pPr>
            <w:r>
              <w:rPr>
                <w:rFonts w:ascii="仿宋_GB2312" w:hAnsi="仿宋_GB2312" w:cs="仿宋_GB2312" w:eastAsia="仿宋_GB2312"/>
                <w:sz w:val="21"/>
              </w:rPr>
              <w:t>14.JTG/T 3512-2020《公路工程基桩检测技术规程》；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.JTG 3362-2018《公路钢筋混凝土及预应力混凝土桥涵设计规范》；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.执行现行国家颁布的相关无损、岩土工程检测规范；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.执行陕西省交通运输厅、省公路局、省交通运输厅质量监督站及汉中市交通运输局、汉中市交通运输工程质量监测鉴定中心为完成检测工作下发的有关标准、要求和通知；</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.交通运输部《公路工程竣交工验收办法实施细则》(交公路发[2010]65号)；</w:t>
            </w:r>
          </w:p>
          <w:p>
            <w:pPr>
              <w:pStyle w:val="null3"/>
              <w:ind w:firstLine="420"/>
              <w:jc w:val="both"/>
            </w:pPr>
            <w:r>
              <w:rPr>
                <w:rFonts w:ascii="仿宋_GB2312" w:hAnsi="仿宋_GB2312" w:cs="仿宋_GB2312" w:eastAsia="仿宋_GB2312"/>
                <w:sz w:val="21"/>
              </w:rPr>
              <w:t>19</w:t>
            </w:r>
            <w:r>
              <w:rPr>
                <w:rFonts w:ascii="仿宋_GB2312" w:hAnsi="仿宋_GB2312" w:cs="仿宋_GB2312" w:eastAsia="仿宋_GB2312"/>
                <w:sz w:val="21"/>
              </w:rPr>
              <w:t>.交通运输部办公厅《关于公路工程验收执行新版公路工程质量检验评定标准有关事宜的通知》(交办公路[2018]136号)；</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.批准的施工图纸文件，合同文件等</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（二）编制范围与要求</w:t>
            </w:r>
          </w:p>
          <w:p>
            <w:pPr>
              <w:pStyle w:val="null3"/>
              <w:ind w:firstLine="420"/>
              <w:jc w:val="both"/>
            </w:pPr>
            <w:r>
              <w:rPr>
                <w:rFonts w:ascii="仿宋_GB2312" w:hAnsi="仿宋_GB2312" w:cs="仿宋_GB2312" w:eastAsia="仿宋_GB2312"/>
                <w:sz w:val="21"/>
              </w:rPr>
              <w:t>1、检测范围：</w:t>
            </w:r>
            <w:r>
              <w:rPr>
                <w:rFonts w:ascii="仿宋_GB2312" w:hAnsi="仿宋_GB2312" w:cs="仿宋_GB2312" w:eastAsia="仿宋_GB2312"/>
                <w:sz w:val="21"/>
              </w:rPr>
              <w:t>汉中市公路局</w:t>
            </w:r>
            <w:r>
              <w:rPr>
                <w:rFonts w:ascii="仿宋_GB2312" w:hAnsi="仿宋_GB2312" w:cs="仿宋_GB2312" w:eastAsia="仿宋_GB2312"/>
                <w:sz w:val="21"/>
              </w:rPr>
              <w:t>2024</w:t>
            </w:r>
            <w:r>
              <w:rPr>
                <w:rFonts w:ascii="仿宋_GB2312" w:hAnsi="仿宋_GB2312" w:cs="仿宋_GB2312" w:eastAsia="仿宋_GB2312"/>
                <w:sz w:val="21"/>
              </w:rPr>
              <w:t>年大中修及预防性养护工程（第四批）</w:t>
            </w:r>
            <w:r>
              <w:rPr>
                <w:rFonts w:ascii="仿宋_GB2312" w:hAnsi="仿宋_GB2312" w:cs="仿宋_GB2312" w:eastAsia="仿宋_GB2312"/>
                <w:sz w:val="21"/>
              </w:rPr>
              <w:t>交竣工验收检测</w:t>
            </w:r>
            <w:r>
              <w:rPr>
                <w:rFonts w:ascii="仿宋_GB2312" w:hAnsi="仿宋_GB2312" w:cs="仿宋_GB2312" w:eastAsia="仿宋_GB2312"/>
                <w:sz w:val="21"/>
              </w:rPr>
              <w:t>、</w:t>
            </w:r>
            <w:r>
              <w:rPr>
                <w:rFonts w:ascii="仿宋_GB2312" w:hAnsi="仿宋_GB2312" w:cs="仿宋_GB2312" w:eastAsia="仿宋_GB2312"/>
                <w:sz w:val="21"/>
              </w:rPr>
              <w:t>汉中市</w:t>
            </w:r>
            <w:r>
              <w:rPr>
                <w:rFonts w:ascii="仿宋_GB2312" w:hAnsi="仿宋_GB2312" w:cs="仿宋_GB2312" w:eastAsia="仿宋_GB2312"/>
                <w:sz w:val="21"/>
              </w:rPr>
              <w:t>2025年普通干线公路大中修及预防性养护工程</w:t>
            </w:r>
            <w:r>
              <w:rPr>
                <w:rFonts w:ascii="仿宋_GB2312" w:hAnsi="仿宋_GB2312" w:cs="仿宋_GB2312" w:eastAsia="仿宋_GB2312"/>
                <w:sz w:val="21"/>
              </w:rPr>
              <w:t>交竣工验收检测</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2、主要工作内容包括：</w:t>
            </w:r>
            <w:r>
              <w:rPr>
                <w:rFonts w:ascii="仿宋_GB2312" w:hAnsi="仿宋_GB2312" w:cs="仿宋_GB2312" w:eastAsia="仿宋_GB2312"/>
                <w:sz w:val="21"/>
              </w:rPr>
              <w:t>完成</w:t>
            </w:r>
            <w:r>
              <w:rPr>
                <w:rFonts w:ascii="仿宋_GB2312" w:hAnsi="仿宋_GB2312" w:cs="仿宋_GB2312" w:eastAsia="仿宋_GB2312"/>
                <w:sz w:val="21"/>
              </w:rPr>
              <w:t>汉中市公路局</w:t>
            </w:r>
            <w:r>
              <w:rPr>
                <w:rFonts w:ascii="仿宋_GB2312" w:hAnsi="仿宋_GB2312" w:cs="仿宋_GB2312" w:eastAsia="仿宋_GB2312"/>
                <w:sz w:val="21"/>
              </w:rPr>
              <w:t>2024年大中修及预防性养护工程（第四批）交工验收质量检测及竣工验收前质量复测工作，并出具检测报告；完成汉中市2025年普通干线公路大中修及预防性养护工程交工验收质量检测及竣工验收前质量复测工作，并出具检测报告。</w:t>
            </w:r>
          </w:p>
          <w:p>
            <w:pPr>
              <w:pStyle w:val="null3"/>
              <w:ind w:firstLine="420"/>
              <w:jc w:val="both"/>
            </w:pPr>
            <w:r>
              <w:rPr>
                <w:rFonts w:ascii="仿宋_GB2312" w:hAnsi="仿宋_GB2312" w:cs="仿宋_GB2312" w:eastAsia="仿宋_GB2312"/>
                <w:sz w:val="21"/>
              </w:rPr>
              <w:t>3、检测时间：</w:t>
            </w:r>
            <w:r>
              <w:rPr>
                <w:rFonts w:ascii="仿宋_GB2312" w:hAnsi="仿宋_GB2312" w:cs="仿宋_GB2312" w:eastAsia="仿宋_GB2312"/>
                <w:sz w:val="21"/>
              </w:rPr>
              <w:t>汉中市公路局</w:t>
            </w:r>
            <w:r>
              <w:rPr>
                <w:rFonts w:ascii="仿宋_GB2312" w:hAnsi="仿宋_GB2312" w:cs="仿宋_GB2312" w:eastAsia="仿宋_GB2312"/>
                <w:sz w:val="21"/>
              </w:rPr>
              <w:t>2024</w:t>
            </w:r>
            <w:r>
              <w:rPr>
                <w:rFonts w:ascii="仿宋_GB2312" w:hAnsi="仿宋_GB2312" w:cs="仿宋_GB2312" w:eastAsia="仿宋_GB2312"/>
                <w:sz w:val="21"/>
              </w:rPr>
              <w:t>年大中修及预防性养护工程（第四批）、</w:t>
            </w:r>
            <w:r>
              <w:rPr>
                <w:rFonts w:ascii="仿宋_GB2312" w:hAnsi="仿宋_GB2312" w:cs="仿宋_GB2312" w:eastAsia="仿宋_GB2312"/>
                <w:sz w:val="21"/>
              </w:rPr>
              <w:t>汉中市</w:t>
            </w:r>
            <w:r>
              <w:rPr>
                <w:rFonts w:ascii="仿宋_GB2312" w:hAnsi="仿宋_GB2312" w:cs="仿宋_GB2312" w:eastAsia="仿宋_GB2312"/>
                <w:sz w:val="21"/>
              </w:rPr>
              <w:t>2025年普通干线公路大中修及预防性养护工程根据检测需要随时进行抽检至到项目竣工验收为止。</w:t>
            </w:r>
          </w:p>
          <w:p>
            <w:pPr>
              <w:pStyle w:val="null3"/>
              <w:ind w:firstLine="422"/>
              <w:jc w:val="both"/>
            </w:pPr>
            <w:r>
              <w:rPr>
                <w:rFonts w:ascii="仿宋_GB2312" w:hAnsi="仿宋_GB2312" w:cs="仿宋_GB2312" w:eastAsia="仿宋_GB2312"/>
                <w:sz w:val="21"/>
                <w:b/>
              </w:rPr>
              <w:t>（三）成果提交要求</w:t>
            </w:r>
          </w:p>
          <w:p>
            <w:pPr>
              <w:pStyle w:val="null3"/>
              <w:ind w:firstLine="420"/>
              <w:jc w:val="both"/>
            </w:pPr>
            <w:r>
              <w:rPr>
                <w:rFonts w:ascii="仿宋_GB2312" w:hAnsi="仿宋_GB2312" w:cs="仿宋_GB2312" w:eastAsia="仿宋_GB2312"/>
                <w:sz w:val="21"/>
              </w:rPr>
              <w:t>汉中市公路局</w:t>
            </w:r>
            <w:r>
              <w:rPr>
                <w:rFonts w:ascii="仿宋_GB2312" w:hAnsi="仿宋_GB2312" w:cs="仿宋_GB2312" w:eastAsia="仿宋_GB2312"/>
                <w:sz w:val="21"/>
              </w:rPr>
              <w:t>2024</w:t>
            </w:r>
            <w:r>
              <w:rPr>
                <w:rFonts w:ascii="仿宋_GB2312" w:hAnsi="仿宋_GB2312" w:cs="仿宋_GB2312" w:eastAsia="仿宋_GB2312"/>
                <w:sz w:val="21"/>
              </w:rPr>
              <w:t>年大中修及预防性养护工程（第四批）</w:t>
            </w:r>
            <w:r>
              <w:rPr>
                <w:rFonts w:ascii="仿宋_GB2312" w:hAnsi="仿宋_GB2312" w:cs="仿宋_GB2312" w:eastAsia="仿宋_GB2312"/>
                <w:sz w:val="21"/>
              </w:rPr>
              <w:t>竣（交）工验收检测项目</w:t>
            </w:r>
            <w:r>
              <w:rPr>
                <w:rFonts w:ascii="仿宋_GB2312" w:hAnsi="仿宋_GB2312" w:cs="仿宋_GB2312" w:eastAsia="仿宋_GB2312"/>
                <w:sz w:val="21"/>
              </w:rPr>
              <w:t>、</w:t>
            </w:r>
            <w:r>
              <w:rPr>
                <w:rFonts w:ascii="仿宋_GB2312" w:hAnsi="仿宋_GB2312" w:cs="仿宋_GB2312" w:eastAsia="仿宋_GB2312"/>
                <w:sz w:val="21"/>
              </w:rPr>
              <w:t>汉中市</w:t>
            </w:r>
            <w:r>
              <w:rPr>
                <w:rFonts w:ascii="仿宋_GB2312" w:hAnsi="仿宋_GB2312" w:cs="仿宋_GB2312" w:eastAsia="仿宋_GB2312"/>
                <w:sz w:val="21"/>
              </w:rPr>
              <w:t>2025年普通干线公路大中修及预防性养护工程</w:t>
            </w:r>
            <w:r>
              <w:rPr>
                <w:rFonts w:ascii="仿宋_GB2312" w:hAnsi="仿宋_GB2312" w:cs="仿宋_GB2312" w:eastAsia="仿宋_GB2312"/>
                <w:sz w:val="21"/>
              </w:rPr>
              <w:t>竣（交）工验收检测项目</w:t>
            </w:r>
            <w:r>
              <w:rPr>
                <w:rFonts w:ascii="仿宋_GB2312" w:hAnsi="仿宋_GB2312" w:cs="仿宋_GB2312" w:eastAsia="仿宋_GB2312"/>
                <w:sz w:val="21"/>
              </w:rPr>
              <w:t>，出具检测报告：各一式</w:t>
            </w:r>
            <w:r>
              <w:rPr>
                <w:rFonts w:ascii="仿宋_GB2312" w:hAnsi="仿宋_GB2312" w:cs="仿宋_GB2312" w:eastAsia="仿宋_GB2312"/>
                <w:sz w:val="21"/>
              </w:rPr>
              <w:t>5份，Word或WPS文件电子版1份（U盘），检测报告的格式和内容符合行业相关规定。</w:t>
            </w:r>
          </w:p>
          <w:p>
            <w:pPr>
              <w:pStyle w:val="null3"/>
              <w:ind w:firstLine="422"/>
              <w:jc w:val="both"/>
            </w:pPr>
            <w:r>
              <w:rPr>
                <w:rFonts w:ascii="仿宋_GB2312" w:hAnsi="仿宋_GB2312" w:cs="仿宋_GB2312" w:eastAsia="仿宋_GB2312"/>
                <w:sz w:val="21"/>
                <w:b/>
              </w:rPr>
              <w:t>（四）踏勘现场（响应供应商自行踏勘）</w:t>
            </w:r>
          </w:p>
          <w:p>
            <w:pPr>
              <w:pStyle w:val="null3"/>
              <w:ind w:firstLine="420"/>
              <w:jc w:val="both"/>
            </w:pPr>
            <w:r>
              <w:rPr>
                <w:rFonts w:ascii="仿宋_GB2312" w:hAnsi="仿宋_GB2312" w:cs="仿宋_GB2312" w:eastAsia="仿宋_GB2312"/>
                <w:sz w:val="21"/>
              </w:rPr>
              <w:t>1．响应供应商根据需要对实施现场及周围环境进行踏勘，以便响应供应商获取须自己负责的有关编制响应文件和签署合同所需的所有资料。踏勘现场所发生的费用由响应供应商自己承担。</w:t>
            </w:r>
          </w:p>
          <w:p>
            <w:pPr>
              <w:pStyle w:val="null3"/>
              <w:ind w:firstLine="420"/>
              <w:jc w:val="both"/>
            </w:pPr>
            <w:r>
              <w:rPr>
                <w:rFonts w:ascii="仿宋_GB2312" w:hAnsi="仿宋_GB2312" w:cs="仿宋_GB2312" w:eastAsia="仿宋_GB2312"/>
                <w:sz w:val="21"/>
              </w:rPr>
              <w:t>2．采购人向响应供应商提供有关现场的资料和数据，是采购人现有的能使响应供应商利用的资料。采购人对响应供应商由此而作出的推论、理解和结论概不负责。</w:t>
            </w:r>
          </w:p>
          <w:p>
            <w:pPr>
              <w:pStyle w:val="null3"/>
              <w:ind w:firstLine="420"/>
              <w:jc w:val="both"/>
            </w:pPr>
            <w:r>
              <w:rPr>
                <w:rFonts w:ascii="仿宋_GB2312" w:hAnsi="仿宋_GB2312" w:cs="仿宋_GB2312" w:eastAsia="仿宋_GB2312"/>
                <w:sz w:val="21"/>
              </w:rPr>
              <w:t>3．响应供应商及其人员经过采购人的允许，可为踏勘目的进入采购人的工程现场，但响应供应商及其人员不得因此使采购人及其人员承担有关的责任和蒙受损失。响应供应商并应对由此次踏勘现场而造成的死亡、人生伤害、财产损失、损害以及任何其他损失、损害和引起的费用和开支承担责任。</w:t>
            </w:r>
          </w:p>
          <w:p>
            <w:pPr>
              <w:pStyle w:val="null3"/>
              <w:ind w:firstLine="420"/>
              <w:jc w:val="both"/>
            </w:pPr>
            <w:r>
              <w:rPr>
                <w:rFonts w:ascii="仿宋_GB2312" w:hAnsi="仿宋_GB2312" w:cs="仿宋_GB2312" w:eastAsia="仿宋_GB2312"/>
                <w:sz w:val="21"/>
              </w:rPr>
              <w:t>4．如果响应供应商认为需再次进行现场踏勘，采购人应予以支持，费用自理。</w:t>
            </w:r>
          </w:p>
          <w:p>
            <w:pPr>
              <w:pStyle w:val="null3"/>
              <w:ind w:firstLine="422"/>
              <w:jc w:val="both"/>
            </w:pPr>
            <w:r>
              <w:rPr>
                <w:rFonts w:ascii="仿宋_GB2312" w:hAnsi="仿宋_GB2312" w:cs="仿宋_GB2312" w:eastAsia="仿宋_GB2312"/>
                <w:sz w:val="21"/>
                <w:b/>
              </w:rPr>
              <w:t>（五）</w:t>
            </w:r>
            <w:r>
              <w:rPr>
                <w:rFonts w:ascii="仿宋_GB2312" w:hAnsi="仿宋_GB2312" w:cs="仿宋_GB2312" w:eastAsia="仿宋_GB2312"/>
                <w:sz w:val="21"/>
                <w:b/>
              </w:rPr>
              <w:t>服务承诺</w:t>
            </w:r>
          </w:p>
          <w:p>
            <w:pPr>
              <w:pStyle w:val="null3"/>
              <w:ind w:firstLine="420"/>
              <w:jc w:val="both"/>
            </w:pPr>
            <w:r>
              <w:rPr>
                <w:rFonts w:ascii="仿宋_GB2312" w:hAnsi="仿宋_GB2312" w:cs="仿宋_GB2312" w:eastAsia="仿宋_GB2312"/>
                <w:sz w:val="21"/>
              </w:rPr>
              <w:t>1.为确保服务质量及与采购人沟通联络，成交供应商须设置专职主管，全过程负责对本项目的服务范围、服务质量的检查监督及与采购人日常业务联系。</w:t>
            </w:r>
          </w:p>
          <w:p>
            <w:pPr>
              <w:pStyle w:val="null3"/>
              <w:ind w:firstLine="420"/>
              <w:jc w:val="both"/>
            </w:pPr>
            <w:r>
              <w:rPr>
                <w:rFonts w:ascii="仿宋_GB2312" w:hAnsi="仿宋_GB2312" w:cs="仿宋_GB2312" w:eastAsia="仿宋_GB2312"/>
                <w:sz w:val="21"/>
              </w:rPr>
              <w:t>2.成交供应商须主动接受采购人的指导、检查、监督及协调。</w:t>
            </w:r>
          </w:p>
          <w:p>
            <w:pPr>
              <w:pStyle w:val="null3"/>
              <w:ind w:firstLine="420"/>
              <w:jc w:val="both"/>
            </w:pPr>
            <w:r>
              <w:rPr>
                <w:rFonts w:ascii="仿宋_GB2312" w:hAnsi="仿宋_GB2312" w:cs="仿宋_GB2312" w:eastAsia="仿宋_GB2312"/>
                <w:sz w:val="21"/>
              </w:rPr>
              <w:t>3.成交供应商对本项目有技术支持及跟踪服务能力，有服务的计划、措施、保障等内容；且建立完整的后续工作信息收集、反馈等保证措施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成交供应商制定并履行服务承诺</w:t>
            </w:r>
            <w:r>
              <w:rPr>
                <w:rFonts w:ascii="仿宋_GB2312" w:hAnsi="仿宋_GB2312" w:cs="仿宋_GB2312" w:eastAsia="仿宋_GB2312"/>
                <w:sz w:val="21"/>
              </w:rPr>
              <w:t>。项目成果报告完成后，协助采购人编制工程交工质量核验意见和工程质量鉴定报告，对检测过程中提出的质量缺陷处理情况进行复核验收并出具意见</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（六）</w:t>
            </w:r>
            <w:r>
              <w:rPr>
                <w:rFonts w:ascii="仿宋_GB2312" w:hAnsi="仿宋_GB2312" w:cs="仿宋_GB2312" w:eastAsia="仿宋_GB2312"/>
                <w:sz w:val="21"/>
                <w:b/>
              </w:rPr>
              <w:t>验收要求</w:t>
            </w:r>
          </w:p>
          <w:p>
            <w:pPr>
              <w:pStyle w:val="null3"/>
              <w:ind w:firstLine="420"/>
              <w:jc w:val="both"/>
            </w:pPr>
            <w:r>
              <w:rPr>
                <w:rFonts w:ascii="仿宋_GB2312" w:hAnsi="仿宋_GB2312" w:cs="仿宋_GB2312" w:eastAsia="仿宋_GB2312"/>
                <w:sz w:val="21"/>
              </w:rPr>
              <w:t>符合公路工程技术标准、规范、规程及国家有关部门的相关规定。</w:t>
            </w:r>
          </w:p>
          <w:p>
            <w:pPr>
              <w:pStyle w:val="null3"/>
              <w:ind w:firstLine="422"/>
              <w:jc w:val="both"/>
            </w:pPr>
            <w:r>
              <w:rPr>
                <w:rFonts w:ascii="仿宋_GB2312" w:hAnsi="仿宋_GB2312" w:cs="仿宋_GB2312" w:eastAsia="仿宋_GB2312"/>
                <w:sz w:val="21"/>
                <w:b/>
              </w:rPr>
              <w:t>（七）</w:t>
            </w:r>
            <w:r>
              <w:rPr>
                <w:rFonts w:ascii="仿宋_GB2312" w:hAnsi="仿宋_GB2312" w:cs="仿宋_GB2312" w:eastAsia="仿宋_GB2312"/>
                <w:sz w:val="21"/>
                <w:b/>
              </w:rPr>
              <w:t>合同履行期限</w:t>
            </w:r>
          </w:p>
          <w:p>
            <w:pPr>
              <w:pStyle w:val="null3"/>
              <w:ind w:firstLine="420"/>
              <w:jc w:val="both"/>
            </w:pPr>
            <w:r>
              <w:rPr>
                <w:rFonts w:ascii="仿宋_GB2312" w:hAnsi="仿宋_GB2312" w:cs="仿宋_GB2312" w:eastAsia="仿宋_GB2312"/>
                <w:sz w:val="21"/>
              </w:rPr>
              <w:t>合同履行期限</w:t>
            </w:r>
            <w:r>
              <w:rPr>
                <w:rFonts w:ascii="仿宋_GB2312" w:hAnsi="仿宋_GB2312" w:cs="仿宋_GB2312" w:eastAsia="仿宋_GB2312"/>
                <w:sz w:val="21"/>
              </w:rPr>
              <w:t>（服务期限）</w:t>
            </w:r>
            <w:r>
              <w:rPr>
                <w:rFonts w:ascii="仿宋_GB2312" w:hAnsi="仿宋_GB2312" w:cs="仿宋_GB2312" w:eastAsia="仿宋_GB2312"/>
                <w:sz w:val="21"/>
              </w:rPr>
              <w:t>：</w:t>
            </w:r>
            <w:r>
              <w:rPr>
                <w:rFonts w:ascii="仿宋_GB2312" w:hAnsi="仿宋_GB2312" w:cs="仿宋_GB2312" w:eastAsia="仿宋_GB2312"/>
                <w:sz w:val="21"/>
              </w:rPr>
              <w:t>合同签订后竣工验收完成止。</w:t>
            </w:r>
          </w:p>
          <w:p>
            <w:pPr>
              <w:pStyle w:val="null3"/>
              <w:ind w:firstLine="420"/>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2"/>
              </w:rPr>
              <w:t>汉中市</w:t>
            </w:r>
            <w:r>
              <w:rPr>
                <w:rFonts w:ascii="仿宋_GB2312" w:hAnsi="仿宋_GB2312" w:cs="仿宋_GB2312" w:eastAsia="仿宋_GB2312"/>
                <w:sz w:val="32"/>
              </w:rPr>
              <w:t>2025年普通干线公路大中修及预防性养护工程竣（交）工验收检测项目抽检清单</w:t>
            </w:r>
          </w:p>
          <w:tbl>
            <w:tblPr>
              <w:tblInd w:type="dxa" w:w="135"/>
              <w:tblBorders>
                <w:top w:val="none" w:color="000000" w:sz="4"/>
                <w:left w:val="none" w:color="000000" w:sz="4"/>
                <w:bottom w:val="none" w:color="000000" w:sz="4"/>
                <w:right w:val="none" w:color="000000" w:sz="4"/>
                <w:insideH w:val="none"/>
                <w:insideV w:val="none"/>
              </w:tblBorders>
            </w:tblPr>
            <w:tblGrid>
              <w:gridCol w:w="158"/>
              <w:gridCol w:w="417"/>
              <w:gridCol w:w="333"/>
              <w:gridCol w:w="816"/>
              <w:gridCol w:w="821"/>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抽检部位</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抽检指标</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抽检数量</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汉中市</w:t>
                  </w:r>
                  <w:r>
                    <w:rPr>
                      <w:rFonts w:ascii="仿宋_GB2312" w:hAnsi="仿宋_GB2312" w:cs="仿宋_GB2312" w:eastAsia="仿宋_GB2312"/>
                      <w:sz w:val="21"/>
                      <w:b/>
                      <w:color w:val="000000"/>
                    </w:rPr>
                    <w:t>2024年普通干线公路大中修及预防性养护工程(第4批)</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涵洞</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挡土墙</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断面尺寸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w:t>
                  </w:r>
                  <w:r>
                    <w:rPr>
                      <w:rFonts w:ascii="仿宋_GB2312" w:hAnsi="仿宋_GB2312" w:cs="仿宋_GB2312" w:eastAsia="仿宋_GB2312"/>
                      <w:sz w:val="21"/>
                      <w:color w:val="000000"/>
                    </w:rPr>
                    <w:t>水工程</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铺砌厚度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合同段抽查不少于</w:t>
                  </w:r>
                  <w:r>
                    <w:rPr>
                      <w:rFonts w:ascii="仿宋_GB2312" w:hAnsi="仿宋_GB2312" w:cs="仿宋_GB2312" w:eastAsia="仿宋_GB2312"/>
                      <w:sz w:val="21"/>
                      <w:color w:val="000000"/>
                    </w:rPr>
                    <w:t>3处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断面尺寸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w:t>
                  </w:r>
                  <w:r>
                    <w:rPr>
                      <w:rFonts w:ascii="仿宋_GB2312" w:hAnsi="仿宋_GB2312" w:cs="仿宋_GB2312" w:eastAsia="仿宋_GB2312"/>
                      <w:sz w:val="21"/>
                      <w:color w:val="000000"/>
                    </w:rPr>
                    <w:t>2-3处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路面面层</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每处不少于</w:t>
                  </w:r>
                  <w:r>
                    <w:rPr>
                      <w:rFonts w:ascii="仿宋_GB2312" w:hAnsi="仿宋_GB2312" w:cs="仿宋_GB2312" w:eastAsia="仿宋_GB2312"/>
                      <w:sz w:val="21"/>
                      <w:color w:val="000000"/>
                    </w:rPr>
                    <w:t>1点</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连续检查，每公里为评定单元</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弯沉</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连续检查，每公里为评定单元</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每处不少于</w:t>
                  </w:r>
                  <w:r>
                    <w:rPr>
                      <w:rFonts w:ascii="仿宋_GB2312" w:hAnsi="仿宋_GB2312" w:cs="仿宋_GB2312" w:eastAsia="仿宋_GB2312"/>
                      <w:sz w:val="21"/>
                      <w:color w:val="000000"/>
                    </w:rPr>
                    <w:t>1点</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相邻板高差</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w:t>
                  </w:r>
                  <w:r>
                    <w:rPr>
                      <w:rFonts w:ascii="仿宋_GB2312" w:hAnsi="仿宋_GB2312" w:cs="仿宋_GB2312" w:eastAsia="仿宋_GB2312"/>
                      <w:sz w:val="21"/>
                      <w:color w:val="000000"/>
                    </w:rPr>
                    <w:t>1处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w:t>
                  </w:r>
                  <w:r>
                    <w:rPr>
                      <w:rFonts w:ascii="仿宋_GB2312" w:hAnsi="仿宋_GB2312" w:cs="仿宋_GB2312" w:eastAsia="仿宋_GB2312"/>
                      <w:sz w:val="21"/>
                      <w:color w:val="000000"/>
                    </w:rPr>
                    <w:t>1处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横板</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w:t>
                  </w:r>
                  <w:r>
                    <w:rPr>
                      <w:rFonts w:ascii="仿宋_GB2312" w:hAnsi="仿宋_GB2312" w:cs="仿宋_GB2312" w:eastAsia="仿宋_GB2312"/>
                      <w:sz w:val="21"/>
                      <w:color w:val="000000"/>
                    </w:rPr>
                    <w:t>1-2断面</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汉中市</w:t>
                  </w:r>
                  <w:r>
                    <w:rPr>
                      <w:rFonts w:ascii="仿宋_GB2312" w:hAnsi="仿宋_GB2312" w:cs="仿宋_GB2312" w:eastAsia="仿宋_GB2312"/>
                      <w:sz w:val="21"/>
                      <w:b/>
                      <w:color w:val="000000"/>
                    </w:rPr>
                    <w:t>2024年普通干线公路大中修及预防性养护工程(第4批)</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防护栏</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波形护栏立柱壁厚</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立柱埋入深度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横梁中心高度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断面尺寸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立柱竖直度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标志板净空</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标志板厚度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逆反射系数</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标线</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逆反射系数</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标线厚度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汉中市</w:t>
                  </w:r>
                  <w:r>
                    <w:rPr>
                      <w:rFonts w:ascii="仿宋_GB2312" w:hAnsi="仿宋_GB2312" w:cs="仿宋_GB2312" w:eastAsia="仿宋_GB2312"/>
                      <w:sz w:val="21"/>
                      <w:b/>
                      <w:color w:val="000000"/>
                    </w:rPr>
                    <w:t>2025年普通干线公路大中修及预防性养护工程</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涵洞</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挡土墙</w:t>
                  </w:r>
                </w:p>
                <w:p>
                  <w:pPr>
                    <w:pStyle w:val="null3"/>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断面尺寸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10%，且每种类型不少于一道</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w:t>
                  </w:r>
                  <w:r>
                    <w:rPr>
                      <w:rFonts w:ascii="仿宋_GB2312" w:hAnsi="仿宋_GB2312" w:cs="仿宋_GB2312" w:eastAsia="仿宋_GB2312"/>
                      <w:sz w:val="21"/>
                      <w:color w:val="000000"/>
                    </w:rPr>
                    <w:t>水工程</w:t>
                  </w:r>
                </w:p>
                <w:p>
                  <w:pPr>
                    <w:pStyle w:val="null3"/>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铺砌厚度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合同段抽查不少于</w:t>
                  </w:r>
                  <w:r>
                    <w:rPr>
                      <w:rFonts w:ascii="仿宋_GB2312" w:hAnsi="仿宋_GB2312" w:cs="仿宋_GB2312" w:eastAsia="仿宋_GB2312"/>
                      <w:sz w:val="21"/>
                      <w:color w:val="000000"/>
                    </w:rPr>
                    <w:t>3处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断面尺寸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w:t>
                  </w:r>
                  <w:r>
                    <w:rPr>
                      <w:rFonts w:ascii="仿宋_GB2312" w:hAnsi="仿宋_GB2312" w:cs="仿宋_GB2312" w:eastAsia="仿宋_GB2312"/>
                      <w:sz w:val="21"/>
                      <w:color w:val="000000"/>
                    </w:rPr>
                    <w:t>2-3处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路面面层</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每处不少于</w:t>
                  </w:r>
                  <w:r>
                    <w:rPr>
                      <w:rFonts w:ascii="仿宋_GB2312" w:hAnsi="仿宋_GB2312" w:cs="仿宋_GB2312" w:eastAsia="仿宋_GB2312"/>
                      <w:sz w:val="21"/>
                      <w:color w:val="000000"/>
                    </w:rPr>
                    <w:t>1点</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连续检查，每公里为评定单元</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汉中市</w:t>
                  </w:r>
                  <w:r>
                    <w:rPr>
                      <w:rFonts w:ascii="仿宋_GB2312" w:hAnsi="仿宋_GB2312" w:cs="仿宋_GB2312" w:eastAsia="仿宋_GB2312"/>
                      <w:sz w:val="21"/>
                      <w:b/>
                      <w:color w:val="000000"/>
                    </w:rPr>
                    <w:t>2025年普通干线公路大中修及预防性养护工程</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路面面层</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弯沉</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连续检查，每公里为评定单元</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路面强度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每处不少于</w:t>
                  </w:r>
                  <w:r>
                    <w:rPr>
                      <w:rFonts w:ascii="仿宋_GB2312" w:hAnsi="仿宋_GB2312" w:cs="仿宋_GB2312" w:eastAsia="仿宋_GB2312"/>
                      <w:sz w:val="21"/>
                      <w:color w:val="000000"/>
                    </w:rPr>
                    <w:t>1点</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相邻板高差</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w:t>
                  </w:r>
                  <w:r>
                    <w:rPr>
                      <w:rFonts w:ascii="仿宋_GB2312" w:hAnsi="仿宋_GB2312" w:cs="仿宋_GB2312" w:eastAsia="仿宋_GB2312"/>
                      <w:sz w:val="21"/>
                      <w:color w:val="000000"/>
                    </w:rPr>
                    <w:t>1处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w:t>
                  </w:r>
                  <w:r>
                    <w:rPr>
                      <w:rFonts w:ascii="仿宋_GB2312" w:hAnsi="仿宋_GB2312" w:cs="仿宋_GB2312" w:eastAsia="仿宋_GB2312"/>
                      <w:sz w:val="21"/>
                      <w:color w:val="000000"/>
                    </w:rPr>
                    <w:t>1处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横板</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w:t>
                  </w:r>
                  <w:r>
                    <w:rPr>
                      <w:rFonts w:ascii="仿宋_GB2312" w:hAnsi="仿宋_GB2312" w:cs="仿宋_GB2312" w:eastAsia="仿宋_GB2312"/>
                      <w:sz w:val="21"/>
                      <w:color w:val="000000"/>
                    </w:rPr>
                    <w:t>1-2断面</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防护栏</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波形护栏立柱壁厚</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立柱埋入深度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横梁中心高度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断面尺寸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立柱竖直度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标志板净空</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标志板厚度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逆反射系数</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不少于总数</w:t>
                  </w:r>
                  <w:r>
                    <w:rPr>
                      <w:rFonts w:ascii="仿宋_GB2312" w:hAnsi="仿宋_GB2312" w:cs="仿宋_GB2312" w:eastAsia="仿宋_GB2312"/>
                      <w:sz w:val="21"/>
                      <w:color w:val="000000"/>
                    </w:rPr>
                    <w:t>10%</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标线</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逆反射系数</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每公里不少于一处</w:t>
                  </w:r>
                </w:p>
              </w:tc>
            </w:tr>
            <w:tr>
              <w:tc>
                <w:tcPr>
                  <w:tcW w:type="dxa" w:w="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汉中市</w:t>
                  </w:r>
                  <w:r>
                    <w:rPr>
                      <w:rFonts w:ascii="仿宋_GB2312" w:hAnsi="仿宋_GB2312" w:cs="仿宋_GB2312" w:eastAsia="仿宋_GB2312"/>
                      <w:sz w:val="21"/>
                      <w:b/>
                      <w:color w:val="000000"/>
                    </w:rPr>
                    <w:t>2025年普通干线公路大中修及预防性养护工程</w:t>
                  </w: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桥梁上部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墩台混凝土强度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每个墩台不少于</w:t>
                  </w:r>
                  <w:r>
                    <w:rPr>
                      <w:rFonts w:ascii="仿宋_GB2312" w:hAnsi="仿宋_GB2312" w:cs="仿宋_GB2312" w:eastAsia="仿宋_GB2312"/>
                      <w:sz w:val="21"/>
                      <w:color w:val="000000"/>
                    </w:rPr>
                    <w:t>2个测区</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主要结构尺寸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每个墩台不少于</w:t>
                  </w:r>
                  <w:r>
                    <w:rPr>
                      <w:rFonts w:ascii="仿宋_GB2312" w:hAnsi="仿宋_GB2312" w:cs="仿宋_GB2312" w:eastAsia="仿宋_GB2312"/>
                      <w:sz w:val="21"/>
                      <w:color w:val="000000"/>
                    </w:rPr>
                    <w:t>2点</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钢筋保护层厚度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每个墩台</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4处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墩台垂直度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每个墩台</w:t>
                  </w:r>
                  <w:r>
                    <w:rPr>
                      <w:rFonts w:ascii="仿宋_GB2312" w:hAnsi="仿宋_GB2312" w:cs="仿宋_GB2312" w:eastAsia="仿宋_GB2312"/>
                      <w:sz w:val="21"/>
                      <w:color w:val="000000"/>
                    </w:rPr>
                    <w:t>两个方向</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桥梁下部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混凝土强度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抽查承重构件，不少于</w:t>
                  </w:r>
                  <w:r>
                    <w:rPr>
                      <w:rFonts w:ascii="仿宋_GB2312" w:hAnsi="仿宋_GB2312" w:cs="仿宋_GB2312" w:eastAsia="仿宋_GB2312"/>
                      <w:sz w:val="21"/>
                      <w:color w:val="000000"/>
                    </w:rPr>
                    <w:t>10个测区</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主要结构尺寸</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每座桥</w:t>
                  </w:r>
                  <w:r>
                    <w:rPr>
                      <w:rFonts w:ascii="仿宋_GB2312" w:hAnsi="仿宋_GB2312" w:cs="仿宋_GB2312" w:eastAsia="仿宋_GB2312"/>
                      <w:sz w:val="21"/>
                      <w:color w:val="000000"/>
                    </w:rPr>
                    <w:t>10-20点</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钢筋保护层厚度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每孔</w:t>
                  </w:r>
                  <w:r>
                    <w:rPr>
                      <w:rFonts w:ascii="仿宋_GB2312" w:hAnsi="仿宋_GB2312" w:cs="仿宋_GB2312" w:eastAsia="仿宋_GB2312"/>
                      <w:sz w:val="21"/>
                      <w:color w:val="000000"/>
                    </w:rPr>
                    <w:t>2-4处</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桥面系</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桥面铺装平整度</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&gt;100米分车道连续检测，不足100米时3米直尺测3处，每处3尺</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100米不少于3个断面</w:t>
                  </w:r>
                </w:p>
              </w:tc>
            </w:tr>
            <w:tr>
              <w:tc>
                <w:tcPr>
                  <w:tcW w:type="dxa" w:w="158"/>
                  <w:vMerge/>
                  <w:tcBorders>
                    <w:top w:val="none" w:color="000000" w:sz="4"/>
                    <w:left w:val="single" w:color="000000" w:sz="4"/>
                    <w:bottom w:val="single" w:color="000000" w:sz="4"/>
                    <w:right w:val="single" w:color="000000" w:sz="4"/>
                  </w:tcBorders>
                </w:tcPr>
                <w:p/>
              </w:tc>
              <w:tc>
                <w:tcPr>
                  <w:tcW w:type="dxa" w:w="417"/>
                  <w:vMerge/>
                  <w:tcBorders>
                    <w:top w:val="none" w:color="000000" w:sz="4"/>
                    <w:left w:val="single" w:color="000000" w:sz="4"/>
                    <w:bottom w:val="single" w:color="000000" w:sz="4"/>
                    <w:right w:val="single" w:color="000000" w:sz="4"/>
                  </w:tcBorders>
                </w:tcPr>
                <w:p/>
              </w:tc>
              <w:tc>
                <w:tcPr>
                  <w:tcW w:type="dxa" w:w="333"/>
                  <w:vMerge/>
                  <w:tcBorders>
                    <w:top w:val="none" w:color="000000" w:sz="4"/>
                    <w:left w:val="single" w:color="000000" w:sz="4"/>
                    <w:bottom w:val="single" w:color="000000" w:sz="4"/>
                    <w:right w:val="single" w:color="000000" w:sz="4"/>
                  </w:tcBorders>
                </w:tc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桥面抗滑</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200米不于于3处</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为保证本项目顺利实施，响应供应商应满足国家相关法律法规要求，配备具有相关专业的技术人员，需满足采购需求要求。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为保证本项目的顺利实施，响应供应商应满足国家相关法律法规的要求，需保证所涉及本项目检测设备设施来源渠道合法，配置参数达到相应的标准要求。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合同签订后竣工验收完成止。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汉中市境内（采购人指定地点）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符合公路工程技术标准、规范、规程及国家有关部门的相关规定。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进度款，竣工验收检测工作完成并通过验收后，达到付款条件起30个工作日内，支付合同总金额的70.0%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供应商或磋商响应文件存在下列情况之一的为无效投标：1．供应商名称与注册证照名称不符的；2．不具备磋商文件规定的资格条件或证明材料无效或不全的； 3．无投标有效期或投标有效期不足的； 4．执行标准明显低于采购需求的；5．不能实质性响应磋商文件采购内容的；6．报价明显低于其他合格投标供应商的报价，并在现场规定的时间内不能提供有效证明材料且经磋商小组认定形成不正当竞争的；7．提供虚假证明，开具虚假资质，出现虚假应答或故意隐瞒行为的，除按无效投标处理外还按政府采购相关规定进行相应的处罚；8．不符合法律、法规和磋商文件规定的其他无效情形。三、成交供应商在领取成交通知书时，须提交纸质磋商响应文件正本壹份、副本贰份、电子版壹份（U盘壹份注明单位名称），内容和通过电子化交易平台提交的磋商响应文件一致；纸质投标文件正副本分别胶装成册，采用双面打印。四、采用电子保函提交投标保证金的，须在投标响应文件提交截止时间前将电子保函发送至邮箱3059244200@qq.com，代理机构收到保函后将由财务处出具保函接收凭证。五、服务方案评审赋分依据：1、方案完整、针对性强、可实施性高：方案能够完全切合本项目实际情况，工作流程完善，实施步骤清晰，科学合理，可操作性强。2、方案基本完整、具有一定的针对性、可实施性：方案结构基本完整，能切合本项实际情况，针对项目关键环节及服务要求针对性、可实施性较强。3、方案完整性较为全面、针对性、可实施性差：方案结构主体完整，多数内容能够切合本项目实际情况，但存在至少一处表述模糊、难以执行或不够科学合理、不适用本项目实际的内容。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六、本文件中投标人也称供应商，采购文件也称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供应商须具备交通运输主管部门颁发的公路工程乙级及以上（含乙级）检测资质。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供应商应授权合法的人员参加投标全过程，其中法定代表人直接参加投标的，须出具法定代表人证明书及其身份证；法定代表人授权代表参加投标的，须出具法定代表人有效的授权书及被授权代表身份证。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供应商应按格式/模板填写供应商名称，应与营业执照、公章一致。</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供应商应提交的相关资格证明材料.docx 商务应答表 标的清单 服务内容及服务要求应答表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供应商应提交的相关资格证明材料.docx 商务应答表 服务方案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供应商提供本项目总体服务方案，包括①服务目标②管理理念③重难点分析及保障措施④项目进驻及筹备程序。 二、评审标准（每一项） （1）方案完整、针对性强、可实施性高，得3分。 （2）方案基本完整、具有一定的针对性、可实施性，得2分。 （3）方案完整性较为全面、针对性、可实施性差，得1分。 （4）缺乏针对性、可实施性、完整性，得0—1分。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针对本项目制定的质量检测工作技术方案，包括①工作部署②细化工作方法③具体检查方法④组织方案⑤服务措施。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制定具体的项目实施方案，包含①项目组织机构②项目管理制度与实施管理要点③工作阶段划分、工作程序和工作量进度安排与保障措施，有详细的进度计划表或示意图④人员配置方案与职责分工⑤拟投入本项目的检测仪器及设备⑥数据安全保密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拟投入本项目的主要检测设备表.docx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供应商针对本项目制定具体的质量保证措施，包含①建立质量控制体系②内控制度：服务质量监督考核办法、奖惩制定、问责机制工作制度完备③保障措施。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供应商提供自2023年1月1日以来，具有类似项目检测服务业绩，每有一项得2.5分，最高得5分，未提供不得分。 评审依据：以供应商提供的类似业绩合同协议书或成果文件扫描件并加盖单位公章为准，时间以合签订时间或成果文件时间为准。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1、拟派项目负责人持有交通部试验检测师证书得4分； 2、拟派项目负责人具有公路工程或检测相关专业中级工程师职称得2分，高级工程师职称得4分； 3、拟派项目负责人具有类似项目管理经验（2023年至今担任过类似检测项目的项目负责人），每有一项得2分，最高得4分，不提供的不得分； 评审依据：以供应商提供的项目负责人证书、类似业绩合同协议书或成果文件扫描件并加盖单位公章为准，管理经验时间以合签订时间或成果文件时间为准。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其他专业技术人员</w:t>
            </w:r>
          </w:p>
        </w:tc>
        <w:tc>
          <w:tcPr>
            <w:tcW w:type="dxa" w:w="2492"/>
          </w:tcPr>
          <w:p>
            <w:pPr>
              <w:pStyle w:val="null3"/>
            </w:pPr>
            <w:r>
              <w:rPr>
                <w:rFonts w:ascii="仿宋_GB2312" w:hAnsi="仿宋_GB2312" w:cs="仿宋_GB2312" w:eastAsia="仿宋_GB2312"/>
              </w:rPr>
              <w:t>拟派的其他专业技术人员（包括但不限于：技术负责人、质量负责人、道路工程试验检测师等）具备相关专业中级及以上技术职称或交通部试验检测师证书，每提供一人4分，本项最多得24分。 评审依据：以供应商提供的技术人员职称证书或试验检测师证书扫描件并加盖单位公章为准。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1、承诺：上岗人员固定，按磋商响应文件人员清单配备落实，不随意更换，若出现人员因事、病等不能工作的，及时调整人员补充，确保检测工作正常进行，得3分，无承诺不得分。 2、承诺：储备可调度人员，调度人员能够保障临时性工作需要及处置突发事件，得3分，无承诺不得分。 3、承诺：磋商响应文件中提供的主要检测设备落实到位，所有仪器设备均须由法定计量检定机构完成检定/校准，且全部处于检定校准有效期限内，得3分，无承诺不得分。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价格分统一采用低价优先法得算，即满足磋商文件要求且最后报价最低的报价为评标基准价，其价格分为满分。其他投标供应商的价格分统一按照下列公式得算： 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详见附件：项目团队人员情况表.docx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详见附件：拟投入本项目的主要检测设备表.docx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详见附件：检测服务合同.docx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