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版本号：GC2026CCCG052820260612002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中医医院聘请第三方保洁服务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GC2026CCCG0528</w:t>
      </w:r>
      <w:r>
        <w:br/>
      </w:r>
      <w:r>
        <w:br/>
      </w:r>
      <w:r>
        <w:br/>
      </w:r>
    </w:p>
    <w:p>
      <w:pPr>
        <w:pStyle w:val="null3"/>
        <w:jc w:val="center"/>
        <w:outlineLvl w:val="2"/>
      </w:pPr>
      <w:r>
        <w:rPr>
          <w:rFonts w:ascii="仿宋_GB2312" w:hAnsi="仿宋_GB2312" w:cs="仿宋_GB2312" w:eastAsia="仿宋_GB2312"/>
          <w:sz w:val="28"/>
          <w:b/>
        </w:rPr>
        <w:t>城固县中医医院</w:t>
      </w:r>
    </w:p>
    <w:p>
      <w:pPr>
        <w:pStyle w:val="null3"/>
        <w:jc w:val="center"/>
        <w:outlineLvl w:val="2"/>
      </w:pPr>
      <w:r>
        <w:rPr>
          <w:rFonts w:ascii="仿宋_GB2312" w:hAnsi="仿宋_GB2312" w:cs="仿宋_GB2312" w:eastAsia="仿宋_GB2312"/>
          <w:sz w:val="28"/>
          <w:b/>
        </w:rPr>
        <w:t>陕西华城建设项目管理有限公司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陕西华城建设项目管理有限公司</w:t>
      </w:r>
      <w:r>
        <w:rPr>
          <w:rFonts w:ascii="仿宋_GB2312" w:hAnsi="仿宋_GB2312" w:cs="仿宋_GB2312" w:eastAsia="仿宋_GB2312"/>
        </w:rPr>
        <w:t>（以下简称“代理机构”）受</w:t>
      </w:r>
      <w:r>
        <w:rPr>
          <w:rFonts w:ascii="仿宋_GB2312" w:hAnsi="仿宋_GB2312" w:cs="仿宋_GB2312" w:eastAsia="仿宋_GB2312"/>
        </w:rPr>
        <w:t>城固县中医医院</w:t>
      </w:r>
      <w:r>
        <w:rPr>
          <w:rFonts w:ascii="仿宋_GB2312" w:hAnsi="仿宋_GB2312" w:cs="仿宋_GB2312" w:eastAsia="仿宋_GB2312"/>
        </w:rPr>
        <w:t>委托，拟对</w:t>
      </w:r>
      <w:r>
        <w:rPr>
          <w:rFonts w:ascii="仿宋_GB2312" w:hAnsi="仿宋_GB2312" w:cs="仿宋_GB2312" w:eastAsia="仿宋_GB2312"/>
        </w:rPr>
        <w:t>中医医院聘请第三方保洁服务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GC2026CCCG0528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中医医院聘请第三方保洁服务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为确保我院环境整洁卫生，为患者、家属及医护人员创造一个清洁、舒适的就医和工作环境。需配备保洁人员32名， 为确保人员体能适配保洁工作强度， 团队平均年龄不高于60岁， 最大年龄不超过63岁， 60岁（含） 以下团队人员占比不低于80%。</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采购包1（中医医院聘请第三方保洁服务）：属于专门面向中小企业采购。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具有独立承担民事责任的能力且具备向采购人提供相关服务的企业法人，其他组织或者自然人，企业法人应提供统一社会信用代码的营业执照:其他组织应提供合法证明文件;自然人应提供身份证明文件：提供合格有效的法人或者其他组织的营业执照、事业单位法人证等证明文件或自然人的身份证明</w:t>
      </w:r>
    </w:p>
    <w:p>
      <w:pPr>
        <w:pStyle w:val="null3"/>
      </w:pPr>
      <w:r>
        <w:rPr>
          <w:rFonts w:ascii="仿宋_GB2312" w:hAnsi="仿宋_GB2312" w:cs="仿宋_GB2312" w:eastAsia="仿宋_GB2312"/>
        </w:rPr>
        <w:t>2、法定代表人直接参加磋商的，须出具法人身份证(附法定代表人身份证复印件);法定代表人授权代表参加磋商的，须出具法定代表人授权书及授权代表身份证(附法走代表人身份证复印件及被授权人身份证复印件)：法定代表人直接参加磋商的，须出具法人身份证(附法定代表人身份证复印件);法定代表人授权代表参加磋商的，须出具法定代表人授权书及授权代表身份证(附法走代表人身份证复印件及被授权人身份证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4、本项目不接受联合体磋商，供应商应提供《非联合体声明》：供应商应提供《非联合体声明》</w:t>
      </w:r>
    </w:p>
    <w:p>
      <w:pPr>
        <w:pStyle w:val="null3"/>
      </w:pPr>
      <w:r>
        <w:rPr>
          <w:rFonts w:ascii="仿宋_GB2312" w:hAnsi="仿宋_GB2312" w:cs="仿宋_GB2312" w:eastAsia="仿宋_GB2312"/>
        </w:rPr>
        <w:t>5、信用记录：供应商不得为“信用中国”网站中列入失信被执行 人和重大税收违法失信主体， 不得为“中国政府采 购网”政府采购严重违法失信行为记录名单中被财 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城固县城108国道44号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13571652019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汉中市汉台区天汉大道钟楼商业办公联建楼六楼606号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0916-2259998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开户名称：陕西华城建设项目管理有限公司</w:t>
            </w:r>
          </w:p>
          <w:p>
            <w:pPr>
              <w:pStyle w:val="null3"/>
            </w:pPr>
            <w:r>
              <w:rPr>
                <w:rFonts w:ascii="仿宋_GB2312" w:hAnsi="仿宋_GB2312" w:cs="仿宋_GB2312" w:eastAsia="仿宋_GB2312"/>
              </w:rPr>
              <w:t>开户银行：中国工商银行汉中市中山街支行</w:t>
            </w:r>
          </w:p>
          <w:p>
            <w:pPr>
              <w:pStyle w:val="null3"/>
            </w:pPr>
            <w:r>
              <w:rPr>
                <w:rFonts w:ascii="仿宋_GB2312" w:hAnsi="仿宋_GB2312" w:cs="仿宋_GB2312" w:eastAsia="仿宋_GB2312"/>
              </w:rPr>
              <w:t>银行账号：2606050209245102397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城固县中医医院</w:t>
      </w:r>
      <w:r>
        <w:rPr>
          <w:rFonts w:ascii="仿宋_GB2312" w:hAnsi="仿宋_GB2312" w:cs="仿宋_GB2312" w:eastAsia="仿宋_GB2312"/>
        </w:rPr>
        <w:t>和</w:t>
      </w:r>
      <w:r>
        <w:rPr>
          <w:rFonts w:ascii="仿宋_GB2312" w:hAnsi="仿宋_GB2312" w:cs="仿宋_GB2312" w:eastAsia="仿宋_GB2312"/>
        </w:rPr>
        <w:t>陕西华城建设项目管理有限公司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联系人：张燚</w:t>
      </w:r>
    </w:p>
    <w:p>
      <w:pPr>
        <w:pStyle w:val="null3"/>
      </w:pPr>
      <w:r>
        <w:rPr>
          <w:rFonts w:ascii="仿宋_GB2312" w:hAnsi="仿宋_GB2312" w:cs="仿宋_GB2312" w:eastAsia="仿宋_GB2312"/>
        </w:rPr>
        <w:t>联系电话：0916-2259998</w:t>
      </w:r>
    </w:p>
    <w:p>
      <w:pPr>
        <w:pStyle w:val="null3"/>
      </w:pPr>
      <w:r>
        <w:rPr>
          <w:rFonts w:ascii="仿宋_GB2312" w:hAnsi="仿宋_GB2312" w:cs="仿宋_GB2312" w:eastAsia="仿宋_GB2312"/>
        </w:rPr>
        <w:t>地址：汉台区天汉大道钟楼商业办公联建楼六楼606号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（一）服务覆盖区域 医院（含院本部、医养中心、精神卫生分院）门诊楼、住院楼、医技楼、感染楼、行政综合楼、公共走廊、卫生间、电梯轿厢、医院前后院、地下室、制氧中心外围等院区道路及绿化带等全院内外各个区域卫生。 （二）服务内容 1、日常基础保洁：地面清扫、拖洗、除尘；墙面、门窗、扶手、标识牌等物体表面擦拭；垃圾收集、分类转运至医院指定地点；公共区域日常巡检与杂物清理。 2、医疗环境消毒：严格遵循《医疗机构消毒技术规范》，对高频接触部位（门把手、电梯按钮、病床扶手等）、卫生间、病区等开展标准化消毒，做好消毒记录。 3、专项清洁服务：节假日及医院重大活动期间的专项保洁保障，特殊区域（如感染科外围、手术室周边）差异化深度清洁，院区外立面、地下室等定期专项清理。 4、应急处置服务：负责血液、体液、呕吐物等突发污染事件的标准化处置，配合医院感染控制科完成污染区域终末消毒。</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950000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br/>
            </w:r>
          </w:p>
          <w:tbl>
            <w:tblPr>
              <w:tblBorders>
                <w:top w:val="single"/>
                <w:left w:val="single"/>
                <w:bottom w:val="single"/>
                <w:right w:val="single"/>
                <w:insideH w:val="single"/>
                <w:insideV w:val="single"/>
              </w:tblBorders>
            </w:tblPr>
            <w:tblGrid>
              <w:gridCol w:w="361"/>
              <w:gridCol w:w="167"/>
              <w:gridCol w:w="2020"/>
            </w:tblGrid>
            <w:tr>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科室</w:t>
                  </w:r>
                </w:p>
              </w:tc>
              <w:tc>
                <w:tcPr>
                  <w:tcW w:type="dxa" w:w="167"/>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配备</w:t>
                  </w:r>
                  <w:r>
                    <w:br/>
                  </w:r>
                  <w:r>
                    <w:rPr>
                      <w:rFonts w:ascii="仿宋_GB2312" w:hAnsi="仿宋_GB2312" w:cs="仿宋_GB2312" w:eastAsia="仿宋_GB2312"/>
                      <w:sz w:val="22"/>
                      <w:b/>
                      <w:color w:val="000000"/>
                    </w:rPr>
                    <w:t xml:space="preserve"> 人数</w:t>
                  </w:r>
                </w:p>
              </w:tc>
              <w:tc>
                <w:tcPr>
                  <w:tcW w:type="dxa" w:w="2020"/>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保 洁 区 域</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门诊一</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号楼一楼：门诊大厅、楼道、卫生间、大院、窗户、大门口、电梯、一号楼外围、电梯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门诊二</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号楼二楼：上下楼梯二层、楼道、窗户等卫生间、中医馆、上下楼梯、中医管会议室、电梯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公共区域1-2层</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公共卫生间、开水房、送检，副楼梯上下楼梯二层、氧气房院内、电梯、二号楼外围、放射科</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公共区域3-4层</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公共卫生间、开水房、送检、副楼梯上下楼梯二层、电梯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功能科、检验科</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号楼三、四楼：楼道、卫生间、上下楼梯二层、窗户、电梯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血透净化中心</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号楼</w:t>
                  </w:r>
                  <w:r>
                    <w:rPr>
                      <w:rFonts w:ascii="仿宋_GB2312" w:hAnsi="仿宋_GB2312" w:cs="仿宋_GB2312" w:eastAsia="仿宋_GB2312"/>
                      <w:sz w:val="20"/>
                      <w:color w:val="000000"/>
                    </w:rPr>
                    <w:t>5</w:t>
                  </w:r>
                  <w:r>
                    <w:rPr>
                      <w:rFonts w:ascii="仿宋_GB2312" w:hAnsi="仿宋_GB2312" w:cs="仿宋_GB2312" w:eastAsia="仿宋_GB2312"/>
                      <w:sz w:val="20"/>
                      <w:color w:val="000000"/>
                    </w:rPr>
                    <w:t>楼：楼道、卫生间、待诊室、透析室、上下楼梯二层、窗户、电梯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健康管理中心</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号楼</w:t>
                  </w:r>
                  <w:r>
                    <w:rPr>
                      <w:rFonts w:ascii="仿宋_GB2312" w:hAnsi="仿宋_GB2312" w:cs="仿宋_GB2312" w:eastAsia="仿宋_GB2312"/>
                      <w:sz w:val="20"/>
                      <w:color w:val="000000"/>
                    </w:rPr>
                    <w:t>6</w:t>
                  </w:r>
                  <w:r>
                    <w:rPr>
                      <w:rFonts w:ascii="仿宋_GB2312" w:hAnsi="仿宋_GB2312" w:cs="仿宋_GB2312" w:eastAsia="仿宋_GB2312"/>
                      <w:sz w:val="20"/>
                      <w:color w:val="000000"/>
                    </w:rPr>
                    <w:t>楼：楼道、上下楼梯二层、窗户、卫生间、公共区域卫生、电梯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肺病科</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号楼二楼：楼道、病房、窗户、上下楼梯二层、卫生间、电梯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脾胃科</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号楼</w:t>
                  </w:r>
                  <w:r>
                    <w:rPr>
                      <w:rFonts w:ascii="仿宋_GB2312" w:hAnsi="仿宋_GB2312" w:cs="仿宋_GB2312" w:eastAsia="仿宋_GB2312"/>
                      <w:sz w:val="20"/>
                      <w:color w:val="000000"/>
                    </w:rPr>
                    <w:t>3</w:t>
                  </w:r>
                  <w:r>
                    <w:rPr>
                      <w:rFonts w:ascii="仿宋_GB2312" w:hAnsi="仿宋_GB2312" w:cs="仿宋_GB2312" w:eastAsia="仿宋_GB2312"/>
                      <w:sz w:val="20"/>
                      <w:color w:val="000000"/>
                    </w:rPr>
                    <w:t>楼：楼道、病房、上下楼梯二层、卫生间、窗户、电梯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风湿老年病科</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号楼</w:t>
                  </w:r>
                  <w:r>
                    <w:rPr>
                      <w:rFonts w:ascii="仿宋_GB2312" w:hAnsi="仿宋_GB2312" w:cs="仿宋_GB2312" w:eastAsia="仿宋_GB2312"/>
                      <w:sz w:val="20"/>
                      <w:color w:val="000000"/>
                    </w:rPr>
                    <w:t>4</w:t>
                  </w:r>
                  <w:r>
                    <w:rPr>
                      <w:rFonts w:ascii="仿宋_GB2312" w:hAnsi="仿宋_GB2312" w:cs="仿宋_GB2312" w:eastAsia="仿宋_GB2312"/>
                      <w:sz w:val="20"/>
                      <w:color w:val="000000"/>
                    </w:rPr>
                    <w:t>楼：楼道、病房、上下楼梯二层、卫生间、窗户、电梯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肾内分泌病科</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号楼</w:t>
                  </w:r>
                  <w:r>
                    <w:rPr>
                      <w:rFonts w:ascii="仿宋_GB2312" w:hAnsi="仿宋_GB2312" w:cs="仿宋_GB2312" w:eastAsia="仿宋_GB2312"/>
                      <w:sz w:val="20"/>
                      <w:color w:val="000000"/>
                    </w:rPr>
                    <w:t>5</w:t>
                  </w:r>
                  <w:r>
                    <w:rPr>
                      <w:rFonts w:ascii="仿宋_GB2312" w:hAnsi="仿宋_GB2312" w:cs="仿宋_GB2312" w:eastAsia="仿宋_GB2312"/>
                      <w:sz w:val="20"/>
                      <w:color w:val="000000"/>
                    </w:rPr>
                    <w:t>楼：楼道、病房、上下楼梯二层、卫生间、窗户、电梯、公共厕所</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手术麻醉科</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号楼六楼：楼道、病房、上下楼梯二层、卫生间、窗户、电梯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妇产科</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号楼一楼：楼道、病房、卫生间、产房、窗户、原急诊科大厅、电梯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心血管科</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号楼二楼：楼道、病房、上下楼梯、小卫生间、电梯、窗户、重病室、电梯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外科</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号楼三楼：楼道、病房、上下楼梯二层、小卫生间、窗户、电梯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骨伤科</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号楼四楼：楼道、病房、上下楼梯二层、小卫生间、信息科室外楼梯及平台、电梯、窗户</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针灸推拿科</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号楼二楼：楼道、病房、上下楼梯二层、卫生间、窗户、电梯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眼鼻喉科</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号楼四楼：楼道、病房、上下楼梯二层、卫生间、电梯、窗户</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急诊科</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4号楼三楼、急诊科、外院</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感染楼</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感染楼、上下楼梯、窗户、供应室外院、替补晚班时间公共区域巡查工作（7；00-9；00）</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综合楼1-3层</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综合楼1-3楼楼道、针灸科门诊、口腔科等</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综合楼4-5层</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综合楼4-5楼所有公共区域卫生、会议室</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预防接种</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预防接种门诊、药械科楼道及厕所、从业人员体检中心、总务科</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精神科一病区</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楼道、病房、上下楼梯二层、卫生间、窗户、前后院、前院通往三病区的道路、公厕、澡堂</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精神科二病区</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楼道、病房、上下楼梯二层、卫生间、窗户、前后院、前院通往三病区的道路、公厕、澡堂</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精神科三病区</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楼道、病房、卫生间、窗户、院内、前院通往三病区的道路、公厕、澡堂</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精神科四病区</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楼道、病房、上下楼梯二层、卫生间、窗户、院内、前院通往三病区的道路、公厕、澡堂</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医疗楼区域</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院子、各楼层过道、楼梯、公共卫生间、二楼的病房、电梯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养老楼区域</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1-5层的楼层过道、楼梯公共卫生间、电梯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办公楼区域</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1-3层楼层过道、楼梯  公共卫生间、二楼老人活动中心、院子</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外围</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楼梯 、 公共卫生间、老人活动中心、前后院子、电梯</w:t>
                  </w:r>
                </w:p>
              </w:tc>
            </w:tr>
            <w:tr>
              <w:tc>
                <w:tcPr>
                  <w:tcW w:type="dxa" w:w="36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合计</w:t>
                  </w:r>
                </w:p>
              </w:tc>
              <w:tc>
                <w:tcPr>
                  <w:tcW w:type="dxa" w:w="16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202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　</w:t>
                  </w:r>
                </w:p>
              </w:tc>
            </w:tr>
            <w:tr>
              <w:tc>
                <w:tcPr>
                  <w:tcW w:type="dxa" w:w="2548"/>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000000"/>
                    </w:rPr>
                    <w:t xml:space="preserve"> 备注：1、病区保洁每天收、铺床，每天下午2：30接送床单、被罩及工作服</w:t>
                  </w:r>
                  <w:r>
                    <w:br/>
                  </w:r>
                  <w:r>
                    <w:rPr>
                      <w:rFonts w:ascii="仿宋_GB2312" w:hAnsi="仿宋_GB2312" w:cs="仿宋_GB2312" w:eastAsia="仿宋_GB2312"/>
                      <w:sz w:val="22"/>
                      <w:color w:val="000000"/>
                    </w:rPr>
                    <w:t xml:space="preserve"> 2、保洁所需的工具、设备、耗材、人工、培训、服装及健康体检等一切费用由供应商自行解决。</w:t>
                  </w:r>
                  <w:r>
                    <w:br/>
                  </w:r>
                  <w:r>
                    <w:rPr>
                      <w:rFonts w:ascii="仿宋_GB2312" w:hAnsi="仿宋_GB2312" w:cs="仿宋_GB2312" w:eastAsia="仿宋_GB2312"/>
                      <w:sz w:val="22"/>
                      <w:color w:val="000000"/>
                    </w:rPr>
                    <w:t xml:space="preserve"> 3、承包方须及时有效打扫院内、院外、以及楼顶等所有区域的卫生，完成保洁任务，保证各病区环境清洁、干净。</w:t>
                  </w:r>
                  <w:r>
                    <w:br/>
                  </w:r>
                  <w:r>
                    <w:rPr>
                      <w:rFonts w:ascii="仿宋_GB2312" w:hAnsi="仿宋_GB2312" w:cs="仿宋_GB2312" w:eastAsia="仿宋_GB2312"/>
                      <w:sz w:val="22"/>
                      <w:color w:val="000000"/>
                    </w:rPr>
                    <w:t xml:space="preserve"> 4、所使用的保洁材料，必须在正规生产厂家购置，杜绝使用低质伪劣、三无产品。</w:t>
                  </w:r>
                  <w:r>
                    <w:br/>
                  </w:r>
                  <w:r>
                    <w:rPr>
                      <w:rFonts w:ascii="仿宋_GB2312" w:hAnsi="仿宋_GB2312" w:cs="仿宋_GB2312" w:eastAsia="仿宋_GB2312"/>
                      <w:sz w:val="22"/>
                      <w:color w:val="000000"/>
                    </w:rPr>
                    <w:t xml:space="preserve"> 5、严格遵守医院制度和管理规范做好保洁工作，服务质量达标。</w:t>
                  </w:r>
                  <w:r>
                    <w:br/>
                  </w:r>
                  <w:r>
                    <w:rPr>
                      <w:rFonts w:ascii="仿宋_GB2312" w:hAnsi="仿宋_GB2312" w:cs="仿宋_GB2312" w:eastAsia="仿宋_GB2312"/>
                      <w:sz w:val="22"/>
                      <w:color w:val="000000"/>
                    </w:rPr>
                    <w:t xml:space="preserve"> 6、制定严格的库房物资管理制度，保证物资充足。库房物资管理制度如下：</w:t>
                  </w:r>
                  <w:r>
                    <w:br/>
                  </w:r>
                  <w:r>
                    <w:rPr>
                      <w:rFonts w:ascii="仿宋_GB2312" w:hAnsi="仿宋_GB2312" w:cs="仿宋_GB2312" w:eastAsia="仿宋_GB2312"/>
                      <w:sz w:val="22"/>
                      <w:color w:val="000000"/>
                    </w:rPr>
                    <w:t xml:space="preserve"> ①送床单被套（计数计量）</w:t>
                  </w:r>
                  <w:r>
                    <w:br/>
                  </w:r>
                  <w:r>
                    <w:rPr>
                      <w:rFonts w:ascii="仿宋_GB2312" w:hAnsi="仿宋_GB2312" w:cs="仿宋_GB2312" w:eastAsia="仿宋_GB2312"/>
                      <w:sz w:val="22"/>
                      <w:color w:val="000000"/>
                    </w:rPr>
                    <w:t xml:space="preserve"> ②消毒记录</w:t>
                  </w:r>
                  <w:r>
                    <w:br/>
                  </w:r>
                  <w:r>
                    <w:rPr>
                      <w:rFonts w:ascii="仿宋_GB2312" w:hAnsi="仿宋_GB2312" w:cs="仿宋_GB2312" w:eastAsia="仿宋_GB2312"/>
                      <w:sz w:val="22"/>
                      <w:color w:val="000000"/>
                    </w:rPr>
                    <w:t xml:space="preserve"> ③每天紫外线灯消毒</w:t>
                  </w:r>
                  <w:r>
                    <w:br/>
                  </w:r>
                  <w:r>
                    <w:rPr>
                      <w:rFonts w:ascii="仿宋_GB2312" w:hAnsi="仿宋_GB2312" w:cs="仿宋_GB2312" w:eastAsia="仿宋_GB2312"/>
                      <w:sz w:val="22"/>
                      <w:color w:val="000000"/>
                    </w:rPr>
                    <w:t xml:space="preserve"> ④病区电壶发放</w:t>
                  </w:r>
                  <w:r>
                    <w:br/>
                  </w:r>
                  <w:r>
                    <w:rPr>
                      <w:rFonts w:ascii="仿宋_GB2312" w:hAnsi="仿宋_GB2312" w:cs="仿宋_GB2312" w:eastAsia="仿宋_GB2312"/>
                      <w:sz w:val="22"/>
                      <w:color w:val="000000"/>
                    </w:rPr>
                    <w:t xml:space="preserve">                                                        </w:t>
                  </w:r>
                </w:p>
              </w:tc>
            </w:tr>
            <w:tr>
              <w:tc>
                <w:tcPr>
                  <w:tcW w:type="dxa" w:w="2548"/>
                  <w:gridSpan w:val="3"/>
                  <w:vMerge/>
                  <w:tcBorders>
                    <w:top w:val="none" w:color="000000" w:sz="4"/>
                    <w:left w:val="none" w:color="000000" w:sz="4"/>
                    <w:bottom w:val="none" w:color="000000" w:sz="4"/>
                    <w:right w:val="none" w:color="000000" w:sz="4"/>
                  </w:tcBorders>
                </w:tcPr>
                <w:p/>
              </w:tc>
            </w:tr>
            <w:tr>
              <w:tc>
                <w:tcPr>
                  <w:tcW w:type="dxa" w:w="2548"/>
                  <w:gridSpan w:val="3"/>
                  <w:vMerge/>
                  <w:tcBorders>
                    <w:top w:val="none" w:color="000000" w:sz="4"/>
                    <w:left w:val="none" w:color="000000" w:sz="4"/>
                    <w:bottom w:val="none" w:color="000000" w:sz="4"/>
                    <w:right w:val="none" w:color="000000" w:sz="4"/>
                  </w:tcBorders>
                </w:tcPr>
                <w:p/>
              </w:tc>
            </w:tr>
            <w:tr>
              <w:tc>
                <w:tcPr>
                  <w:tcW w:type="dxa" w:w="2548"/>
                  <w:gridSpan w:val="3"/>
                  <w:vMerge/>
                  <w:tcBorders>
                    <w:top w:val="none" w:color="000000" w:sz="4"/>
                    <w:left w:val="none" w:color="000000" w:sz="4"/>
                    <w:bottom w:val="none" w:color="000000" w:sz="4"/>
                    <w:right w:val="none" w:color="000000" w:sz="4"/>
                  </w:tcBorders>
                </w:tcPr>
                <w:p/>
              </w:tc>
            </w:tr>
            <w:tr>
              <w:tc>
                <w:tcPr>
                  <w:tcW w:type="dxa" w:w="2548"/>
                  <w:gridSpan w:val="3"/>
                  <w:vMerge/>
                  <w:tcBorders>
                    <w:top w:val="none" w:color="000000" w:sz="4"/>
                    <w:left w:val="none" w:color="000000" w:sz="4"/>
                    <w:bottom w:val="none" w:color="000000" w:sz="4"/>
                    <w:right w:val="none" w:color="000000" w:sz="4"/>
                  </w:tcBorders>
                </w:tcPr>
                <w:p/>
              </w:tc>
            </w:tr>
            <w:tr>
              <w:tc>
                <w:tcPr>
                  <w:tcW w:type="dxa" w:w="2548"/>
                  <w:gridSpan w:val="3"/>
                  <w:vMerge/>
                  <w:tcBorders>
                    <w:top w:val="none" w:color="000000" w:sz="4"/>
                    <w:left w:val="none" w:color="000000" w:sz="4"/>
                    <w:bottom w:val="none" w:color="000000" w:sz="4"/>
                    <w:right w:val="none" w:color="000000" w:sz="4"/>
                  </w:tcBorders>
                </w:tcPr>
                <w:p/>
              </w:tc>
            </w:tr>
            <w:tr>
              <w:tc>
                <w:tcPr>
                  <w:tcW w:type="dxa" w:w="2548"/>
                  <w:gridSpan w:val="3"/>
                  <w:vMerge/>
                  <w:tcBorders>
                    <w:top w:val="none" w:color="000000" w:sz="4"/>
                    <w:left w:val="none" w:color="000000" w:sz="4"/>
                    <w:bottom w:val="none" w:color="000000" w:sz="4"/>
                    <w:right w:val="none" w:color="000000" w:sz="4"/>
                  </w:tcBorders>
                </w:tcPr>
                <w:p/>
              </w:tc>
            </w:tr>
            <w:tr>
              <w:tc>
                <w:tcPr>
                  <w:tcW w:type="dxa" w:w="2548"/>
                  <w:gridSpan w:val="3"/>
                  <w:vMerge/>
                  <w:tcBorders>
                    <w:top w:val="none" w:color="000000" w:sz="4"/>
                    <w:left w:val="none" w:color="000000" w:sz="4"/>
                    <w:bottom w:val="none" w:color="000000" w:sz="4"/>
                    <w:right w:val="none" w:color="000000" w:sz="4"/>
                  </w:tcBorders>
                </w:tcPr>
                <w:p/>
              </w:tc>
            </w:tr>
            <w:tr>
              <w:tc>
                <w:tcPr>
                  <w:tcW w:type="dxa" w:w="2548"/>
                  <w:gridSpan w:val="3"/>
                  <w:vMerge/>
                  <w:tcBorders>
                    <w:top w:val="none" w:color="000000" w:sz="4"/>
                    <w:left w:val="none" w:color="000000" w:sz="4"/>
                    <w:bottom w:val="none" w:color="000000" w:sz="4"/>
                    <w:right w:val="none" w:color="000000" w:sz="4"/>
                  </w:tcBorders>
                </w:tcPr>
                <w:p/>
              </w:tc>
            </w:tr>
            <w:tr>
              <w:tc>
                <w:tcPr>
                  <w:tcW w:type="dxa" w:w="2548"/>
                  <w:gridSpan w:val="3"/>
                  <w:vMerge/>
                  <w:tcBorders>
                    <w:top w:val="none" w:color="000000" w:sz="4"/>
                    <w:left w:val="none" w:color="000000" w:sz="4"/>
                    <w:bottom w:val="none" w:color="000000" w:sz="4"/>
                    <w:right w:val="none" w:color="000000" w:sz="4"/>
                  </w:tcBorders>
                </w:tcPr>
                <w:p/>
              </w:tc>
            </w:tr>
            <w:tr>
              <w:tc>
                <w:tcPr>
                  <w:tcW w:type="dxa" w:w="2548"/>
                  <w:gridSpan w:val="3"/>
                  <w:vMerge/>
                  <w:tcBorders>
                    <w:top w:val="none" w:color="000000" w:sz="4"/>
                    <w:left w:val="none" w:color="000000" w:sz="4"/>
                    <w:bottom w:val="none" w:color="000000" w:sz="4"/>
                    <w:right w:val="none" w:color="000000" w:sz="4"/>
                  </w:tcBorders>
                </w:tcPr>
                <w:p/>
              </w:tc>
            </w:tr>
            <w:tr>
              <w:tc>
                <w:tcPr>
                  <w:tcW w:type="dxa" w:w="2548"/>
                  <w:gridSpan w:val="3"/>
                  <w:vMerge/>
                  <w:tcBorders>
                    <w:top w:val="none" w:color="000000" w:sz="4"/>
                    <w:left w:val="none" w:color="000000" w:sz="4"/>
                    <w:bottom w:val="none" w:color="000000" w:sz="4"/>
                    <w:right w:val="none" w:color="000000" w:sz="4"/>
                  </w:tcBorders>
                </w:tcPr>
                <w:p/>
              </w:tc>
            </w:tr>
            <w:tr>
              <w:tc>
                <w:tcPr>
                  <w:tcW w:type="dxa" w:w="2548"/>
                  <w:gridSpan w:val="3"/>
                  <w:vMerge/>
                  <w:tcBorders>
                    <w:top w:val="none" w:color="000000" w:sz="4"/>
                    <w:left w:val="none" w:color="000000" w:sz="4"/>
                    <w:bottom w:val="none" w:color="000000" w:sz="4"/>
                    <w:right w:val="none" w:color="000000" w:sz="4"/>
                  </w:tcBorders>
                </w:tcP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single" w:color="000000" w:sz="4"/>
                <w:left w:val="single" w:color="000000" w:sz="4"/>
                <w:bottom w:val="single" w:color="000000" w:sz="4"/>
                <w:right w:val="single" w:color="000000" w:sz="4"/>
                <w:insideH w:val="single"/>
                <w:insideV w:val="single"/>
              </w:tblBorders>
            </w:tblPr>
            <w:tblGrid>
              <w:gridCol w:w="321"/>
              <w:gridCol w:w="2210"/>
            </w:tblGrid>
            <w:tr>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8"/>
                      <w:b/>
                      <w:color w:val="000000"/>
                    </w:rPr>
                    <w:t>保洁人员配比及年龄</w:t>
                  </w:r>
                </w:p>
              </w:tc>
              <w:tc>
                <w:tcPr>
                  <w:tcW w:type="dxa" w:w="2210"/>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8"/>
                      <w:color w:val="000000"/>
                    </w:rPr>
                    <w:t>本次招标需配备保洁人员32名，为确保人员体能适配保洁工作强度，团队平均年龄不高于60岁，最大年龄不超过63岁，60岁（含）以下团队人员占比</w:t>
                  </w:r>
                  <w:r>
                    <w:rPr>
                      <w:rFonts w:ascii="仿宋_GB2312" w:hAnsi="仿宋_GB2312" w:cs="仿宋_GB2312" w:eastAsia="仿宋_GB2312"/>
                      <w:sz w:val="28"/>
                      <w:color w:val="000000"/>
                    </w:rPr>
                    <w:t>不低于</w:t>
                  </w:r>
                  <w:r>
                    <w:rPr>
                      <w:rFonts w:ascii="仿宋_GB2312" w:hAnsi="仿宋_GB2312" w:cs="仿宋_GB2312" w:eastAsia="仿宋_GB2312"/>
                      <w:sz w:val="28"/>
                      <w:color w:val="000000"/>
                    </w:rPr>
                    <w:t>80%</w:t>
                  </w:r>
                  <w:r>
                    <w:rPr>
                      <w:rFonts w:ascii="仿宋_GB2312" w:hAnsi="仿宋_GB2312" w:cs="仿宋_GB2312" w:eastAsia="仿宋_GB2312"/>
                      <w:sz w:val="28"/>
                      <w:color w:val="000000"/>
                    </w:rPr>
                    <w:t>。</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135"/>
              <w:tblBorders>
                <w:top w:val="single" w:color="000000" w:sz="4"/>
                <w:left w:val="single" w:color="000000" w:sz="4"/>
                <w:bottom w:val="single" w:color="000000" w:sz="4"/>
                <w:right w:val="single" w:color="000000" w:sz="4"/>
                <w:insideH w:val="single"/>
                <w:insideV w:val="single"/>
              </w:tblBorders>
            </w:tblPr>
            <w:tblGrid>
              <w:gridCol w:w="321"/>
              <w:gridCol w:w="2210"/>
            </w:tblGrid>
            <w:tr>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8"/>
                      <w:color w:val="000000"/>
                    </w:rPr>
                    <w:t>服务范围</w:t>
                  </w:r>
                </w:p>
              </w:tc>
              <w:tc>
                <w:tcPr>
                  <w:tcW w:type="dxa" w:w="2210"/>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ind w:firstLine="280"/>
                    <w:jc w:val="both"/>
                  </w:pPr>
                  <w:r>
                    <w:rPr>
                      <w:rFonts w:ascii="仿宋_GB2312" w:hAnsi="仿宋_GB2312" w:cs="仿宋_GB2312" w:eastAsia="仿宋_GB2312"/>
                      <w:sz w:val="28"/>
                      <w:color w:val="000000"/>
                    </w:rPr>
                    <w:t>城固县中医医院院本部、精神卫生分院、医养中心</w:t>
                  </w:r>
                </w:p>
              </w:tc>
            </w:tr>
            <w:tr>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8"/>
                      <w:color w:val="000000"/>
                    </w:rPr>
                    <w:t>资质证明</w:t>
                  </w:r>
                </w:p>
              </w:tc>
              <w:tc>
                <w:tcPr>
                  <w:tcW w:type="dxa" w:w="2210"/>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8"/>
                      <w:color w:val="000000"/>
                    </w:rPr>
                    <w:t>投标公司必须提供的资质证书：营业执照、开户许可证/对公账号信息、法人身份证明、企业信用查询证明、近三年无重大违法违规记录承诺函。</w:t>
                  </w:r>
                </w:p>
              </w:tc>
            </w:tr>
            <w:tr>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8"/>
                      <w:b/>
                      <w:color w:val="000000"/>
                    </w:rPr>
                    <w:t>保洁人员身体状况</w:t>
                  </w:r>
                </w:p>
              </w:tc>
              <w:tc>
                <w:tcPr>
                  <w:tcW w:type="dxa" w:w="2210"/>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8"/>
                      <w:color w:val="000000"/>
                    </w:rPr>
                    <w:t>保洁人员持有效健康证及体检证明上岗；全体保洁员工人身意外险、第三者雇主责任险保单，并服从医院管理。</w:t>
                  </w:r>
                </w:p>
              </w:tc>
            </w:tr>
            <w:tr>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8"/>
                      <w:b/>
                      <w:color w:val="000000"/>
                    </w:rPr>
                    <w:t>保洁人员培训</w:t>
                  </w:r>
                </w:p>
              </w:tc>
              <w:tc>
                <w:tcPr>
                  <w:tcW w:type="dxa" w:w="2210"/>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outlineLvl w:val="2"/>
                  </w:pPr>
                  <w:r>
                    <w:rPr>
                      <w:rFonts w:ascii="仿宋_GB2312" w:hAnsi="仿宋_GB2312" w:cs="仿宋_GB2312" w:eastAsia="仿宋_GB2312"/>
                      <w:sz w:val="28"/>
                      <w:b/>
                      <w:color w:val="222222"/>
                    </w:rPr>
                    <w:t>进行</w:t>
                  </w:r>
                  <w:r>
                    <w:rPr>
                      <w:rFonts w:ascii="仿宋_GB2312" w:hAnsi="仿宋_GB2312" w:cs="仿宋_GB2312" w:eastAsia="仿宋_GB2312"/>
                      <w:sz w:val="28"/>
                      <w:b/>
                      <w:color w:val="222222"/>
                    </w:rPr>
                    <w:t>岗前培训，涵盖医院院感知识、保洁操作规范、安全作业流程、患者隐私保护、应急处置等内容，考核合格后方可上岗。每月组织 1 次常规培训，每季度开展 1 次专项培训，持续提升人员专业能力。</w:t>
                  </w:r>
                </w:p>
              </w:tc>
            </w:tr>
            <w:tr>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8"/>
                      <w:b/>
                      <w:color w:val="000000"/>
                    </w:rPr>
                    <w:t>服务内容</w:t>
                  </w:r>
                </w:p>
              </w:tc>
              <w:tc>
                <w:tcPr>
                  <w:tcW w:type="dxa" w:w="2210"/>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8"/>
                      <w:color w:val="000000"/>
                    </w:rPr>
                    <w:t>严格遵守安全作业、医院院感防控等相关规章制度，履行保洁服务全部职责，对医院内外进行全面清扫，不留卫生死角，持续保证院内卫生整洁。</w:t>
                  </w:r>
                </w:p>
              </w:tc>
            </w:tr>
            <w:tr>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8"/>
                      <w:b/>
                      <w:color w:val="000000"/>
                    </w:rPr>
                    <w:t>使用耗材</w:t>
                  </w:r>
                </w:p>
              </w:tc>
              <w:tc>
                <w:tcPr>
                  <w:tcW w:type="dxa" w:w="2210"/>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8"/>
                      <w:color w:val="000000"/>
                    </w:rPr>
                    <w:t>保洁物资充足均使用合规产品，由投标公司承担。消毒用品符合医院使用要求：产品合格证、检测报告、 消毒产品卫生许可证、化学品安全说明书（MSDS）</w:t>
                  </w:r>
                </w:p>
              </w:tc>
            </w:tr>
            <w:tr>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8"/>
                      <w:b/>
                      <w:color w:val="000000"/>
                    </w:rPr>
                    <w:t>节假日服务安排</w:t>
                  </w:r>
                </w:p>
              </w:tc>
              <w:tc>
                <w:tcPr>
                  <w:tcW w:type="dxa" w:w="2210"/>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8"/>
                      <w:color w:val="000000"/>
                    </w:rPr>
                    <w:t>日常及重大节假日（如春节、五一、国庆）等期间正常开展保洁服务，不中断服务，保障医院环境整洁。</w:t>
                  </w:r>
                </w:p>
              </w:tc>
            </w:tr>
            <w:tr>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8"/>
                      <w:b/>
                      <w:color w:val="000000"/>
                    </w:rPr>
                    <w:t>日常管理要求</w:t>
                  </w:r>
                </w:p>
              </w:tc>
              <w:tc>
                <w:tcPr>
                  <w:tcW w:type="dxa" w:w="2210"/>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8"/>
                      <w:color w:val="000000"/>
                    </w:rPr>
                    <w:t>第三方公司每日对保洁服务开展全流程监管，并安排副班（晚上7点-9点）对医院公共区域等地方进行巡查，确保服务标准落地执行。</w:t>
                  </w:r>
                </w:p>
              </w:tc>
            </w:tr>
            <w:tr>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8"/>
                      <w:b/>
                      <w:color w:val="000000"/>
                    </w:rPr>
                    <w:t>人事关系管理</w:t>
                  </w:r>
                </w:p>
              </w:tc>
              <w:tc>
                <w:tcPr>
                  <w:tcW w:type="dxa" w:w="2210"/>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8"/>
                      <w:color w:val="000000"/>
                    </w:rPr>
                    <w:t>第三方公司全权负责保洁人员的招聘、劳动合同签订、社保缴纳、薪酬发放、人员安全、考勤管理等人事相关事务，</w:t>
                  </w:r>
                </w:p>
              </w:tc>
            </w:tr>
            <w:tr>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8"/>
                      <w:b/>
                      <w:color w:val="000000"/>
                    </w:rPr>
                    <w:t>监管考核</w:t>
                  </w:r>
                </w:p>
              </w:tc>
              <w:tc>
                <w:tcPr>
                  <w:tcW w:type="dxa" w:w="2210"/>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8"/>
                      <w:color w:val="222222"/>
                    </w:rPr>
                    <w:t>第三方保洁公司安排保洁主管现场管理及不定时巡查，发现问题及时整改，如发现卫生区域内的设施设备存在的问题及时报告。</w:t>
                  </w:r>
                </w:p>
                <w:p>
                  <w:pPr>
                    <w:pStyle w:val="null3"/>
                    <w:outlineLvl w:val="2"/>
                  </w:pPr>
                  <w:r>
                    <w:rPr>
                      <w:rFonts w:ascii="仿宋_GB2312" w:hAnsi="仿宋_GB2312" w:cs="仿宋_GB2312" w:eastAsia="仿宋_GB2312"/>
                      <w:sz w:val="28"/>
                      <w:b/>
                      <w:color w:val="222222"/>
                    </w:rPr>
                    <w:t>医院以《城固县中医医院（院本部）医院物业保洁工作质量评价表》中所列标准项进行考核，按考核标准，90分为服务达标标准分。</w:t>
                  </w:r>
                </w:p>
              </w:tc>
            </w:tr>
            <w:tr>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8"/>
                      <w:b/>
                      <w:color w:val="000000"/>
                    </w:rPr>
                    <w:t>突发事件与应急处置</w:t>
                  </w:r>
                </w:p>
              </w:tc>
              <w:tc>
                <w:tcPr>
                  <w:tcW w:type="dxa" w:w="2210"/>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ind w:firstLine="560"/>
                    <w:jc w:val="left"/>
                  </w:pPr>
                  <w:r>
                    <w:rPr>
                      <w:rFonts w:ascii="仿宋_GB2312" w:hAnsi="仿宋_GB2312" w:cs="仿宋_GB2312" w:eastAsia="仿宋_GB2312"/>
                      <w:sz w:val="28"/>
                      <w:color w:val="222222"/>
                    </w:rPr>
                    <w:t>第三方公司制定专项应急预案，定期组织保洁人员开展应急演练，配备应急处置物资，确保突发情况快速、规范处置。</w:t>
                  </w:r>
                </w:p>
                <w:p>
                  <w:pPr>
                    <w:pStyle w:val="null3"/>
                    <w:outlineLvl w:val="2"/>
                  </w:pPr>
                  <w:r>
                    <w:rPr>
                      <w:rFonts w:ascii="仿宋_GB2312" w:hAnsi="仿宋_GB2312" w:cs="仿宋_GB2312" w:eastAsia="仿宋_GB2312"/>
                      <w:sz w:val="28"/>
                      <w:b/>
                      <w:color w:val="222222"/>
                    </w:rPr>
                    <w:t>保洁需求：医院通知后 30 分钟内响应，按要求快速、规范处置。</w:t>
                  </w:r>
                </w:p>
                <w:p>
                  <w:pPr>
                    <w:pStyle w:val="null3"/>
                    <w:outlineLvl w:val="2"/>
                  </w:pPr>
                  <w:r>
                    <w:rPr>
                      <w:rFonts w:ascii="仿宋_GB2312" w:hAnsi="仿宋_GB2312" w:cs="仿宋_GB2312" w:eastAsia="仿宋_GB2312"/>
                      <w:sz w:val="28"/>
                      <w:b/>
                      <w:color w:val="222222"/>
                    </w:rPr>
                    <w:t>突发污染 / 安全事件：10 分钟内响应，立即开展现场处置，同步上报医院感染控制科及相关管理部门。</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需配备保洁人员32名， 为确保人员体能适配保洁工作强度， 团队平均年龄不高于60岁， 最大年龄不超过63岁， 60岁（含） 以下团队人员占比不低于80%。</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人员确定后，保持稳定。对不符合采购人要求的人员，采购人随时要求保洁公司加强管理直至更换符合要求的人员为止</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城固县中医医院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进度款，保洁服务费支付方式：次月10号前由第三方保洁公司提交上月劳务服务费税务发票 ，医院根据考核情况予以支付，达到付款条件起10个工作日内，支付合同总金额的100.0%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3322"/>
          </w:tcPr>
          <w:p>
            <w:pPr>
              <w:pStyle w:val="null3"/>
            </w:pPr>
            <w:r>
              <w:rPr>
                <w:rFonts w:ascii="仿宋_GB2312" w:hAnsi="仿宋_GB2312" w:cs="仿宋_GB2312" w:eastAsia="仿宋_GB2312"/>
              </w:rPr>
              <w:t>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法定代表人直接参加磋商的，须出具法人身份证(附法定代表人身份证复印件);法定代表人授权代表参加磋商的，须出具法定代表人授权书及授权代表身份证(附法走代表人身份证复印件及被授权人身份证复印件)</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法定代表人直接参加磋商的，须出具法人身份证(附法定代表人身份证复印件);法定代表人授权代表参加磋商的，须出具法定代表人授权书及授权代表身份证(附法走代表人身份证复印件及被授权人身份证复印件)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本项目不接受联合体磋商，供应商应提供《非联合体声明》</w:t>
            </w:r>
          </w:p>
        </w:tc>
        <w:tc>
          <w:tcPr>
            <w:tcW w:type="dxa" w:w="3322"/>
          </w:tcPr>
          <w:p>
            <w:pPr>
              <w:pStyle w:val="null3"/>
            </w:pPr>
            <w:r>
              <w:rPr>
                <w:rFonts w:ascii="仿宋_GB2312" w:hAnsi="仿宋_GB2312" w:cs="仿宋_GB2312" w:eastAsia="仿宋_GB2312"/>
              </w:rPr>
              <w:t>供应商应提供《非联合体声明》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供应商不得为“信用中国”网站中列入失信被执行 人和重大税收违法失信主体， 不得为“中国政府采 购网”政府采购严重违法失信行为记录名单中被财 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 投标人针对本项目制定总体服务方案，包含：①服务目标、服务理念及特色；②重难点分析及解决措施；③项目交接、筹备及进驻程序。 一、赋分标准： 1. 完整性：方案内容完整全面，对上述各项内容均有描述及说明得4分；缺一项得2分；缺二项得1分； 2. 针对性：针对性强得3分；针对性一般得2分；缺乏针对性得1分； 3. 可实施性：可实施性强得3分；可实施性一般得2分；缺乏可实施性得1分； 4. 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日常保洁服务</w:t>
            </w:r>
          </w:p>
        </w:tc>
        <w:tc>
          <w:tcPr>
            <w:tcW w:type="dxa" w:w="2492"/>
          </w:tcPr>
          <w:p>
            <w:pPr>
              <w:pStyle w:val="null3"/>
            </w:pPr>
            <w:r>
              <w:rPr>
                <w:rFonts w:ascii="仿宋_GB2312" w:hAnsi="仿宋_GB2312" w:cs="仿宋_GB2312" w:eastAsia="仿宋_GB2312"/>
              </w:rPr>
              <w:t>一、评审内容： 针对本项目制定日常卫生保洁、地面养护服务方案，包含：①卫生保洁、地面养护服务标准；②楼内卫生保洁、地面养护服务实施方案；③楼外公用区域服务实施方案；④生活垃圾分类收集与处理方案。 二、赋分标准： 1. 完整性：方案内容完整全面，对上述各项内容均有描述及说明得4分；缺一项得3分；缺二项得2分；缺三项得1分； 2. 针对性：针对性强得4分；针对性一般得2.5分；缺乏针对性得1分； 3. 可实施性：可实施性强得4分；可实施性一般得2.5分；缺乏可实施性得1分； 4. 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组织机构设置</w:t>
            </w:r>
          </w:p>
        </w:tc>
        <w:tc>
          <w:tcPr>
            <w:tcW w:type="dxa" w:w="2492"/>
          </w:tcPr>
          <w:p>
            <w:pPr>
              <w:pStyle w:val="null3"/>
            </w:pPr>
            <w:r>
              <w:rPr>
                <w:rFonts w:ascii="仿宋_GB2312" w:hAnsi="仿宋_GB2312" w:cs="仿宋_GB2312" w:eastAsia="仿宋_GB2312"/>
              </w:rPr>
              <w:t>一、评审内容： 投标人针对本项目制定组织机构设置方案，包含：①项目组织机构设置；②服务团队人员工作分工及岗位职责。 二、赋分标准： 1. 完整性：方案内容完整全面，对上述各项内容均有描述及说明得4分；缺一项得2分； 2. 针对性：针对性强得3分；针对性一般得1.5分；缺乏针对性得0.5分； 3. 可实施性：可实施性强得3分；可实施性一般得1.5分；缺乏可实施性得0.5分； 4. 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消毒卫生服务方案</w:t>
            </w:r>
          </w:p>
        </w:tc>
        <w:tc>
          <w:tcPr>
            <w:tcW w:type="dxa" w:w="2492"/>
          </w:tcPr>
          <w:p>
            <w:pPr>
              <w:pStyle w:val="null3"/>
            </w:pPr>
            <w:r>
              <w:rPr>
                <w:rFonts w:ascii="仿宋_GB2312" w:hAnsi="仿宋_GB2312" w:cs="仿宋_GB2312" w:eastAsia="仿宋_GB2312"/>
              </w:rPr>
              <w:t>一、评审内容： 针对本项目制定消毒卫生服务方案，包含：①消毒服务工作规范；②消毒服务实施方案。 二、赋分标准： 1. 完整性：方案内容完整全面，对上述各项内容均有描述及说明得4分；缺一项得2分； 2. 针对性：针对性强得3分；针对性一般得1.5分；缺乏针对性得0.5分； 3. 可实施性：可实施性强得3分；可实施性一般得1.5分；缺乏可实施性得0.5分； 4. 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清洁设备投入方案</w:t>
            </w:r>
          </w:p>
        </w:tc>
        <w:tc>
          <w:tcPr>
            <w:tcW w:type="dxa" w:w="2492"/>
          </w:tcPr>
          <w:p>
            <w:pPr>
              <w:pStyle w:val="null3"/>
            </w:pPr>
            <w:r>
              <w:rPr>
                <w:rFonts w:ascii="仿宋_GB2312" w:hAnsi="仿宋_GB2312" w:cs="仿宋_GB2312" w:eastAsia="仿宋_GB2312"/>
              </w:rPr>
              <w:t>一、评审内容： 针对本项目提供拟投入工具（设备），包含：①服务人员工作服装；②提供日常类服务工具、机械设备投入、清洁消耗品的清单。 二、赋分标准： 1. 完整性：方案内容完整全面，对上述各项内容均有描述及说明得1分；缺一项得0.5分； 2. 针对性：针对性强得2分；针对性一般得1分；缺乏针对性得0.5分； 3. 可实施性：可实施性强得2分；可实施性一般得1分；缺乏可实施性得0.5分； 4. 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特点制定应急保障预案，包含：①恶劣天气、地质灾害等自然灾害的处置预案；②重大突发公共卫生事件以及重大传染病、突发性流行病的预防及处置预案；③人员中途离职及其他特殊事件和紧急突发事故的处置预案。 二、赋分标准： 1. 完整性：方案内容完整全面，对上述各项内容均有描述及说明得1分；缺一项得0.5分； 2. 针对性：针对性强得2分；针对性一般得1分；缺乏针对性得0.5分； 3. 可实施性：可实施性强得2分；可实施性一般得1分；缺乏可实施性得0.5分； 4. 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 投标人针对本项目制定的管理制度，包含：①岗位职责：具有岗位工作标准、服务质量标准、作业流程及作业记录等；②内控制度：具有监督机制、自查制度等；③人员管理制度：具有员工日常管理办法、请销假制度、奖惩措施、激励机制、仪容仪表制度等。 二、赋分标准： 1. 完整性：方案内容完整全面，对上述各项内容均有描述及说明得4分；缺一项得2分；缺二项得1分；缺三项不得分； 2. 针对性：针对性强得3分；针对性一般得1.5分；缺乏针对性得0.5分； 3. 可实施性：可实施性强得3分；可实施性一般得1.5分；缺乏可实施性得0.5分； 4. 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投标人针对本项目制定的培训考核方案，包含：①安全责任、业务操作、防疫消杀等方面的培训方案；②针对不同的岗位及工作程序制定考核方案。 二、赋分标准： 1. 完整性：方案内容完整全面，对上述各项内容均有描述及说明得1分；缺一项得0.5分； 2. 针对性：针对性强得2分；针对性一般得1分；缺乏针对性得0.5分； 3. 可实施性：可实施性强得2分；可实施性一般得1分；缺乏可实施性得0.5分； 4. 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 投标人提供2023年1月以来签订的同类项目合同，每份合格业绩合同1分，最多计3分。提供合同复印件并加盖投标人公章。 2. 每提供一对应合格业绩的服务好评（以被服务单位加盖公章的好评证明材料为计分依据，格式不限），得0.5分，满分2分。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 上岗人员固定，不随意更换，若出现人员因事、病等不能工作的，及时调整其他人员补充，确保服务工作的正常进行得2分，无承诺不得分。 2. 储备可调度人员，调度人员能够保障临时性工作需要及处置突发事件得1分，无承诺不得分。 3. 接受采购人对服务的考核、监督及管理，并定期回访征询采购人对服务质量的满意度并加以改进确保服务工作的优质高效得1分，无承诺不得分。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服务优化</w:t>
            </w:r>
          </w:p>
        </w:tc>
        <w:tc>
          <w:tcPr>
            <w:tcW w:type="dxa" w:w="2492"/>
          </w:tcPr>
          <w:p>
            <w:pPr>
              <w:pStyle w:val="null3"/>
            </w:pPr>
            <w:r>
              <w:rPr>
                <w:rFonts w:ascii="仿宋_GB2312" w:hAnsi="仿宋_GB2312" w:cs="仿宋_GB2312" w:eastAsia="仿宋_GB2312"/>
              </w:rPr>
              <w:t>针对本项目环境清洁消毒服务工作中的常见问题进行梳理，具有良好的解决方案并向采购人提出合理化建议，经评委认可并采纳的，每提供一条1分，最高得4分。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有效最低响应人报价为基准价计20分； 2. 其他各响应人的报价按下列公式计算：(基准价/投标报价）×20=报价得分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