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A902">
      <w:pPr>
        <w:adjustRightInd/>
        <w:spacing w:line="240" w:lineRule="auto"/>
        <w:jc w:val="center"/>
        <w:outlineLvl w:val="9"/>
        <w:rPr>
          <w:rFonts w:hint="eastAsia" w:ascii="仿宋" w:hAnsi="仿宋" w:eastAsia="仿宋" w:cs="仿宋"/>
          <w:b/>
          <w:bCs/>
          <w:sz w:val="28"/>
          <w:szCs w:val="28"/>
        </w:rPr>
      </w:pPr>
      <w:r>
        <w:rPr>
          <w:rFonts w:hint="eastAsia" w:ascii="仿宋" w:hAnsi="仿宋" w:eastAsia="仿宋" w:cs="仿宋"/>
          <w:b/>
          <w:bCs/>
          <w:sz w:val="28"/>
          <w:szCs w:val="28"/>
        </w:rPr>
        <w:t>商务及合同主要条款</w:t>
      </w:r>
    </w:p>
    <w:p w14:paraId="09BA364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本表是对合同条款的具体补充和修改，如有矛盾，应以本资料表为准。</w:t>
      </w:r>
    </w:p>
    <w:tbl>
      <w:tblPr>
        <w:tblStyle w:val="1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8445"/>
      </w:tblGrid>
      <w:tr w14:paraId="15CA0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641919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8445" w:type="dxa"/>
            <w:noWrap w:val="0"/>
            <w:vAlign w:val="center"/>
          </w:tcPr>
          <w:p w14:paraId="2051C336">
            <w:pPr>
              <w:keepNext w:val="0"/>
              <w:keepLines w:val="0"/>
              <w:pageBreakBefore w:val="0"/>
              <w:widowControl w:val="0"/>
              <w:kinsoku/>
              <w:wordWrap/>
              <w:overflowPunct/>
              <w:topLinePunct w:val="0"/>
              <w:autoSpaceDE/>
              <w:autoSpaceDN/>
              <w:bidi w:val="0"/>
              <w:adjustRightInd/>
              <w:snapToGrid/>
              <w:spacing w:line="360" w:lineRule="auto"/>
              <w:ind w:left="210" w:leftChars="100"/>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内      容</w:t>
            </w:r>
          </w:p>
        </w:tc>
      </w:tr>
      <w:tr w14:paraId="6188C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9" w:hRule="atLeast"/>
          <w:jc w:val="center"/>
        </w:trPr>
        <w:tc>
          <w:tcPr>
            <w:tcW w:w="627" w:type="dxa"/>
            <w:noWrap w:val="0"/>
            <w:vAlign w:val="center"/>
          </w:tcPr>
          <w:p w14:paraId="4AC71F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8445" w:type="dxa"/>
            <w:noWrap w:val="0"/>
            <w:vAlign w:val="center"/>
          </w:tcPr>
          <w:p w14:paraId="273EA8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采购人（甲方）名称：陕西省无线电管理委员会办公室咸阳市监测站</w:t>
            </w:r>
          </w:p>
          <w:p w14:paraId="25A0E4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地址：</w:t>
            </w:r>
            <w:r>
              <w:rPr>
                <w:rFonts w:hint="eastAsia" w:ascii="仿宋" w:hAnsi="仿宋" w:eastAsia="仿宋" w:cs="仿宋"/>
                <w:color w:val="auto"/>
                <w:sz w:val="22"/>
                <w:szCs w:val="22"/>
                <w:highlight w:val="none"/>
                <w:lang w:eastAsia="zh-CN"/>
              </w:rPr>
              <w:t>咸阳市秦都区中华西路4号建设大厦16层</w:t>
            </w:r>
          </w:p>
        </w:tc>
      </w:tr>
      <w:tr w14:paraId="6CF99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5" w:hRule="atLeast"/>
          <w:jc w:val="center"/>
        </w:trPr>
        <w:tc>
          <w:tcPr>
            <w:tcW w:w="627" w:type="dxa"/>
            <w:noWrap w:val="0"/>
            <w:vAlign w:val="center"/>
          </w:tcPr>
          <w:p w14:paraId="007BF9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p>
        </w:tc>
        <w:tc>
          <w:tcPr>
            <w:tcW w:w="8445" w:type="dxa"/>
            <w:noWrap w:val="0"/>
            <w:vAlign w:val="center"/>
          </w:tcPr>
          <w:p w14:paraId="1E63D1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供应商（乙方）：成交人</w:t>
            </w:r>
          </w:p>
        </w:tc>
      </w:tr>
      <w:tr w14:paraId="5701A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jc w:val="center"/>
        </w:trPr>
        <w:tc>
          <w:tcPr>
            <w:tcW w:w="627" w:type="dxa"/>
            <w:noWrap w:val="0"/>
            <w:vAlign w:val="center"/>
          </w:tcPr>
          <w:p w14:paraId="72D73F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w:t>
            </w:r>
          </w:p>
        </w:tc>
        <w:tc>
          <w:tcPr>
            <w:tcW w:w="8445" w:type="dxa"/>
            <w:noWrap w:val="0"/>
            <w:vAlign w:val="center"/>
          </w:tcPr>
          <w:p w14:paraId="40FDDFC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服务期限：</w:t>
            </w:r>
            <w:r>
              <w:rPr>
                <w:rFonts w:hint="eastAsia" w:ascii="仿宋" w:hAnsi="仿宋" w:eastAsia="仿宋" w:cs="仿宋"/>
                <w:b w:val="0"/>
                <w:bCs w:val="0"/>
                <w:color w:val="auto"/>
                <w:sz w:val="22"/>
                <w:szCs w:val="22"/>
                <w:highlight w:val="none"/>
                <w:shd w:val="clear" w:color="auto" w:fill="FFFFFF"/>
                <w:lang w:val="en-US" w:eastAsia="zh-CN"/>
              </w:rPr>
              <w:t>一年</w:t>
            </w:r>
          </w:p>
        </w:tc>
      </w:tr>
      <w:tr w14:paraId="4A6D1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181BC7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w:t>
            </w:r>
          </w:p>
        </w:tc>
        <w:tc>
          <w:tcPr>
            <w:tcW w:w="8445" w:type="dxa"/>
            <w:noWrap w:val="0"/>
            <w:vAlign w:val="center"/>
          </w:tcPr>
          <w:p w14:paraId="1B6464C4">
            <w:pPr>
              <w:spacing w:line="360" w:lineRule="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付款方式：</w:t>
            </w:r>
          </w:p>
          <w:p w14:paraId="46A588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付款条件说明：合同签订后，成交人按合同价开具全额发票 ，达到付款条件起 5 日内，支付合同总金额的 100.00%</w:t>
            </w:r>
            <w:r>
              <w:rPr>
                <w:rFonts w:hint="eastAsia" w:ascii="仿宋" w:hAnsi="仿宋" w:eastAsia="仿宋" w:cs="仿宋"/>
                <w:color w:val="auto"/>
                <w:sz w:val="22"/>
                <w:szCs w:val="22"/>
                <w:highlight w:val="none"/>
                <w:lang w:eastAsia="zh-CN"/>
              </w:rPr>
              <w:t>。</w:t>
            </w:r>
          </w:p>
        </w:tc>
      </w:tr>
      <w:tr w14:paraId="67444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5C9577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5</w:t>
            </w:r>
          </w:p>
        </w:tc>
        <w:tc>
          <w:tcPr>
            <w:tcW w:w="8445" w:type="dxa"/>
            <w:noWrap w:val="0"/>
            <w:vAlign w:val="center"/>
          </w:tcPr>
          <w:p w14:paraId="246339D0">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rPr>
              <w:t>保密</w:t>
            </w:r>
            <w:r>
              <w:rPr>
                <w:rFonts w:hint="eastAsia" w:ascii="仿宋" w:hAnsi="仿宋" w:eastAsia="仿宋" w:cs="仿宋"/>
                <w:b/>
                <w:color w:val="auto"/>
                <w:sz w:val="22"/>
                <w:szCs w:val="22"/>
                <w:highlight w:val="none"/>
                <w:lang w:eastAsia="zh-CN"/>
              </w:rPr>
              <w:t>：</w:t>
            </w:r>
          </w:p>
          <w:p w14:paraId="6FCDAD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对工作中了解到的采购人的技术、机密等进行严格保密，不得向他人</w:t>
            </w:r>
            <w:r>
              <w:rPr>
                <w:rFonts w:hint="eastAsia" w:ascii="仿宋" w:hAnsi="仿宋" w:eastAsia="仿宋" w:cs="仿宋"/>
                <w:color w:val="auto"/>
                <w:sz w:val="22"/>
                <w:szCs w:val="22"/>
                <w:highlight w:val="none"/>
                <w:lang w:eastAsia="zh-CN"/>
              </w:rPr>
              <w:t>泄露</w:t>
            </w:r>
            <w:r>
              <w:rPr>
                <w:rFonts w:hint="eastAsia" w:ascii="仿宋" w:hAnsi="仿宋" w:eastAsia="仿宋" w:cs="仿宋"/>
                <w:color w:val="auto"/>
                <w:sz w:val="22"/>
                <w:szCs w:val="22"/>
                <w:highlight w:val="none"/>
              </w:rPr>
              <w:t>。本合同的解除或终止不免除供应商应承担的保密义务</w:t>
            </w:r>
          </w:p>
        </w:tc>
      </w:tr>
      <w:tr w14:paraId="6B479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2401BD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6</w:t>
            </w:r>
          </w:p>
        </w:tc>
        <w:tc>
          <w:tcPr>
            <w:tcW w:w="8445" w:type="dxa"/>
            <w:noWrap w:val="0"/>
            <w:vAlign w:val="center"/>
          </w:tcPr>
          <w:p w14:paraId="5FFE8ADE">
            <w:pPr>
              <w:spacing w:line="360" w:lineRule="auto"/>
              <w:rPr>
                <w:rFonts w:ascii="仿宋" w:hAnsi="仿宋" w:eastAsia="仿宋" w:cs="仿宋"/>
                <w:b/>
                <w:bCs/>
                <w:sz w:val="22"/>
                <w:szCs w:val="22"/>
                <w:highlight w:val="none"/>
              </w:rPr>
            </w:pPr>
            <w:r>
              <w:rPr>
                <w:rFonts w:hint="eastAsia" w:ascii="仿宋" w:hAnsi="仿宋" w:eastAsia="仿宋" w:cs="仿宋"/>
                <w:b/>
                <w:bCs/>
                <w:sz w:val="22"/>
                <w:szCs w:val="22"/>
                <w:highlight w:val="none"/>
              </w:rPr>
              <w:t>质量保证：</w:t>
            </w:r>
          </w:p>
          <w:p w14:paraId="6BEA705A">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（1）保证全面满足采购要求。</w:t>
            </w:r>
          </w:p>
          <w:p w14:paraId="5BC5CBB9">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（2）符合国家有关规范要求。</w:t>
            </w:r>
          </w:p>
          <w:p w14:paraId="5D73666F">
            <w:pPr>
              <w:spacing w:line="360" w:lineRule="auto"/>
              <w:rPr>
                <w:rFonts w:hint="eastAsia" w:ascii="仿宋" w:hAnsi="仿宋" w:eastAsia="仿宋" w:cs="仿宋"/>
                <w:color w:val="auto"/>
                <w:sz w:val="22"/>
                <w:szCs w:val="22"/>
                <w:highlight w:val="none"/>
              </w:rPr>
            </w:pPr>
            <w:r>
              <w:rPr>
                <w:rFonts w:hint="eastAsia" w:ascii="仿宋" w:hAnsi="仿宋" w:eastAsia="仿宋" w:cs="仿宋"/>
                <w:sz w:val="22"/>
                <w:szCs w:val="22"/>
                <w:highlight w:val="none"/>
              </w:rPr>
              <w:t>（3）供应商必须满足所有的服务要求，由此产生的风险由供应商自行承担。</w:t>
            </w:r>
          </w:p>
        </w:tc>
      </w:tr>
      <w:tr w14:paraId="369EC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48B4D0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7</w:t>
            </w:r>
          </w:p>
        </w:tc>
        <w:tc>
          <w:tcPr>
            <w:tcW w:w="8445" w:type="dxa"/>
            <w:noWrap w:val="0"/>
            <w:vAlign w:val="center"/>
          </w:tcPr>
          <w:p w14:paraId="1B9DDCBE">
            <w:pPr>
              <w:spacing w:line="360" w:lineRule="auto"/>
              <w:ind w:left="360" w:hanging="331" w:hangingChars="150"/>
              <w:rPr>
                <w:rFonts w:ascii="仿宋" w:hAnsi="仿宋" w:eastAsia="仿宋" w:cs="仿宋"/>
                <w:b/>
                <w:bCs/>
                <w:sz w:val="22"/>
                <w:szCs w:val="22"/>
                <w:highlight w:val="none"/>
              </w:rPr>
            </w:pPr>
            <w:r>
              <w:rPr>
                <w:rFonts w:hint="eastAsia" w:ascii="仿宋" w:hAnsi="仿宋" w:eastAsia="仿宋" w:cs="仿宋"/>
                <w:b/>
                <w:bCs/>
                <w:sz w:val="22"/>
                <w:szCs w:val="22"/>
                <w:highlight w:val="none"/>
              </w:rPr>
              <w:t>验收方式及验收依据：</w:t>
            </w:r>
          </w:p>
          <w:p w14:paraId="3B29B619">
            <w:pPr>
              <w:spacing w:line="360" w:lineRule="auto"/>
              <w:ind w:left="17" w:hanging="15" w:hangingChars="7"/>
              <w:rPr>
                <w:rFonts w:ascii="仿宋" w:hAnsi="仿宋" w:eastAsia="仿宋" w:cs="仿宋"/>
                <w:sz w:val="22"/>
                <w:szCs w:val="22"/>
                <w:highlight w:val="none"/>
              </w:rPr>
            </w:pPr>
            <w:r>
              <w:rPr>
                <w:rFonts w:hint="eastAsia" w:ascii="仿宋" w:hAnsi="仿宋" w:eastAsia="仿宋" w:cs="仿宋"/>
                <w:sz w:val="22"/>
                <w:szCs w:val="22"/>
                <w:highlight w:val="none"/>
              </w:rPr>
              <w:t>（1）项目完工后，</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向</w:t>
            </w:r>
            <w:r>
              <w:rPr>
                <w:rFonts w:hint="eastAsia" w:ascii="仿宋" w:hAnsi="仿宋" w:eastAsia="仿宋" w:cs="仿宋"/>
                <w:sz w:val="22"/>
                <w:szCs w:val="22"/>
                <w:highlight w:val="none"/>
                <w:lang w:val="en-US" w:eastAsia="zh-CN"/>
              </w:rPr>
              <w:t>甲方</w:t>
            </w:r>
            <w:r>
              <w:rPr>
                <w:rFonts w:hint="eastAsia" w:ascii="仿宋" w:hAnsi="仿宋" w:eastAsia="仿宋" w:cs="仿宋"/>
                <w:sz w:val="22"/>
                <w:szCs w:val="22"/>
                <w:highlight w:val="none"/>
              </w:rPr>
              <w:t>提交验收申请。</w:t>
            </w:r>
          </w:p>
          <w:p w14:paraId="3B4E0636">
            <w:pPr>
              <w:spacing w:line="360" w:lineRule="auto"/>
              <w:ind w:left="17" w:hanging="15" w:hangingChars="7"/>
              <w:rPr>
                <w:rFonts w:ascii="仿宋" w:hAnsi="仿宋" w:eastAsia="仿宋" w:cs="仿宋"/>
                <w:sz w:val="22"/>
                <w:szCs w:val="22"/>
                <w:highlight w:val="none"/>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甲方</w:t>
            </w:r>
            <w:r>
              <w:rPr>
                <w:rFonts w:hint="eastAsia" w:ascii="仿宋" w:hAnsi="仿宋" w:eastAsia="仿宋" w:cs="仿宋"/>
                <w:sz w:val="22"/>
                <w:szCs w:val="22"/>
                <w:highlight w:val="none"/>
              </w:rPr>
              <w:t>收到验收申请后组织验收，验收时</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应无条件予以配合并提供验收所需的全部资料，若</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不配合或者未按合同要求提供服务的，</w:t>
            </w:r>
            <w:r>
              <w:rPr>
                <w:rFonts w:hint="eastAsia" w:ascii="仿宋" w:hAnsi="仿宋" w:eastAsia="仿宋" w:cs="仿宋"/>
                <w:sz w:val="22"/>
                <w:szCs w:val="22"/>
                <w:highlight w:val="none"/>
                <w:lang w:val="en-US" w:eastAsia="zh-CN"/>
              </w:rPr>
              <w:t>甲方</w:t>
            </w:r>
            <w:r>
              <w:rPr>
                <w:rFonts w:hint="eastAsia" w:ascii="仿宋" w:hAnsi="仿宋" w:eastAsia="仿宋" w:cs="仿宋"/>
                <w:sz w:val="22"/>
                <w:szCs w:val="22"/>
                <w:highlight w:val="none"/>
              </w:rPr>
              <w:t>将拒绝验收。</w:t>
            </w:r>
          </w:p>
          <w:p w14:paraId="7C464E73">
            <w:pPr>
              <w:spacing w:line="360" w:lineRule="auto"/>
              <w:ind w:left="17" w:hanging="15" w:hangingChars="7"/>
              <w:rPr>
                <w:rFonts w:ascii="仿宋" w:hAnsi="仿宋" w:eastAsia="仿宋" w:cs="仿宋"/>
                <w:sz w:val="22"/>
                <w:szCs w:val="22"/>
                <w:highlight w:val="none"/>
              </w:rPr>
            </w:pP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）验收依据</w:t>
            </w:r>
          </w:p>
          <w:p w14:paraId="6B52BE8C">
            <w:pPr>
              <w:spacing w:line="360" w:lineRule="auto"/>
              <w:ind w:left="17" w:hanging="15" w:hangingChars="7"/>
              <w:rPr>
                <w:rFonts w:ascii="仿宋" w:hAnsi="仿宋" w:eastAsia="仿宋" w:cs="仿宋"/>
                <w:sz w:val="22"/>
                <w:szCs w:val="22"/>
                <w:highlight w:val="none"/>
              </w:rPr>
            </w:pPr>
            <w:r>
              <w:rPr>
                <w:rFonts w:hint="eastAsia" w:ascii="仿宋" w:hAnsi="仿宋" w:eastAsia="仿宋" w:cs="仿宋"/>
                <w:sz w:val="22"/>
                <w:szCs w:val="22"/>
                <w:highlight w:val="none"/>
              </w:rPr>
              <w:t>①</w:t>
            </w:r>
            <w:r>
              <w:rPr>
                <w:rFonts w:hint="eastAsia" w:ascii="仿宋" w:hAnsi="仿宋" w:eastAsia="仿宋" w:cs="仿宋"/>
                <w:sz w:val="22"/>
                <w:szCs w:val="22"/>
                <w:highlight w:val="none"/>
                <w:lang w:val="en-US" w:eastAsia="zh-CN"/>
              </w:rPr>
              <w:t>单一来源文件</w:t>
            </w:r>
            <w:r>
              <w:rPr>
                <w:rFonts w:hint="eastAsia" w:ascii="仿宋" w:hAnsi="仿宋" w:eastAsia="仿宋" w:cs="仿宋"/>
                <w:sz w:val="22"/>
                <w:szCs w:val="22"/>
                <w:highlight w:val="none"/>
              </w:rPr>
              <w:t>、响应文件、澄清表（函）；</w:t>
            </w:r>
          </w:p>
          <w:p w14:paraId="36BBA500">
            <w:pPr>
              <w:spacing w:line="360" w:lineRule="auto"/>
              <w:ind w:left="17" w:hanging="15" w:hangingChars="7"/>
              <w:rPr>
                <w:rFonts w:ascii="仿宋" w:hAnsi="仿宋" w:eastAsia="仿宋" w:cs="仿宋"/>
                <w:sz w:val="22"/>
                <w:szCs w:val="22"/>
                <w:highlight w:val="none"/>
              </w:rPr>
            </w:pPr>
            <w:r>
              <w:rPr>
                <w:rFonts w:hint="eastAsia" w:ascii="仿宋" w:hAnsi="仿宋" w:eastAsia="仿宋" w:cs="仿宋"/>
                <w:sz w:val="22"/>
                <w:szCs w:val="22"/>
                <w:highlight w:val="none"/>
              </w:rPr>
              <w:t>②本合同及附件文本；</w:t>
            </w:r>
          </w:p>
          <w:p w14:paraId="50F361B2">
            <w:pPr>
              <w:spacing w:line="360" w:lineRule="auto"/>
              <w:rPr>
                <w:rFonts w:hint="eastAsia" w:ascii="仿宋" w:hAnsi="仿宋" w:eastAsia="仿宋" w:cs="仿宋"/>
                <w:color w:val="auto"/>
                <w:sz w:val="22"/>
                <w:szCs w:val="22"/>
                <w:highlight w:val="none"/>
              </w:rPr>
            </w:pPr>
            <w:r>
              <w:rPr>
                <w:rFonts w:hint="eastAsia" w:ascii="仿宋" w:hAnsi="仿宋" w:eastAsia="仿宋" w:cs="仿宋"/>
                <w:sz w:val="22"/>
                <w:szCs w:val="22"/>
                <w:highlight w:val="none"/>
              </w:rPr>
              <w:t>③国家相应的标准、规范。</w:t>
            </w:r>
          </w:p>
        </w:tc>
      </w:tr>
    </w:tbl>
    <w:p w14:paraId="2B8D0651">
      <w:pPr>
        <w:spacing w:line="360" w:lineRule="auto"/>
        <w:rPr>
          <w:rFonts w:hint="eastAsia" w:ascii="仿宋" w:hAnsi="仿宋" w:eastAsia="仿宋" w:cs="仿宋"/>
          <w:b/>
          <w:bCs/>
          <w:sz w:val="30"/>
          <w:szCs w:val="30"/>
          <w:highlight w:val="none"/>
        </w:rPr>
      </w:pPr>
      <w:r>
        <w:rPr>
          <w:rFonts w:hint="eastAsia" w:ascii="仿宋" w:hAnsi="仿宋" w:eastAsia="仿宋" w:cs="仿宋"/>
          <w:color w:val="auto"/>
          <w:highlight w:val="none"/>
        </w:rPr>
        <w:br w:type="page"/>
      </w:r>
      <w:r>
        <w:rPr>
          <w:rFonts w:hint="eastAsia" w:ascii="仿宋" w:hAnsi="仿宋" w:eastAsia="仿宋" w:cs="仿宋"/>
          <w:b/>
          <w:bCs/>
          <w:sz w:val="30"/>
          <w:szCs w:val="30"/>
          <w:highlight w:val="none"/>
        </w:rPr>
        <w:t>政府采购合同                              合同编号：</w:t>
      </w:r>
    </w:p>
    <w:p w14:paraId="6F8989ED">
      <w:pPr>
        <w:pStyle w:val="5"/>
        <w:spacing w:line="360" w:lineRule="auto"/>
        <w:rPr>
          <w:rFonts w:hint="eastAsia" w:ascii="仿宋" w:hAnsi="仿宋" w:eastAsia="仿宋" w:cs="仿宋"/>
          <w:b/>
          <w:bCs/>
          <w:sz w:val="30"/>
          <w:szCs w:val="30"/>
          <w:highlight w:val="none"/>
        </w:rPr>
      </w:pPr>
    </w:p>
    <w:p w14:paraId="7288F848">
      <w:pPr>
        <w:pStyle w:val="5"/>
        <w:spacing w:line="360" w:lineRule="auto"/>
        <w:rPr>
          <w:rFonts w:hint="eastAsia" w:ascii="仿宋" w:hAnsi="仿宋" w:eastAsia="仿宋" w:cs="仿宋"/>
          <w:b/>
          <w:bCs/>
          <w:sz w:val="30"/>
          <w:szCs w:val="30"/>
          <w:highlight w:val="none"/>
        </w:rPr>
      </w:pPr>
    </w:p>
    <w:p w14:paraId="0E6AFE9C">
      <w:pPr>
        <w:pStyle w:val="5"/>
        <w:spacing w:line="360" w:lineRule="auto"/>
        <w:rPr>
          <w:rFonts w:hint="eastAsia" w:ascii="仿宋" w:hAnsi="仿宋" w:eastAsia="仿宋" w:cs="仿宋"/>
          <w:highlight w:val="none"/>
        </w:rPr>
      </w:pPr>
    </w:p>
    <w:p w14:paraId="4988CAAF">
      <w:pPr>
        <w:spacing w:line="360" w:lineRule="auto"/>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采购项目</w:t>
      </w:r>
    </w:p>
    <w:p w14:paraId="1F6A3A3F">
      <w:pPr>
        <w:spacing w:line="360" w:lineRule="auto"/>
        <w:rPr>
          <w:rFonts w:hint="eastAsia" w:ascii="仿宋" w:hAnsi="仿宋" w:eastAsia="仿宋" w:cs="仿宋"/>
          <w:highlight w:val="none"/>
        </w:rPr>
      </w:pPr>
    </w:p>
    <w:p w14:paraId="5ECFCFE5">
      <w:pPr>
        <w:spacing w:line="360" w:lineRule="auto"/>
        <w:rPr>
          <w:rFonts w:hint="eastAsia" w:ascii="仿宋" w:hAnsi="仿宋" w:eastAsia="仿宋" w:cs="仿宋"/>
          <w:highlight w:val="none"/>
        </w:rPr>
      </w:pPr>
    </w:p>
    <w:p w14:paraId="1290E2AE">
      <w:pPr>
        <w:pStyle w:val="5"/>
        <w:spacing w:line="360" w:lineRule="auto"/>
        <w:rPr>
          <w:rFonts w:hint="eastAsia" w:ascii="仿宋" w:hAnsi="仿宋" w:eastAsia="仿宋" w:cs="仿宋"/>
          <w:highlight w:val="none"/>
        </w:rPr>
      </w:pPr>
    </w:p>
    <w:p w14:paraId="15DAF006">
      <w:pPr>
        <w:pStyle w:val="5"/>
        <w:spacing w:line="360" w:lineRule="auto"/>
        <w:rPr>
          <w:rFonts w:hint="eastAsia" w:ascii="仿宋" w:hAnsi="仿宋" w:eastAsia="仿宋" w:cs="仿宋"/>
          <w:highlight w:val="none"/>
        </w:rPr>
      </w:pPr>
    </w:p>
    <w:p w14:paraId="5A4176DA">
      <w:pPr>
        <w:spacing w:line="360" w:lineRule="auto"/>
        <w:rPr>
          <w:rFonts w:hint="eastAsia" w:ascii="仿宋" w:hAnsi="仿宋" w:eastAsia="仿宋" w:cs="仿宋"/>
          <w:highlight w:val="none"/>
        </w:rPr>
      </w:pPr>
    </w:p>
    <w:p w14:paraId="45D63557">
      <w:pPr>
        <w:spacing w:line="360" w:lineRule="auto"/>
        <w:rPr>
          <w:rFonts w:hint="eastAsia" w:ascii="仿宋" w:hAnsi="仿宋" w:eastAsia="仿宋" w:cs="仿宋"/>
          <w:highlight w:val="none"/>
        </w:rPr>
      </w:pPr>
    </w:p>
    <w:p w14:paraId="7EBC5185">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w:t>
      </w:r>
    </w:p>
    <w:p w14:paraId="55B11A11">
      <w:pPr>
        <w:spacing w:line="360" w:lineRule="auto"/>
        <w:jc w:val="center"/>
        <w:rPr>
          <w:rFonts w:hint="eastAsia" w:ascii="仿宋" w:hAnsi="仿宋" w:eastAsia="仿宋" w:cs="仿宋"/>
          <w:b/>
          <w:sz w:val="36"/>
          <w:szCs w:val="36"/>
          <w:highlight w:val="none"/>
        </w:rPr>
      </w:pPr>
    </w:p>
    <w:p w14:paraId="4E2E2A16">
      <w:pPr>
        <w:spacing w:line="360" w:lineRule="auto"/>
        <w:jc w:val="center"/>
        <w:rPr>
          <w:rFonts w:hint="eastAsia" w:ascii="仿宋" w:hAnsi="仿宋" w:eastAsia="仿宋" w:cs="仿宋"/>
          <w:b/>
          <w:sz w:val="36"/>
          <w:szCs w:val="36"/>
          <w:highlight w:val="none"/>
        </w:rPr>
      </w:pPr>
    </w:p>
    <w:p w14:paraId="65DC17A2">
      <w:pPr>
        <w:spacing w:line="360" w:lineRule="auto"/>
        <w:jc w:val="center"/>
        <w:rPr>
          <w:rFonts w:hint="eastAsia" w:ascii="仿宋" w:hAnsi="仿宋" w:eastAsia="仿宋" w:cs="仿宋"/>
          <w:b/>
          <w:sz w:val="36"/>
          <w:szCs w:val="36"/>
          <w:highlight w:val="none"/>
        </w:rPr>
      </w:pPr>
    </w:p>
    <w:p w14:paraId="1C54FE58">
      <w:pPr>
        <w:spacing w:line="360" w:lineRule="auto"/>
        <w:jc w:val="center"/>
        <w:rPr>
          <w:rFonts w:hint="eastAsia" w:ascii="仿宋" w:hAnsi="仿宋" w:eastAsia="仿宋" w:cs="仿宋"/>
          <w:b/>
          <w:sz w:val="36"/>
          <w:szCs w:val="36"/>
          <w:highlight w:val="none"/>
        </w:rPr>
      </w:pPr>
    </w:p>
    <w:p w14:paraId="341DAD2D">
      <w:pPr>
        <w:spacing w:before="158" w:beforeLines="50" w:line="360" w:lineRule="auto"/>
        <w:ind w:firstLine="1928" w:firstLineChars="600"/>
        <w:rPr>
          <w:rFonts w:hint="eastAsia" w:ascii="仿宋" w:hAnsi="仿宋" w:eastAsia="仿宋" w:cs="仿宋"/>
          <w:b/>
          <w:bCs/>
          <w:sz w:val="32"/>
          <w:szCs w:val="32"/>
          <w:highlight w:val="none"/>
        </w:rPr>
      </w:pPr>
    </w:p>
    <w:p w14:paraId="1E4466F9">
      <w:pPr>
        <w:spacing w:before="158" w:beforeLines="50" w:line="360" w:lineRule="auto"/>
        <w:ind w:firstLine="2249" w:firstLineChars="700"/>
        <w:jc w:val="both"/>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rPr>
        <w:t>采购人：</w:t>
      </w:r>
    </w:p>
    <w:p w14:paraId="1F2F449B">
      <w:pPr>
        <w:spacing w:before="158" w:beforeLines="50" w:line="360" w:lineRule="auto"/>
        <w:ind w:firstLine="2249" w:firstLineChars="700"/>
        <w:jc w:val="left"/>
        <w:rPr>
          <w:rFonts w:hint="eastAsia" w:ascii="仿宋" w:hAnsi="仿宋" w:eastAsia="仿宋" w:cs="仿宋"/>
          <w:b/>
          <w:bCs/>
          <w:sz w:val="32"/>
          <w:szCs w:val="32"/>
          <w:highlight w:val="none"/>
          <w:u w:val="single"/>
        </w:rPr>
      </w:pPr>
      <w:r>
        <w:rPr>
          <w:rFonts w:hint="eastAsia" w:ascii="仿宋" w:hAnsi="仿宋" w:eastAsia="仿宋" w:cs="仿宋"/>
          <w:b/>
          <w:bCs/>
          <w:sz w:val="32"/>
          <w:szCs w:val="32"/>
          <w:highlight w:val="none"/>
        </w:rPr>
        <w:t>供应商：</w:t>
      </w:r>
    </w:p>
    <w:p w14:paraId="149FC95E">
      <w:pPr>
        <w:spacing w:line="360" w:lineRule="auto"/>
        <w:jc w:val="center"/>
        <w:rPr>
          <w:rFonts w:hint="eastAsia" w:ascii="仿宋" w:hAnsi="仿宋" w:eastAsia="仿宋" w:cs="仿宋"/>
          <w:b/>
          <w:bCs/>
          <w:sz w:val="36"/>
          <w:szCs w:val="36"/>
          <w:highlight w:val="none"/>
        </w:rPr>
      </w:pPr>
      <w:r>
        <w:rPr>
          <w:rFonts w:hint="eastAsia" w:ascii="仿宋" w:hAnsi="仿宋" w:eastAsia="仿宋" w:cs="仿宋"/>
          <w:b/>
          <w:bCs/>
          <w:sz w:val="32"/>
          <w:szCs w:val="32"/>
          <w:highlight w:val="none"/>
        </w:rPr>
        <w:t>二〇二</w:t>
      </w:r>
      <w:r>
        <w:rPr>
          <w:rFonts w:hint="eastAsia" w:ascii="仿宋" w:hAnsi="仿宋" w:eastAsia="仿宋" w:cs="仿宋"/>
          <w:b/>
          <w:bCs/>
          <w:sz w:val="32"/>
          <w:szCs w:val="32"/>
          <w:highlight w:val="none"/>
          <w:lang w:val="en-US" w:eastAsia="zh-CN"/>
        </w:rPr>
        <w:t>六</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6"/>
          <w:szCs w:val="36"/>
          <w:highlight w:val="none"/>
        </w:rPr>
        <w:br w:type="page"/>
      </w:r>
      <w:r>
        <w:rPr>
          <w:rFonts w:hint="eastAsia" w:ascii="仿宋" w:hAnsi="仿宋" w:eastAsia="仿宋" w:cs="仿宋"/>
          <w:b/>
          <w:bCs/>
          <w:sz w:val="36"/>
          <w:szCs w:val="36"/>
          <w:highlight w:val="none"/>
        </w:rPr>
        <w:t>第一部分  协议书</w:t>
      </w:r>
    </w:p>
    <w:p w14:paraId="3A93A93E">
      <w:pPr>
        <w:adjustRightInd w:val="0"/>
        <w:snapToGrid w:val="0"/>
        <w:spacing w:line="360" w:lineRule="auto"/>
        <w:ind w:firstLine="442" w:firstLineChars="200"/>
        <w:rPr>
          <w:rFonts w:hint="eastAsia" w:ascii="仿宋" w:hAnsi="仿宋" w:eastAsia="仿宋" w:cs="仿宋"/>
          <w:b/>
          <w:sz w:val="22"/>
          <w:szCs w:val="22"/>
          <w:highlight w:val="none"/>
        </w:rPr>
      </w:pPr>
      <w:r>
        <w:rPr>
          <w:rFonts w:hint="eastAsia" w:ascii="仿宋" w:hAnsi="仿宋" w:eastAsia="仿宋" w:cs="仿宋"/>
          <w:b/>
          <w:sz w:val="22"/>
          <w:szCs w:val="22"/>
          <w:highlight w:val="none"/>
        </w:rPr>
        <w:t>采购人（甲方）：</w:t>
      </w:r>
      <w:r>
        <w:rPr>
          <w:rFonts w:hint="eastAsia" w:ascii="仿宋" w:hAnsi="仿宋" w:eastAsia="仿宋" w:cs="仿宋"/>
          <w:b/>
          <w:sz w:val="22"/>
          <w:szCs w:val="22"/>
          <w:highlight w:val="none"/>
          <w:u w:val="single"/>
        </w:rPr>
        <w:t xml:space="preserve">                                  </w:t>
      </w:r>
    </w:p>
    <w:p w14:paraId="581F861A">
      <w:pPr>
        <w:adjustRightInd w:val="0"/>
        <w:snapToGrid w:val="0"/>
        <w:spacing w:line="360" w:lineRule="auto"/>
        <w:ind w:firstLine="442" w:firstLineChars="200"/>
        <w:rPr>
          <w:rFonts w:hint="eastAsia" w:ascii="仿宋" w:hAnsi="仿宋" w:eastAsia="仿宋" w:cs="仿宋"/>
          <w:sz w:val="22"/>
          <w:szCs w:val="22"/>
          <w:highlight w:val="none"/>
        </w:rPr>
      </w:pPr>
      <w:r>
        <w:rPr>
          <w:rFonts w:hint="eastAsia" w:ascii="仿宋" w:hAnsi="仿宋" w:eastAsia="仿宋" w:cs="仿宋"/>
          <w:b/>
          <w:sz w:val="22"/>
          <w:szCs w:val="22"/>
          <w:highlight w:val="none"/>
        </w:rPr>
        <w:t>供应商（乙方）：</w:t>
      </w:r>
      <w:r>
        <w:rPr>
          <w:rFonts w:hint="eastAsia" w:ascii="仿宋" w:hAnsi="仿宋" w:eastAsia="仿宋" w:cs="仿宋"/>
          <w:b/>
          <w:sz w:val="22"/>
          <w:szCs w:val="22"/>
          <w:highlight w:val="none"/>
          <w:u w:val="single"/>
        </w:rPr>
        <w:t xml:space="preserve">                                  </w:t>
      </w:r>
    </w:p>
    <w:p w14:paraId="41ADD6C0">
      <w:pPr>
        <w:adjustRightInd w:val="0"/>
        <w:snapToGrid w:val="0"/>
        <w:spacing w:line="360" w:lineRule="auto"/>
        <w:ind w:firstLine="440" w:firstLineChars="200"/>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根据《</w:t>
      </w:r>
      <w:r>
        <w:rPr>
          <w:rFonts w:hint="eastAsia" w:ascii="仿宋" w:hAnsi="仿宋" w:eastAsia="仿宋" w:cs="仿宋"/>
          <w:sz w:val="22"/>
          <w:szCs w:val="22"/>
          <w:highlight w:val="none"/>
          <w:lang w:eastAsia="zh-CN"/>
        </w:rPr>
        <w:t>中华人民共和国民法典</w:t>
      </w:r>
      <w:r>
        <w:rPr>
          <w:rFonts w:hint="eastAsia" w:ascii="仿宋" w:hAnsi="仿宋" w:eastAsia="仿宋" w:cs="仿宋"/>
          <w:sz w:val="22"/>
          <w:szCs w:val="22"/>
          <w:highlight w:val="none"/>
        </w:rPr>
        <w:t>》及其他有关法律、法规，遵循平等、自愿、公平和诚信的原则，双方就下述项目范围与相关服务事项协商一致，订立本合同。</w:t>
      </w:r>
    </w:p>
    <w:p w14:paraId="7A2EBD18">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一、项目概况</w:t>
      </w:r>
    </w:p>
    <w:p w14:paraId="7989DCAF">
      <w:pPr>
        <w:adjustRightInd w:val="0"/>
        <w:snapToGrid w:val="0"/>
        <w:spacing w:line="360" w:lineRule="auto"/>
        <w:ind w:left="640" w:leftChars="200" w:hanging="220" w:hangingChars="100"/>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1. 项目名称：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3A131C72">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2. 项目地点：</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0ACD0F6E">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二、组成本合同的文件</w:t>
      </w:r>
    </w:p>
    <w:p w14:paraId="6943611A">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1. 协议书；</w:t>
      </w:r>
    </w:p>
    <w:p w14:paraId="20B27B96">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2. 成交通知书、</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w:t>
      </w:r>
      <w:r>
        <w:rPr>
          <w:rFonts w:hint="eastAsia" w:ascii="仿宋" w:hAnsi="仿宋" w:eastAsia="仿宋" w:cs="仿宋"/>
          <w:sz w:val="22"/>
          <w:szCs w:val="22"/>
          <w:highlight w:val="none"/>
          <w:lang w:eastAsia="zh-CN"/>
        </w:rPr>
        <w:t>单一来源采购文件</w:t>
      </w:r>
      <w:r>
        <w:rPr>
          <w:rFonts w:hint="eastAsia" w:ascii="仿宋" w:hAnsi="仿宋" w:eastAsia="仿宋" w:cs="仿宋"/>
          <w:sz w:val="22"/>
          <w:szCs w:val="22"/>
          <w:highlight w:val="none"/>
        </w:rPr>
        <w:t>、澄清、</w:t>
      </w:r>
      <w:r>
        <w:rPr>
          <w:rFonts w:hint="eastAsia" w:ascii="仿宋" w:hAnsi="仿宋" w:eastAsia="仿宋" w:cs="仿宋"/>
          <w:sz w:val="22"/>
          <w:szCs w:val="22"/>
          <w:highlight w:val="none"/>
          <w:lang w:val="en-US" w:eastAsia="zh-CN"/>
        </w:rPr>
        <w:t>协商</w:t>
      </w:r>
      <w:r>
        <w:rPr>
          <w:rFonts w:hint="eastAsia" w:ascii="仿宋" w:hAnsi="仿宋" w:eastAsia="仿宋" w:cs="仿宋"/>
          <w:sz w:val="22"/>
          <w:szCs w:val="22"/>
          <w:highlight w:val="none"/>
        </w:rPr>
        <w:t>补充文件；</w:t>
      </w:r>
    </w:p>
    <w:p w14:paraId="082E453C">
      <w:pPr>
        <w:adjustRightInd w:val="0"/>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 相关服务建议书；</w:t>
      </w:r>
    </w:p>
    <w:p w14:paraId="7DFFFFA4">
      <w:pPr>
        <w:adjustRightInd w:val="0"/>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4. 附录，即：附表内相关服务的范围和内容；</w:t>
      </w:r>
    </w:p>
    <w:p w14:paraId="1777F4AE">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本合同签订后，双方依法签订的补充协议也是本合同文件的组成部分。</w:t>
      </w:r>
    </w:p>
    <w:p w14:paraId="331C97DE">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三、合同金额</w:t>
      </w:r>
    </w:p>
    <w:p w14:paraId="4A335D8B">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合同金额（大写）：</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w:t>
      </w:r>
    </w:p>
    <w:p w14:paraId="72A3621F">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合同总价即中标价，为一次性报价，不受市场</w:t>
      </w:r>
      <w:r>
        <w:rPr>
          <w:rFonts w:hint="eastAsia" w:ascii="仿宋" w:hAnsi="仿宋" w:eastAsia="仿宋" w:cs="仿宋"/>
          <w:sz w:val="22"/>
          <w:szCs w:val="22"/>
          <w:highlight w:val="none"/>
          <w:lang w:eastAsia="zh-CN"/>
        </w:rPr>
        <w:t>价格</w:t>
      </w:r>
      <w:r>
        <w:rPr>
          <w:rFonts w:hint="eastAsia" w:ascii="仿宋" w:hAnsi="仿宋" w:eastAsia="仿宋" w:cs="仿宋"/>
          <w:sz w:val="22"/>
          <w:szCs w:val="22"/>
          <w:highlight w:val="none"/>
        </w:rPr>
        <w:t>变化或实际工作量变化的影响。合同价格为含税价，供应商（中标人）提供</w:t>
      </w:r>
      <w:r>
        <w:rPr>
          <w:rFonts w:hint="eastAsia" w:ascii="仿宋" w:hAnsi="仿宋" w:eastAsia="仿宋" w:cs="仿宋"/>
          <w:sz w:val="22"/>
          <w:szCs w:val="22"/>
          <w:highlight w:val="none"/>
          <w:lang w:val="en-US" w:eastAsia="zh-CN"/>
        </w:rPr>
        <w:t>服务</w:t>
      </w:r>
      <w:r>
        <w:rPr>
          <w:rFonts w:hint="eastAsia" w:ascii="仿宋" w:hAnsi="仿宋" w:eastAsia="仿宋" w:cs="仿宋"/>
          <w:sz w:val="22"/>
          <w:szCs w:val="22"/>
          <w:highlight w:val="none"/>
        </w:rPr>
        <w:t>所发生的一切税（包括增值税）费等都已包含于合同价款中。</w:t>
      </w:r>
    </w:p>
    <w:p w14:paraId="693C0D88">
      <w:pPr>
        <w:adjustRightInd w:val="0"/>
        <w:snapToGrid w:val="0"/>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四、结算方式</w:t>
      </w:r>
    </w:p>
    <w:p w14:paraId="45F235CC">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1)结算单位：银行转账，由采购人负责结算。在付款前，供应商必须开具与合同金额相应的发票给采购人，附详细清单。</w:t>
      </w:r>
    </w:p>
    <w:p w14:paraId="630DCE24">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2)付款方式:</w:t>
      </w:r>
    </w:p>
    <w:p w14:paraId="7ADC0663">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合同签订后，成交人按合同价开具全额发票 ，达到付款条件起 5 日内，支付合同总金额的 100.00%</w:t>
      </w:r>
      <w:r>
        <w:rPr>
          <w:rFonts w:hint="eastAsia" w:ascii="仿宋" w:hAnsi="仿宋" w:eastAsia="仿宋" w:cs="仿宋"/>
          <w:color w:val="auto"/>
          <w:sz w:val="22"/>
          <w:szCs w:val="22"/>
          <w:highlight w:val="none"/>
          <w:lang w:eastAsia="zh-CN"/>
        </w:rPr>
        <w:t>。</w:t>
      </w:r>
    </w:p>
    <w:p w14:paraId="6A0E32C6">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 xml:space="preserve">五、服务期  </w:t>
      </w:r>
    </w:p>
    <w:p w14:paraId="48D4B2CA">
      <w:pPr>
        <w:tabs>
          <w:tab w:val="left" w:pos="840"/>
        </w:tabs>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w:t>
      </w:r>
    </w:p>
    <w:p w14:paraId="3B4B573F">
      <w:pPr>
        <w:numPr>
          <w:ilvl w:val="0"/>
          <w:numId w:val="1"/>
        </w:numPr>
        <w:tabs>
          <w:tab w:val="left" w:pos="840"/>
        </w:tabs>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内容及要求</w:t>
      </w:r>
    </w:p>
    <w:p w14:paraId="47D6157D">
      <w:pPr>
        <w:pStyle w:val="5"/>
        <w:shd w:val="clear"/>
        <w:spacing w:line="360" w:lineRule="auto"/>
        <w:ind w:firstLine="440" w:firstLineChars="200"/>
        <w:rPr>
          <w:rFonts w:hint="eastAsia" w:ascii="仿宋" w:hAnsi="仿宋" w:eastAsia="仿宋" w:cs="仿宋"/>
          <w:color w:val="auto"/>
          <w:kern w:val="0"/>
          <w:sz w:val="22"/>
          <w:szCs w:val="22"/>
          <w:highlight w:val="none"/>
          <w:u w:val="single"/>
        </w:rPr>
      </w:pPr>
      <w:r>
        <w:rPr>
          <w:rFonts w:hint="eastAsia" w:ascii="仿宋" w:hAnsi="仿宋" w:eastAsia="仿宋" w:cs="仿宋"/>
          <w:color w:val="auto"/>
          <w:kern w:val="0"/>
          <w:sz w:val="22"/>
          <w:szCs w:val="22"/>
          <w:highlight w:val="none"/>
        </w:rPr>
        <w:t>主要工作内容及要求：完成甲方下达的</w:t>
      </w:r>
      <w:r>
        <w:rPr>
          <w:rFonts w:hint="eastAsia" w:ascii="仿宋" w:hAnsi="仿宋" w:eastAsia="仿宋" w:cs="仿宋"/>
          <w:color w:val="auto"/>
          <w:sz w:val="22"/>
          <w:szCs w:val="22"/>
          <w:highlight w:val="none"/>
          <w:u w:val="single"/>
        </w:rPr>
        <w:t xml:space="preserve">                        ，工作要求详见本</w:t>
      </w:r>
      <w:r>
        <w:rPr>
          <w:rFonts w:hint="eastAsia" w:ascii="仿宋" w:hAnsi="仿宋" w:eastAsia="仿宋" w:cs="仿宋"/>
          <w:color w:val="auto"/>
          <w:sz w:val="22"/>
          <w:szCs w:val="22"/>
          <w:highlight w:val="none"/>
          <w:u w:val="single"/>
          <w:lang w:val="en-US" w:eastAsia="zh-CN"/>
        </w:rPr>
        <w:t>单一来源采购</w:t>
      </w:r>
      <w:r>
        <w:rPr>
          <w:rFonts w:hint="eastAsia" w:ascii="仿宋" w:hAnsi="仿宋" w:eastAsia="仿宋" w:cs="仿宋"/>
          <w:color w:val="auto"/>
          <w:sz w:val="22"/>
          <w:szCs w:val="22"/>
          <w:highlight w:val="none"/>
          <w:u w:val="single"/>
        </w:rPr>
        <w:t>文件第</w:t>
      </w:r>
      <w:r>
        <w:rPr>
          <w:rFonts w:hint="eastAsia" w:ascii="仿宋" w:hAnsi="仿宋" w:eastAsia="仿宋" w:cs="仿宋"/>
          <w:color w:val="auto"/>
          <w:sz w:val="22"/>
          <w:szCs w:val="22"/>
          <w:highlight w:val="none"/>
          <w:u w:val="single"/>
          <w:lang w:val="en-US" w:eastAsia="zh-CN"/>
        </w:rPr>
        <w:t>三章</w:t>
      </w:r>
      <w:r>
        <w:rPr>
          <w:rFonts w:hint="eastAsia" w:ascii="仿宋" w:hAnsi="仿宋" w:eastAsia="仿宋" w:cs="仿宋"/>
          <w:color w:val="auto"/>
          <w:kern w:val="0"/>
          <w:sz w:val="22"/>
          <w:szCs w:val="22"/>
          <w:highlight w:val="none"/>
        </w:rPr>
        <w:t>。</w:t>
      </w:r>
    </w:p>
    <w:p w14:paraId="18DC26A2">
      <w:pPr>
        <w:numPr>
          <w:ilvl w:val="0"/>
          <w:numId w:val="1"/>
        </w:numPr>
        <w:tabs>
          <w:tab w:val="left" w:pos="840"/>
        </w:tabs>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rPr>
        <w:t>验收方式及验收依据</w:t>
      </w:r>
    </w:p>
    <w:p w14:paraId="7704B9DC">
      <w:pPr>
        <w:adjustRightInd w:val="0"/>
        <w:snapToGrid w:val="0"/>
        <w:spacing w:line="360" w:lineRule="auto"/>
        <w:ind w:firstLine="435" w:firstLineChars="198"/>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项目完工后，</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向</w:t>
      </w:r>
      <w:r>
        <w:rPr>
          <w:rFonts w:hint="eastAsia" w:ascii="仿宋" w:hAnsi="仿宋" w:eastAsia="仿宋" w:cs="仿宋"/>
          <w:sz w:val="22"/>
          <w:szCs w:val="22"/>
          <w:highlight w:val="none"/>
          <w:lang w:val="en-US" w:eastAsia="zh-CN"/>
        </w:rPr>
        <w:t>甲方</w:t>
      </w:r>
      <w:r>
        <w:rPr>
          <w:rFonts w:hint="eastAsia" w:ascii="仿宋" w:hAnsi="仿宋" w:eastAsia="仿宋" w:cs="仿宋"/>
          <w:sz w:val="22"/>
          <w:szCs w:val="22"/>
          <w:highlight w:val="none"/>
        </w:rPr>
        <w:t>提交验收申请</w:t>
      </w:r>
      <w:r>
        <w:rPr>
          <w:rFonts w:hint="eastAsia" w:ascii="仿宋" w:hAnsi="仿宋" w:eastAsia="仿宋" w:cs="仿宋"/>
          <w:sz w:val="22"/>
          <w:szCs w:val="22"/>
          <w:highlight w:val="none"/>
          <w:lang w:val="en-US" w:eastAsia="zh-CN"/>
        </w:rPr>
        <w:t>。</w:t>
      </w:r>
    </w:p>
    <w:p w14:paraId="4A8D7C2C">
      <w:pPr>
        <w:adjustRightInd w:val="0"/>
        <w:snapToGrid w:val="0"/>
        <w:spacing w:line="360" w:lineRule="auto"/>
        <w:ind w:firstLine="435" w:firstLineChars="198"/>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2、甲方</w:t>
      </w:r>
      <w:r>
        <w:rPr>
          <w:rFonts w:hint="eastAsia" w:ascii="仿宋" w:hAnsi="仿宋" w:eastAsia="仿宋" w:cs="仿宋"/>
          <w:sz w:val="22"/>
          <w:szCs w:val="22"/>
          <w:highlight w:val="none"/>
        </w:rPr>
        <w:t>收到验收申请后组织验收，验收时</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应无条件予以配合并提供验收所需的全部资料，若</w:t>
      </w:r>
      <w:r>
        <w:rPr>
          <w:rFonts w:hint="eastAsia" w:ascii="仿宋" w:hAnsi="仿宋" w:eastAsia="仿宋" w:cs="仿宋"/>
          <w:sz w:val="22"/>
          <w:szCs w:val="22"/>
          <w:highlight w:val="none"/>
          <w:lang w:val="en-US" w:eastAsia="zh-CN"/>
        </w:rPr>
        <w:t>乙方</w:t>
      </w:r>
      <w:r>
        <w:rPr>
          <w:rFonts w:hint="eastAsia" w:ascii="仿宋" w:hAnsi="仿宋" w:eastAsia="仿宋" w:cs="仿宋"/>
          <w:sz w:val="22"/>
          <w:szCs w:val="22"/>
          <w:highlight w:val="none"/>
        </w:rPr>
        <w:t>不配合或者未按合同要求提供服务的，</w:t>
      </w:r>
      <w:r>
        <w:rPr>
          <w:rFonts w:hint="eastAsia" w:ascii="仿宋" w:hAnsi="仿宋" w:eastAsia="仿宋" w:cs="仿宋"/>
          <w:sz w:val="22"/>
          <w:szCs w:val="22"/>
          <w:highlight w:val="none"/>
          <w:lang w:val="en-US" w:eastAsia="zh-CN"/>
        </w:rPr>
        <w:t>甲方</w:t>
      </w:r>
      <w:r>
        <w:rPr>
          <w:rFonts w:hint="eastAsia" w:ascii="仿宋" w:hAnsi="仿宋" w:eastAsia="仿宋" w:cs="仿宋"/>
          <w:sz w:val="22"/>
          <w:szCs w:val="22"/>
          <w:highlight w:val="none"/>
        </w:rPr>
        <w:t>将拒绝验收</w:t>
      </w:r>
      <w:r>
        <w:rPr>
          <w:rFonts w:hint="eastAsia" w:ascii="仿宋" w:hAnsi="仿宋" w:eastAsia="仿宋" w:cs="仿宋"/>
          <w:sz w:val="22"/>
          <w:szCs w:val="22"/>
          <w:highlight w:val="none"/>
          <w:lang w:val="en-US" w:eastAsia="zh-CN"/>
        </w:rPr>
        <w:t>。</w:t>
      </w:r>
    </w:p>
    <w:p w14:paraId="4A641264">
      <w:pPr>
        <w:adjustRightInd w:val="0"/>
        <w:snapToGrid w:val="0"/>
        <w:spacing w:line="360" w:lineRule="auto"/>
        <w:ind w:firstLine="435" w:firstLineChars="198"/>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3、验收依据</w:t>
      </w:r>
    </w:p>
    <w:p w14:paraId="175CEF87">
      <w:pPr>
        <w:adjustRightInd w:val="0"/>
        <w:snapToGrid w:val="0"/>
        <w:spacing w:line="360" w:lineRule="auto"/>
        <w:ind w:firstLine="435" w:firstLineChars="198"/>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①单一来源文件、响应文件、澄清表（函）；</w:t>
      </w:r>
    </w:p>
    <w:p w14:paraId="2EDDE942">
      <w:pPr>
        <w:adjustRightInd w:val="0"/>
        <w:snapToGrid w:val="0"/>
        <w:spacing w:line="360" w:lineRule="auto"/>
        <w:ind w:firstLine="435" w:firstLineChars="198"/>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②本合同及附件文本；</w:t>
      </w:r>
    </w:p>
    <w:p w14:paraId="1B66C8AA">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③国家相应的标准、规范。</w:t>
      </w:r>
    </w:p>
    <w:p w14:paraId="571CB9EF">
      <w:pPr>
        <w:spacing w:line="360" w:lineRule="auto"/>
        <w:rPr>
          <w:rFonts w:hint="eastAsia" w:ascii="仿宋" w:hAnsi="仿宋" w:eastAsia="仿宋" w:cs="仿宋"/>
          <w:b/>
          <w:sz w:val="22"/>
          <w:szCs w:val="22"/>
          <w:highlight w:val="none"/>
        </w:rPr>
      </w:pPr>
      <w:r>
        <w:rPr>
          <w:rFonts w:hint="eastAsia" w:ascii="仿宋" w:hAnsi="仿宋" w:eastAsia="仿宋" w:cs="仿宋"/>
          <w:b/>
          <w:sz w:val="22"/>
          <w:szCs w:val="22"/>
          <w:highlight w:val="none"/>
          <w:lang w:val="en-US" w:eastAsia="zh-CN"/>
        </w:rPr>
        <w:t>八</w:t>
      </w:r>
      <w:r>
        <w:rPr>
          <w:rFonts w:hint="eastAsia" w:ascii="仿宋" w:hAnsi="仿宋" w:eastAsia="仿宋" w:cs="仿宋"/>
          <w:b/>
          <w:sz w:val="22"/>
          <w:szCs w:val="22"/>
          <w:highlight w:val="none"/>
        </w:rPr>
        <w:t>、售后服务</w:t>
      </w:r>
    </w:p>
    <w:p w14:paraId="27817B1B">
      <w:pPr>
        <w:tabs>
          <w:tab w:val="left" w:pos="840"/>
        </w:tabs>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技术支持和售后服务由供应商严格按</w:t>
      </w:r>
      <w:r>
        <w:rPr>
          <w:rFonts w:hint="eastAsia" w:ascii="仿宋" w:hAnsi="仿宋" w:eastAsia="仿宋" w:cs="仿宋"/>
          <w:sz w:val="22"/>
          <w:szCs w:val="22"/>
          <w:highlight w:val="none"/>
          <w:lang w:eastAsia="zh-CN"/>
        </w:rPr>
        <w:t>单一来源采购文件</w:t>
      </w:r>
      <w:r>
        <w:rPr>
          <w:rFonts w:hint="eastAsia" w:ascii="仿宋" w:hAnsi="仿宋" w:eastAsia="仿宋" w:cs="仿宋"/>
          <w:sz w:val="22"/>
          <w:szCs w:val="22"/>
          <w:highlight w:val="none"/>
        </w:rPr>
        <w:t>及有关承诺执行，确保采购人正确安全使用。</w:t>
      </w:r>
    </w:p>
    <w:p w14:paraId="2056D432">
      <w:pPr>
        <w:tabs>
          <w:tab w:val="left" w:pos="840"/>
        </w:tabs>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售后服务联系方式：          </w:t>
      </w:r>
    </w:p>
    <w:p w14:paraId="496FC446">
      <w:pPr>
        <w:tabs>
          <w:tab w:val="left" w:pos="840"/>
        </w:tabs>
        <w:spacing w:line="360" w:lineRule="auto"/>
        <w:ind w:firstLine="440" w:firstLineChars="200"/>
        <w:rPr>
          <w:rFonts w:hint="eastAsia" w:ascii="仿宋" w:hAnsi="仿宋" w:eastAsia="仿宋" w:cs="仿宋"/>
          <w:b/>
          <w:sz w:val="22"/>
          <w:szCs w:val="22"/>
          <w:highlight w:val="none"/>
        </w:rPr>
      </w:pPr>
      <w:r>
        <w:rPr>
          <w:rFonts w:hint="eastAsia" w:ascii="仿宋" w:hAnsi="仿宋" w:eastAsia="仿宋" w:cs="仿宋"/>
          <w:sz w:val="22"/>
          <w:szCs w:val="22"/>
          <w:highlight w:val="none"/>
        </w:rPr>
        <w:t>如供应商迨于或不能履行维护保养义务，采购人有权委托第三方处理，由此产生的费用和风险由供应商承担。</w:t>
      </w:r>
    </w:p>
    <w:p w14:paraId="26BF980B">
      <w:pPr>
        <w:shd w:val="clear"/>
        <w:tabs>
          <w:tab w:val="left" w:pos="840"/>
        </w:tabs>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九</w:t>
      </w:r>
      <w:r>
        <w:rPr>
          <w:rFonts w:hint="eastAsia" w:ascii="仿宋" w:hAnsi="仿宋" w:eastAsia="仿宋" w:cs="仿宋"/>
          <w:b/>
          <w:color w:val="auto"/>
          <w:sz w:val="22"/>
          <w:szCs w:val="22"/>
          <w:highlight w:val="none"/>
        </w:rPr>
        <w:t>、保密</w:t>
      </w:r>
    </w:p>
    <w:p w14:paraId="5495245A">
      <w:pPr>
        <w:shd w:val="clear"/>
        <w:tabs>
          <w:tab w:val="left" w:pos="1080"/>
        </w:tabs>
        <w:spacing w:line="360" w:lineRule="auto"/>
        <w:ind w:firstLine="330" w:firstLineChars="1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乙方应</w:t>
      </w:r>
      <w:r>
        <w:rPr>
          <w:rFonts w:hint="eastAsia" w:ascii="仿宋" w:hAnsi="仿宋" w:eastAsia="仿宋" w:cs="仿宋"/>
          <w:color w:val="auto"/>
          <w:sz w:val="22"/>
          <w:szCs w:val="22"/>
          <w:highlight w:val="none"/>
        </w:rPr>
        <w:t>对</w:t>
      </w:r>
      <w:r>
        <w:rPr>
          <w:rFonts w:hint="eastAsia" w:ascii="仿宋" w:hAnsi="仿宋" w:eastAsia="仿宋" w:cs="仿宋"/>
          <w:color w:val="auto"/>
          <w:sz w:val="22"/>
          <w:szCs w:val="22"/>
          <w:highlight w:val="none"/>
          <w:lang w:val="en-US" w:eastAsia="zh-CN"/>
        </w:rPr>
        <w:t>服务</w:t>
      </w:r>
      <w:r>
        <w:rPr>
          <w:rFonts w:hint="eastAsia" w:ascii="仿宋" w:hAnsi="仿宋" w:eastAsia="仿宋" w:cs="仿宋"/>
          <w:color w:val="auto"/>
          <w:sz w:val="22"/>
          <w:szCs w:val="22"/>
          <w:highlight w:val="none"/>
        </w:rPr>
        <w:t>工作中了解到的</w:t>
      </w:r>
      <w:r>
        <w:rPr>
          <w:rFonts w:hint="eastAsia" w:ascii="仿宋" w:hAnsi="仿宋" w:eastAsia="仿宋" w:cs="仿宋"/>
          <w:strike w:val="0"/>
          <w:dstrike w:val="0"/>
          <w:color w:val="auto"/>
          <w:sz w:val="22"/>
          <w:szCs w:val="22"/>
          <w:highlight w:val="none"/>
          <w:lang w:val="en-US" w:eastAsia="zh-CN"/>
        </w:rPr>
        <w:t>相关</w:t>
      </w:r>
      <w:r>
        <w:rPr>
          <w:rFonts w:hint="eastAsia" w:ascii="仿宋" w:hAnsi="仿宋" w:eastAsia="仿宋" w:cs="仿宋"/>
          <w:color w:val="auto"/>
          <w:sz w:val="22"/>
          <w:szCs w:val="22"/>
          <w:highlight w:val="none"/>
          <w:lang w:val="en-US" w:eastAsia="zh-CN"/>
        </w:rPr>
        <w:t>信息</w:t>
      </w:r>
      <w:r>
        <w:rPr>
          <w:rFonts w:hint="eastAsia" w:ascii="仿宋" w:hAnsi="仿宋" w:eastAsia="仿宋" w:cs="仿宋"/>
          <w:color w:val="auto"/>
          <w:sz w:val="22"/>
          <w:szCs w:val="22"/>
          <w:highlight w:val="none"/>
        </w:rPr>
        <w:t>进行严格保密，</w:t>
      </w:r>
      <w:r>
        <w:rPr>
          <w:rFonts w:hint="eastAsia" w:ascii="仿宋" w:hAnsi="仿宋" w:eastAsia="仿宋" w:cs="仿宋"/>
          <w:color w:val="auto"/>
          <w:sz w:val="22"/>
          <w:szCs w:val="22"/>
          <w:highlight w:val="none"/>
          <w:lang w:val="en-US" w:eastAsia="zh-CN"/>
        </w:rPr>
        <w:t>采取一切技术及制度防范措施，防止出现服务信息失泄密问题</w:t>
      </w:r>
      <w:r>
        <w:rPr>
          <w:rFonts w:hint="eastAsia" w:ascii="仿宋" w:hAnsi="仿宋" w:eastAsia="仿宋" w:cs="仿宋"/>
          <w:color w:val="auto"/>
          <w:sz w:val="22"/>
          <w:szCs w:val="22"/>
          <w:highlight w:val="none"/>
        </w:rPr>
        <w:t>。本合同的解除或终止不免除</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应承担的保密义务。</w:t>
      </w:r>
    </w:p>
    <w:p w14:paraId="720CB484">
      <w:pPr>
        <w:shd w:val="clear"/>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十</w:t>
      </w:r>
      <w:r>
        <w:rPr>
          <w:rFonts w:hint="eastAsia" w:ascii="仿宋" w:hAnsi="仿宋" w:eastAsia="仿宋" w:cs="仿宋"/>
          <w:b/>
          <w:color w:val="auto"/>
          <w:sz w:val="22"/>
          <w:szCs w:val="22"/>
          <w:highlight w:val="none"/>
        </w:rPr>
        <w:t>、知识产权</w:t>
      </w:r>
    </w:p>
    <w:p w14:paraId="4775F8DB">
      <w:pPr>
        <w:shd w:val="clea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应对所</w:t>
      </w:r>
      <w:r>
        <w:rPr>
          <w:rFonts w:hint="eastAsia" w:ascii="仿宋" w:hAnsi="仿宋" w:eastAsia="仿宋" w:cs="仿宋"/>
          <w:color w:val="auto"/>
          <w:sz w:val="22"/>
          <w:szCs w:val="22"/>
          <w:highlight w:val="none"/>
          <w:lang w:val="en-US" w:eastAsia="zh-CN"/>
        </w:rPr>
        <w:t>提</w:t>
      </w:r>
      <w:r>
        <w:rPr>
          <w:rFonts w:hint="eastAsia" w:ascii="仿宋" w:hAnsi="仿宋" w:eastAsia="仿宋" w:cs="仿宋"/>
          <w:color w:val="auto"/>
          <w:sz w:val="22"/>
          <w:szCs w:val="22"/>
          <w:highlight w:val="none"/>
        </w:rPr>
        <w:t>供服务具有或已取得合法知识产权，</w:t>
      </w:r>
      <w:r>
        <w:rPr>
          <w:rFonts w:hint="eastAsia" w:ascii="仿宋" w:hAnsi="仿宋" w:eastAsia="仿宋" w:cs="仿宋"/>
          <w:strike w:val="0"/>
          <w:dstrike w:val="0"/>
          <w:color w:val="auto"/>
          <w:sz w:val="22"/>
          <w:szCs w:val="22"/>
          <w:highlight w:val="none"/>
          <w:u w:val="none"/>
          <w:lang w:val="en-US" w:eastAsia="zh-CN"/>
        </w:rPr>
        <w:t>并</w:t>
      </w:r>
      <w:r>
        <w:rPr>
          <w:rFonts w:hint="eastAsia" w:ascii="仿宋" w:hAnsi="仿宋" w:eastAsia="仿宋" w:cs="仿宋"/>
          <w:color w:val="auto"/>
          <w:sz w:val="22"/>
          <w:szCs w:val="22"/>
          <w:highlight w:val="none"/>
        </w:rPr>
        <w:t>保证所供服务不会出现因第三方提出侵犯其专利权、商标权或其它知识产权而引发法律或经济纠纷，否则由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负责解决并承担全部责任；如因此影响到</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的正常使用，</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有权单方解除本合同，</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应无条件向</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退回已收取的全部合同价款，给</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造成损失的，由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一并赔偿。</w:t>
      </w:r>
    </w:p>
    <w:p w14:paraId="215C8179">
      <w:pPr>
        <w:shd w:val="clear"/>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十一、</w:t>
      </w:r>
      <w:r>
        <w:rPr>
          <w:rFonts w:hint="eastAsia" w:ascii="仿宋" w:hAnsi="仿宋" w:eastAsia="仿宋" w:cs="仿宋"/>
          <w:b/>
          <w:color w:val="auto"/>
          <w:sz w:val="22"/>
          <w:szCs w:val="22"/>
          <w:highlight w:val="none"/>
        </w:rPr>
        <w:t>合同争议的解决</w:t>
      </w:r>
    </w:p>
    <w:p w14:paraId="7E0150C3">
      <w:pPr>
        <w:shd w:val="clea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合同执行中发生争议的，</w:t>
      </w:r>
      <w:r>
        <w:rPr>
          <w:rFonts w:hint="eastAsia" w:ascii="仿宋" w:hAnsi="仿宋" w:eastAsia="仿宋" w:cs="仿宋"/>
          <w:color w:val="auto"/>
          <w:sz w:val="22"/>
          <w:szCs w:val="22"/>
          <w:highlight w:val="none"/>
          <w:lang w:val="en-US" w:eastAsia="zh-CN"/>
        </w:rPr>
        <w:t>甲、乙</w:t>
      </w:r>
      <w:r>
        <w:rPr>
          <w:rFonts w:hint="eastAsia" w:ascii="仿宋" w:hAnsi="仿宋" w:eastAsia="仿宋" w:cs="仿宋"/>
          <w:color w:val="auto"/>
          <w:sz w:val="22"/>
          <w:szCs w:val="22"/>
          <w:highlight w:val="none"/>
        </w:rPr>
        <w:t>双方应协商解决。协商达不成一致时，可向当地行政仲裁机关申请仲裁或者向</w:t>
      </w:r>
      <w:r>
        <w:rPr>
          <w:rFonts w:hint="eastAsia" w:ascii="仿宋" w:hAnsi="仿宋" w:eastAsia="仿宋" w:cs="仿宋"/>
          <w:color w:val="auto"/>
          <w:sz w:val="22"/>
          <w:szCs w:val="22"/>
          <w:highlight w:val="none"/>
          <w:lang w:val="en-US" w:eastAsia="zh-CN"/>
        </w:rPr>
        <w:t>甲方所在地区</w:t>
      </w:r>
      <w:r>
        <w:rPr>
          <w:rFonts w:hint="eastAsia" w:ascii="仿宋" w:hAnsi="仿宋" w:eastAsia="仿宋" w:cs="仿宋"/>
          <w:color w:val="auto"/>
          <w:sz w:val="22"/>
          <w:szCs w:val="22"/>
          <w:highlight w:val="none"/>
        </w:rPr>
        <w:t>人民法院提请诉讼。</w:t>
      </w:r>
    </w:p>
    <w:p w14:paraId="1424F878">
      <w:pPr>
        <w:shd w:val="clear"/>
        <w:spacing w:line="360" w:lineRule="auto"/>
        <w:jc w:val="left"/>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十</w:t>
      </w:r>
      <w:r>
        <w:rPr>
          <w:rFonts w:hint="eastAsia" w:ascii="仿宋" w:hAnsi="仿宋" w:eastAsia="仿宋" w:cs="仿宋"/>
          <w:b/>
          <w:bCs/>
          <w:color w:val="auto"/>
          <w:sz w:val="22"/>
          <w:szCs w:val="22"/>
          <w:highlight w:val="none"/>
          <w:lang w:val="en-US" w:eastAsia="zh-CN"/>
        </w:rPr>
        <w:t>二</w:t>
      </w:r>
      <w:r>
        <w:rPr>
          <w:rFonts w:hint="eastAsia" w:ascii="仿宋" w:hAnsi="仿宋" w:eastAsia="仿宋" w:cs="仿宋"/>
          <w:b/>
          <w:bCs/>
          <w:color w:val="auto"/>
          <w:sz w:val="22"/>
          <w:szCs w:val="22"/>
          <w:highlight w:val="none"/>
        </w:rPr>
        <w:t>、不可抗力情况下的免责约定</w:t>
      </w:r>
    </w:p>
    <w:p w14:paraId="4AC76637">
      <w:pPr>
        <w:shd w:val="clea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双方约定不可抗力情况指：双方不可预见、不可避免、不可克服的客观情况，但不包括双方的违约或疏忽。这些事件包括但不限于：战争、严重火灾、洪水、台风、地震等。</w:t>
      </w:r>
    </w:p>
    <w:p w14:paraId="10E7DBFC">
      <w:pPr>
        <w:shd w:val="clear"/>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w:t>
      </w:r>
      <w:r>
        <w:rPr>
          <w:rFonts w:hint="eastAsia" w:ascii="仿宋" w:hAnsi="仿宋" w:eastAsia="仿宋" w:cs="仿宋"/>
          <w:b/>
          <w:color w:val="auto"/>
          <w:sz w:val="22"/>
          <w:szCs w:val="22"/>
          <w:highlight w:val="none"/>
          <w:lang w:val="en-US" w:eastAsia="zh-CN"/>
        </w:rPr>
        <w:t>三</w:t>
      </w:r>
      <w:r>
        <w:rPr>
          <w:rFonts w:hint="eastAsia" w:ascii="仿宋" w:hAnsi="仿宋" w:eastAsia="仿宋" w:cs="仿宋"/>
          <w:b/>
          <w:color w:val="auto"/>
          <w:sz w:val="22"/>
          <w:szCs w:val="22"/>
          <w:highlight w:val="none"/>
        </w:rPr>
        <w:t>、违约责任</w:t>
      </w:r>
    </w:p>
    <w:p w14:paraId="7B7882C2">
      <w:pPr>
        <w:shd w:val="clea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（1）按《中华人民共和国民法典》中的相关条款执行。</w:t>
      </w:r>
    </w:p>
    <w:p w14:paraId="6A5D41AE">
      <w:pPr>
        <w:shd w:val="clea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（2）未按合同要求提供的服务，采购人会同招标组织机构有权终止合同和对供应商的违约行为进行追究。</w:t>
      </w:r>
    </w:p>
    <w:p w14:paraId="442BDA57">
      <w:pPr>
        <w:shd w:val="clea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（3）供应商不能按期完成工作任务，供应商须按采购人已支付金额的双倍金额，返还于采购人，作为赔偿。如因采购人原因导致产品不能按计划完成，供应商不用承担赔偿责任。</w:t>
      </w:r>
    </w:p>
    <w:p w14:paraId="7D131F27">
      <w:pPr>
        <w:shd w:val="clear"/>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w:t>
      </w:r>
      <w:r>
        <w:rPr>
          <w:rFonts w:hint="eastAsia" w:ascii="仿宋" w:hAnsi="仿宋" w:eastAsia="仿宋" w:cs="仿宋"/>
          <w:b/>
          <w:color w:val="auto"/>
          <w:sz w:val="22"/>
          <w:szCs w:val="22"/>
          <w:highlight w:val="none"/>
          <w:lang w:val="en-US" w:eastAsia="zh-CN"/>
        </w:rPr>
        <w:t>四</w:t>
      </w:r>
      <w:r>
        <w:rPr>
          <w:rFonts w:hint="eastAsia" w:ascii="仿宋" w:hAnsi="仿宋" w:eastAsia="仿宋" w:cs="仿宋"/>
          <w:b/>
          <w:color w:val="auto"/>
          <w:sz w:val="22"/>
          <w:szCs w:val="22"/>
          <w:highlight w:val="none"/>
        </w:rPr>
        <w:t>、其他</w:t>
      </w:r>
    </w:p>
    <w:p w14:paraId="09A97648">
      <w:pPr>
        <w:shd w:val="clear"/>
        <w:tabs>
          <w:tab w:val="left" w:pos="980"/>
        </w:tabs>
        <w:kinsoku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本合同一式</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份，具有同等法律效力，双方各执</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份，双方签字盖章后生效。未尽事宜，双方协商解决。</w:t>
      </w:r>
    </w:p>
    <w:p w14:paraId="64FF1A5F">
      <w:pPr>
        <w:shd w:val="clear"/>
        <w:adjustRightInd w:val="0"/>
        <w:snapToGrid w:val="0"/>
        <w:spacing w:line="360" w:lineRule="auto"/>
        <w:ind w:firstLine="435" w:firstLineChars="198"/>
        <w:rPr>
          <w:rFonts w:hint="eastAsia" w:ascii="仿宋" w:hAnsi="仿宋" w:eastAsia="仿宋" w:cs="仿宋"/>
          <w:b w:val="0"/>
          <w:bCs/>
          <w:color w:val="auto"/>
          <w:sz w:val="22"/>
          <w:szCs w:val="22"/>
          <w:highlight w:val="none"/>
        </w:rPr>
      </w:pPr>
    </w:p>
    <w:p w14:paraId="50D9C338">
      <w:pPr>
        <w:pStyle w:val="5"/>
        <w:spacing w:line="360" w:lineRule="auto"/>
        <w:rPr>
          <w:rFonts w:hint="eastAsia" w:ascii="仿宋" w:hAnsi="仿宋" w:eastAsia="仿宋" w:cs="仿宋"/>
          <w:sz w:val="22"/>
          <w:szCs w:val="22"/>
          <w:highlight w:val="none"/>
        </w:rPr>
      </w:pPr>
    </w:p>
    <w:p w14:paraId="67598533">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rPr>
        <w:t>采购人：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（盖章）      </w:t>
      </w:r>
      <w:r>
        <w:rPr>
          <w:rFonts w:hint="eastAsia" w:ascii="仿宋" w:hAnsi="仿宋" w:eastAsia="仿宋" w:cs="仿宋"/>
          <w:sz w:val="22"/>
          <w:szCs w:val="22"/>
          <w:highlight w:val="none"/>
        </w:rPr>
        <w:t xml:space="preserve">         供应商：</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（盖章）       </w:t>
      </w:r>
    </w:p>
    <w:p w14:paraId="5F4480FA">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 xml:space="preserve">地 址：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地  址：</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p>
    <w:p w14:paraId="5EAA7102">
      <w:pPr>
        <w:adjustRightInd w:val="0"/>
        <w:snapToGrid w:val="0"/>
        <w:spacing w:line="360" w:lineRule="auto"/>
        <w:ind w:firstLine="435" w:firstLineChars="198"/>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法人</w:t>
      </w:r>
      <w:r>
        <w:rPr>
          <w:rFonts w:hint="eastAsia" w:ascii="仿宋" w:hAnsi="仿宋" w:eastAsia="仿宋" w:cs="仿宋"/>
          <w:sz w:val="22"/>
          <w:szCs w:val="22"/>
          <w:highlight w:val="none"/>
        </w:rPr>
        <w:t>或其授权</w:t>
      </w:r>
      <w:r>
        <w:rPr>
          <w:rFonts w:hint="eastAsia" w:ascii="仿宋" w:hAnsi="仿宋" w:eastAsia="仿宋" w:cs="仿宋"/>
          <w:sz w:val="22"/>
          <w:szCs w:val="22"/>
          <w:highlight w:val="none"/>
          <w:lang w:val="en-US" w:eastAsia="zh-CN"/>
        </w:rPr>
        <w:t>代表：</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（签字）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en-US" w:eastAsia="zh-CN"/>
        </w:rPr>
        <w:t>法人</w:t>
      </w:r>
      <w:r>
        <w:rPr>
          <w:rFonts w:hint="eastAsia" w:ascii="仿宋" w:hAnsi="仿宋" w:eastAsia="仿宋" w:cs="仿宋"/>
          <w:sz w:val="22"/>
          <w:szCs w:val="22"/>
          <w:highlight w:val="none"/>
        </w:rPr>
        <w:t>或其授权</w:t>
      </w:r>
      <w:r>
        <w:rPr>
          <w:rFonts w:hint="eastAsia" w:ascii="仿宋" w:hAnsi="仿宋" w:eastAsia="仿宋" w:cs="仿宋"/>
          <w:sz w:val="22"/>
          <w:szCs w:val="22"/>
          <w:highlight w:val="none"/>
          <w:lang w:val="en-US" w:eastAsia="zh-CN"/>
        </w:rPr>
        <w:t>代表：</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（签字）  </w:t>
      </w:r>
      <w:r>
        <w:rPr>
          <w:rFonts w:hint="eastAsia" w:ascii="仿宋" w:hAnsi="仿宋" w:eastAsia="仿宋" w:cs="仿宋"/>
          <w:sz w:val="22"/>
          <w:szCs w:val="22"/>
          <w:highlight w:val="none"/>
        </w:rPr>
        <w:t xml:space="preserve"> </w:t>
      </w:r>
    </w:p>
    <w:p w14:paraId="7DDF1B47">
      <w:pPr>
        <w:adjustRightInd w:val="0"/>
        <w:snapToGrid w:val="0"/>
        <w:spacing w:line="360" w:lineRule="auto"/>
        <w:ind w:firstLine="435" w:firstLineChars="198"/>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订立时间：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订立时间：</w:t>
      </w:r>
      <w:r>
        <w:rPr>
          <w:rFonts w:hint="eastAsia" w:ascii="仿宋" w:hAnsi="仿宋" w:eastAsia="仿宋" w:cs="仿宋"/>
          <w:sz w:val="22"/>
          <w:szCs w:val="22"/>
          <w:highlight w:val="none"/>
          <w:u w:val="single"/>
        </w:rPr>
        <w:t xml:space="preserve">                   </w:t>
      </w:r>
    </w:p>
    <w:p w14:paraId="6EE121FC">
      <w:pPr>
        <w:adjustRightInd w:val="0"/>
        <w:snapToGrid w:val="0"/>
        <w:spacing w:line="360" w:lineRule="auto"/>
        <w:ind w:firstLine="0" w:firstLineChars="0"/>
        <w:rPr>
          <w:rFonts w:ascii="仿宋_GB2312" w:hAnsi="仿宋_GB2312" w:eastAsia="仿宋_GB2312" w:cs="仿宋_GB2312"/>
          <w:color w:val="auto"/>
          <w:sz w:val="24"/>
          <w:szCs w:val="24"/>
          <w:highlight w:val="none"/>
        </w:rPr>
      </w:pPr>
    </w:p>
    <w:p w14:paraId="09442726">
      <w:pPr>
        <w:pStyle w:val="5"/>
        <w:rPr>
          <w:rFonts w:hint="default"/>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F4F21"/>
    <w:multiLevelType w:val="singleLevel"/>
    <w:tmpl w:val="AA5F4F2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07914"/>
    <w:rsid w:val="2BBE2DF7"/>
    <w:rsid w:val="39E76805"/>
    <w:rsid w:val="4D6A06BC"/>
    <w:rsid w:val="522D0AC2"/>
    <w:rsid w:val="64307297"/>
    <w:rsid w:val="64C3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b/>
      <w:spacing w:val="20"/>
      <w:kern w:val="0"/>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eastAsia="en-US"/>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5"/>
    <w:unhideWhenUsed/>
    <w:qFormat/>
    <w:uiPriority w:val="0"/>
    <w:pPr>
      <w:ind w:firstLine="420" w:firstLineChars="100"/>
    </w:pPr>
    <w:rPr>
      <w:rFonts w:ascii="Calibri" w:hAnsi="Calibri"/>
      <w:sz w:val="18"/>
      <w:szCs w:val="18"/>
    </w:rPr>
  </w:style>
  <w:style w:type="paragraph" w:styleId="11">
    <w:name w:val="Body Text First Indent 2"/>
    <w:basedOn w:val="6"/>
    <w:next w:val="1"/>
    <w:qFormat/>
    <w:uiPriority w:val="0"/>
    <w:pPr>
      <w:ind w:firstLine="20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_Style 2"/>
    <w:basedOn w:val="1"/>
    <w:qFormat/>
    <w:uiPriority w:val="99"/>
    <w:pPr>
      <w:ind w:firstLine="420" w:firstLineChars="200"/>
    </w:pPr>
    <w:rPr>
      <w:szCs w:val="24"/>
    </w:rPr>
  </w:style>
  <w:style w:type="paragraph" w:customStyle="1" w:styleId="16">
    <w:name w:val="列出段落1"/>
    <w:basedOn w:val="1"/>
    <w:qFormat/>
    <w:uiPriority w:val="34"/>
    <w:pPr>
      <w:ind w:firstLine="420" w:firstLineChars="200"/>
    </w:pPr>
  </w:style>
  <w:style w:type="paragraph" w:styleId="17">
    <w:name w:val="List Paragraph"/>
    <w:basedOn w:val="1"/>
    <w:qFormat/>
    <w:uiPriority w:val="34"/>
    <w:pPr>
      <w:ind w:firstLine="420" w:firstLineChars="200"/>
    </w:pPr>
  </w:style>
  <w:style w:type="paragraph" w:customStyle="1" w:styleId="1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1941</Words>
  <Characters>1973</Characters>
  <Lines>0</Lines>
  <Paragraphs>0</Paragraphs>
  <TotalTime>0</TotalTime>
  <ScaleCrop>false</ScaleCrop>
  <LinksUpToDate>false</LinksUpToDate>
  <CharactersWithSpaces>2557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凌空</cp:lastModifiedBy>
  <dcterms:modified xsi:type="dcterms:W3CDTF">2026-05-28T06:39:10Z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eyJoZGlkIjoiNmJkNmEwODUxZTlhY2U2ZTM0OTI0ZDY1ZmQzYTAyZjYiLCJ1c2VySWQiOiIzOTk4MjE2MDEifQ==</vt:lpwstr>
  </property>
  <property fmtid="{D5CDD505-2E9C-101B-9397-08002B2CF9AE}" pid="4" name="ICV">
    <vt:lpwstr>2A7B3C8737ED4C52AF842FA872DEABAC_12</vt:lpwstr>
  </property>
</Properties>
</file>