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版本号：RH采字【20260607】号20260618001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曲江校区学生公寓宿舍室内及公共区域粉刷维修项目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RH采字【20260607】号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曲江校区学生公寓宿舍室内及公共区域粉刷维修项目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RH采字【20260607】号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曲江校区学生公寓宿舍室内及公共区域粉刷维修项目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曲江校区学生公寓宿舍室内及公共区域粉刷维修（毕业腾空房、迎新宿舍），包含室内墙面整体粉刷125间，局部粉刷170间，同时对部分公寓楼（3-5#公寓门楼门厅、10#公寓全部）公共区域进行粉刷，折合粉刷面积约26800㎡，施工方案包含铲墙皮、批腻子2遍、刷乳胶漆2遍，以及室内家具搬移及保护、保洁、建筑垃圾清运等；另有问题房间维修、更换3-10号公寓地面瓷砖和踢脚线、吊顶、照明灯具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采购包1（曲江校区学生公寓宿舍室内及公共区域粉刷维修项目）：属于专门面向中小企业采购。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9、供应商企业资质：供应商须具备建设行政主管部门颁发的建筑装修装饰工程专业承包二级以上（含二级）资质（或按国家住建部资质改革要求换发的新版建筑装修装饰工程专业承包乙级以上（含乙级）资质），具有有效的安全生产许可证。</w:t>
      </w:r>
    </w:p>
    <w:p>
      <w:pPr>
        <w:pStyle w:val="null3"/>
      </w:pPr>
      <w:r>
        <w:rPr>
          <w:rFonts w:ascii="仿宋_GB2312" w:hAnsi="仿宋_GB2312" w:cs="仿宋_GB2312" w:eastAsia="仿宋_GB2312"/>
        </w:rPr>
        <w:t>10、拟派项目负责人资格和专业要求：具备建筑工程专业二级以上（含二级）注册建造师资格及合格的安全生产考核合格证（建安B证），须在本单位注册，且无在建项目（提供承诺）。</w:t>
      </w:r>
    </w:p>
    <w:p>
      <w:pPr>
        <w:pStyle w:val="null3"/>
      </w:pPr>
      <w:r>
        <w:rPr>
          <w:rFonts w:ascii="仿宋_GB2312" w:hAnsi="仿宋_GB2312" w:cs="仿宋_GB2312" w:eastAsia="仿宋_GB2312"/>
        </w:rPr>
        <w:t>11、供应商及拟派项目经理基本信息：供应商及拟派项目经理基本信息须在“陕西省住房和城乡建设厅网”网站（js.shaanxi.gov.cn）可查询（提供承诺）。</w:t>
      </w:r>
    </w:p>
    <w:p>
      <w:pPr>
        <w:pStyle w:val="null3"/>
      </w:pPr>
      <w:r>
        <w:rPr>
          <w:rFonts w:ascii="仿宋_GB2312" w:hAnsi="仿宋_GB2312" w:cs="仿宋_GB2312" w:eastAsia="仿宋_GB2312"/>
        </w:rPr>
        <w:t>12、外省进陕企业要求：供应商为外省进陕企业的，须提供陕西省住房和城乡建设厅官网企业库外省进陕企业信息首页截图。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踏勘时间：2026-06-29 09:00:00</w:t>
            </w:r>
          </w:p>
          <w:p>
            <w:pPr>
              <w:pStyle w:val="null3"/>
              <w:ind w:firstLine="975"/>
            </w:pPr>
            <w:r>
              <w:rPr>
                <w:rFonts w:ascii="仿宋_GB2312" w:hAnsi="仿宋_GB2312" w:cs="仿宋_GB2312" w:eastAsia="仿宋_GB2312"/>
              </w:rPr>
              <w:t>踏勘地点：西安理工大学曲江校区西区东门口（西安市新开门北路）集合</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联系电话号码：15091632950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1,241,640.30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曲江校区学生公寓宿舍室内及公共区域粉刷维修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标的名称：曲江校区学生公寓宿舍室内及公共区域粉刷维修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项目概况：</w:t>
            </w:r>
          </w:p>
          <w:p>
            <w:pPr>
              <w:pStyle w:val="null3"/>
            </w:pPr>
            <w:r>
              <w:rPr>
                <w:rFonts w:ascii="仿宋_GB2312" w:hAnsi="仿宋_GB2312" w:cs="仿宋_GB2312" w:eastAsia="仿宋_GB2312"/>
                <w:sz w:val="20"/>
              </w:rPr>
              <w:t>本项目为曲江校区学生公寓宿舍室内及公共区域粉刷维修（毕业腾空房、迎新宿舍），包含室内墙面整体粉刷</w:t>
            </w:r>
            <w:r>
              <w:rPr>
                <w:rFonts w:ascii="仿宋_GB2312" w:hAnsi="仿宋_GB2312" w:cs="仿宋_GB2312" w:eastAsia="仿宋_GB2312"/>
                <w:sz w:val="20"/>
              </w:rPr>
              <w:t>125间，局部粉刷170间，同时对部分公寓楼（3-5#公寓门楼门厅、10#公寓全部）公共区域进行粉刷，折合粉刷面积约26800㎡，施工方案包含铲墙皮、批腻子2遍、刷乳胶漆2遍，以及室内家具搬移及保护、保洁、建筑垃圾清运等；另有问题房间维修、更换3-10号公寓地面瓷砖和踢脚线、吊顶、照明灯具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工期</w:t>
            </w:r>
            <w:r>
              <w:rPr>
                <w:rFonts w:ascii="仿宋_GB2312" w:hAnsi="仿宋_GB2312" w:cs="仿宋_GB2312" w:eastAsia="仿宋_GB2312"/>
                <w:sz w:val="20"/>
                <w:b/>
              </w:rPr>
              <w:t>：</w:t>
            </w:r>
            <w:r>
              <w:rPr>
                <w:rFonts w:ascii="仿宋_GB2312" w:hAnsi="仿宋_GB2312" w:cs="仿宋_GB2312" w:eastAsia="仿宋_GB2312"/>
                <w:sz w:val="20"/>
              </w:rPr>
              <w:t>30日历天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项目地点</w:t>
            </w:r>
            <w:r>
              <w:rPr>
                <w:rFonts w:ascii="仿宋_GB2312" w:hAnsi="仿宋_GB2312" w:cs="仿宋_GB2312" w:eastAsia="仿宋_GB2312"/>
                <w:sz w:val="20"/>
                <w:b/>
              </w:rPr>
              <w:t>：</w:t>
            </w:r>
            <w:r>
              <w:rPr>
                <w:rFonts w:ascii="仿宋_GB2312" w:hAnsi="仿宋_GB2312" w:cs="仿宋_GB2312" w:eastAsia="仿宋_GB2312"/>
                <w:sz w:val="20"/>
              </w:rPr>
              <w:t>西安理工大学曲江校区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质量要求</w:t>
            </w:r>
            <w:r>
              <w:rPr>
                <w:rFonts w:ascii="仿宋_GB2312" w:hAnsi="仿宋_GB2312" w:cs="仿宋_GB2312" w:eastAsia="仿宋_GB2312"/>
                <w:sz w:val="20"/>
                <w:b/>
              </w:rPr>
              <w:t>：</w:t>
            </w:r>
            <w:r>
              <w:rPr>
                <w:rFonts w:ascii="仿宋_GB2312" w:hAnsi="仿宋_GB2312" w:cs="仿宋_GB2312" w:eastAsia="仿宋_GB2312"/>
                <w:sz w:val="20"/>
              </w:rPr>
              <w:t>须符合国家施工验收规范要求，达到合格标准。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质保期</w:t>
            </w:r>
            <w:r>
              <w:rPr>
                <w:rFonts w:ascii="仿宋_GB2312" w:hAnsi="仿宋_GB2312" w:cs="仿宋_GB2312" w:eastAsia="仿宋_GB2312"/>
                <w:sz w:val="20"/>
                <w:b/>
              </w:rPr>
              <w:t>：</w:t>
            </w:r>
            <w:r>
              <w:rPr>
                <w:rFonts w:ascii="仿宋_GB2312" w:hAnsi="仿宋_GB2312" w:cs="仿宋_GB2312" w:eastAsia="仿宋_GB2312"/>
                <w:sz w:val="20"/>
              </w:rPr>
              <w:t>质保期</w:t>
            </w:r>
            <w:r>
              <w:rPr>
                <w:rFonts w:ascii="仿宋_GB2312" w:hAnsi="仿宋_GB2312" w:cs="仿宋_GB2312" w:eastAsia="仿宋_GB2312"/>
                <w:sz w:val="20"/>
              </w:rPr>
              <w:t>为两年</w:t>
            </w:r>
            <w:r>
              <w:rPr>
                <w:rFonts w:ascii="仿宋_GB2312" w:hAnsi="仿宋_GB2312" w:cs="仿宋_GB2312" w:eastAsia="仿宋_GB2312"/>
                <w:sz w:val="20"/>
              </w:rPr>
              <w:t>，</w:t>
            </w:r>
            <w:r>
              <w:rPr>
                <w:rFonts w:ascii="仿宋_GB2312" w:hAnsi="仿宋_GB2312" w:cs="仿宋_GB2312" w:eastAsia="仿宋_GB2312"/>
                <w:sz w:val="20"/>
              </w:rPr>
              <w:t>如承诺延长的按承诺期限。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0"/>
                <w:b/>
              </w:rPr>
              <w:t>技术要求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供应商应按招标文件中施工图纸、技术要求和工程量清单的要求编制响应文件，并在响应文件中注明主要材料选用品牌、规格型号等。如供应商在响应文件中未按要求注明材料品牌，则采购人有权按最有利于采购人的方式指定材料品牌（主要推荐品牌如下：乳胶漆：立邦、三棵树、多乐士等同档次级别品牌）。</w:t>
            </w:r>
          </w:p>
          <w:p>
            <w:pPr>
              <w:pStyle w:val="null3"/>
              <w:jc w:val="both"/>
            </w:pPr>
            <w:r>
              <w:rPr>
                <w:rFonts w:ascii="仿宋_GB2312" w:hAnsi="仿宋_GB2312" w:cs="仿宋_GB2312" w:eastAsia="仿宋_GB2312"/>
                <w:sz w:val="20"/>
              </w:rPr>
              <w:t>要求所有建筑材料采用环保型材料，阻燃、无毒、无害、无放射性。施工时，需提供主要施工材料来源渠道合法的证明文件（包括但不限于销售协议、代理协议、原厂授权等）。因施工不善或材料使用不当发生工程事故及人员伤害的，责任和由此而发生的各种费用由施工单位全部承担。</w:t>
            </w:r>
          </w:p>
          <w:p>
            <w:pPr>
              <w:pStyle w:val="null3"/>
            </w:pPr>
            <w:r>
              <w:rPr>
                <w:rFonts w:ascii="仿宋_GB2312" w:hAnsi="仿宋_GB2312" w:cs="仿宋_GB2312" w:eastAsia="仿宋_GB2312"/>
                <w:sz w:val="20"/>
              </w:rPr>
              <w:t>2.工程施工应按国家现行标准和相应的行业技术规范执行，这些标准和技术规范应为合同签订日为止最新公布发行的标准和技术规范。包括但不限于《建筑工程施工质量验收统一标准》GB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rPr>
              <w:t>合同价款形式</w:t>
            </w:r>
            <w:r>
              <w:rPr>
                <w:rFonts w:ascii="仿宋_GB2312" w:hAnsi="仿宋_GB2312" w:cs="仿宋_GB2312" w:eastAsia="仿宋_GB2312"/>
                <w:sz w:val="20"/>
                <w:b/>
              </w:rPr>
              <w:t>：</w:t>
            </w:r>
            <w:r>
              <w:rPr>
                <w:rFonts w:ascii="仿宋_GB2312" w:hAnsi="仿宋_GB2312" w:cs="仿宋_GB2312" w:eastAsia="仿宋_GB2312"/>
                <w:sz w:val="20"/>
              </w:rPr>
              <w:t>固定综合单价。</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0"/>
                <w:b/>
              </w:rPr>
              <w:t>工程款支付：</w:t>
            </w:r>
          </w:p>
          <w:p>
            <w:pPr>
              <w:pStyle w:val="null3"/>
            </w:pPr>
            <w:r>
              <w:rPr>
                <w:rFonts w:ascii="仿宋_GB2312" w:hAnsi="仿宋_GB2312" w:cs="仿宋_GB2312" w:eastAsia="仿宋_GB2312"/>
                <w:sz w:val="20"/>
              </w:rPr>
              <w:t>合同签订、施工方进场后，支付合同价款的</w:t>
            </w:r>
            <w:r>
              <w:rPr>
                <w:rFonts w:ascii="仿宋_GB2312" w:hAnsi="仿宋_GB2312" w:cs="仿宋_GB2312" w:eastAsia="仿宋_GB2312"/>
                <w:sz w:val="20"/>
              </w:rPr>
              <w:t>40%预付款，工程完工并经学校现场管理人员初验合格后，支付至合同价款的80%；工程竣工验收合格、结算经</w:t>
            </w:r>
            <w:r>
              <w:rPr>
                <w:rFonts w:ascii="仿宋_GB2312" w:hAnsi="仿宋_GB2312" w:cs="仿宋_GB2312" w:eastAsia="仿宋_GB2312"/>
                <w:sz w:val="20"/>
              </w:rPr>
              <w:t>采购人</w:t>
            </w:r>
            <w:r>
              <w:rPr>
                <w:rFonts w:ascii="仿宋_GB2312" w:hAnsi="仿宋_GB2312" w:cs="仿宋_GB2312" w:eastAsia="仿宋_GB2312"/>
                <w:sz w:val="20"/>
              </w:rPr>
              <w:t>审定并完成资料归档后，支付剩余全部工程款。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0"/>
                <w:b/>
              </w:rPr>
              <w:t>其它要求：</w:t>
            </w:r>
          </w:p>
          <w:p>
            <w:pPr>
              <w:pStyle w:val="null3"/>
              <w:jc w:val="left"/>
            </w:pPr>
            <w:r>
              <w:rPr>
                <w:rFonts w:ascii="仿宋_GB2312" w:hAnsi="仿宋_GB2312" w:cs="仿宋_GB2312" w:eastAsia="仿宋_GB2312"/>
                <w:sz w:val="20"/>
              </w:rPr>
              <w:t>1.施工单位的食宿由施工方自行解决，应遵守国家和建设单位的各项规定，及时至建设单位保卫处办理入校相关手续，施工期间的所有安全问题及由此而发生的各种费用由施工单位全部负责和承担。</w:t>
            </w:r>
          </w:p>
          <w:p>
            <w:pPr>
              <w:pStyle w:val="null3"/>
              <w:jc w:val="left"/>
            </w:pPr>
            <w:r>
              <w:rPr>
                <w:rFonts w:ascii="仿宋_GB2312" w:hAnsi="仿宋_GB2312" w:cs="仿宋_GB2312" w:eastAsia="仿宋_GB2312"/>
                <w:sz w:val="20"/>
              </w:rPr>
              <w:t>2.项目踏勘现场时，请仔细研究设计图纸、工程量清单及现场情况，如有异议请及时提出，如无异议表示确认招标资料，中标后不予变更签证；如因建设单位要求确需变更签证的，需严格按照建设单位变更签证管理办法相关程序办理申批手续。</w:t>
            </w:r>
          </w:p>
          <w:p>
            <w:pPr>
              <w:pStyle w:val="null3"/>
              <w:jc w:val="left"/>
            </w:pPr>
            <w:r>
              <w:rPr>
                <w:rFonts w:ascii="仿宋_GB2312" w:hAnsi="仿宋_GB2312" w:cs="仿宋_GB2312" w:eastAsia="仿宋_GB2312"/>
                <w:sz w:val="20"/>
              </w:rPr>
              <w:t>3.施工产生的电费和水费由建设单位安装电表和水表计量，水费5.80元/吨，电费0.80元/度。</w:t>
            </w:r>
          </w:p>
          <w:p>
            <w:pPr>
              <w:pStyle w:val="null3"/>
              <w:jc w:val="left"/>
            </w:pPr>
            <w:r>
              <w:rPr>
                <w:rFonts w:ascii="仿宋_GB2312" w:hAnsi="仿宋_GB2312" w:cs="仿宋_GB2312" w:eastAsia="仿宋_GB2312"/>
                <w:sz w:val="20"/>
              </w:rPr>
              <w:t>4.施工单位必须按照建设单位要求，严格按照工期要求保质保量完成工程；若延误工期，每日按照合同总额的千分之五处罚（若因天气等不可抗力因素导致延误，需作书面说明）。</w:t>
            </w:r>
          </w:p>
          <w:p>
            <w:pPr>
              <w:pStyle w:val="null3"/>
              <w:jc w:val="left"/>
            </w:pPr>
            <w:r>
              <w:rPr>
                <w:rFonts w:ascii="仿宋_GB2312" w:hAnsi="仿宋_GB2312" w:cs="仿宋_GB2312" w:eastAsia="仿宋_GB2312"/>
                <w:sz w:val="20"/>
              </w:rPr>
              <w:t>5.成交供应商</w:t>
            </w:r>
            <w:r>
              <w:rPr>
                <w:rFonts w:ascii="仿宋_GB2312" w:hAnsi="仿宋_GB2312" w:cs="仿宋_GB2312" w:eastAsia="仿宋_GB2312"/>
                <w:sz w:val="20"/>
              </w:rPr>
              <w:t>须向造价编制单位缴纳造价咨询费，详情见此磋商文件中的合同部分。中标单位在规定的时间内未签署合同或不遵守招标要求，采购人有权取消其中标资格，并将中标资格授予</w:t>
            </w:r>
            <w:r>
              <w:rPr>
                <w:rFonts w:ascii="仿宋_GB2312" w:hAnsi="仿宋_GB2312" w:cs="仿宋_GB2312" w:eastAsia="仿宋_GB2312"/>
                <w:sz w:val="20"/>
              </w:rPr>
              <w:t>“评审结果成交候选人顺序”中排名第二的投标人。</w:t>
            </w:r>
          </w:p>
          <w:p>
            <w:pPr>
              <w:pStyle w:val="null3"/>
              <w:jc w:val="left"/>
            </w:pPr>
            <w:r>
              <w:rPr>
                <w:rFonts w:ascii="仿宋_GB2312" w:hAnsi="仿宋_GB2312" w:cs="仿宋_GB2312" w:eastAsia="仿宋_GB2312"/>
                <w:sz w:val="20"/>
              </w:rPr>
              <w:t>6.施工前，成交供应商应向建设单位后勤处维修管理科提交项目人员安排、进度计划表、安全措施、材料采购计划等（与响应文件一致），如有变动，应做书面说明并经建设单位认可。</w:t>
            </w:r>
          </w:p>
          <w:p>
            <w:pPr>
              <w:pStyle w:val="null3"/>
              <w:jc w:val="left"/>
            </w:pPr>
            <w:r>
              <w:rPr>
                <w:rFonts w:ascii="仿宋_GB2312" w:hAnsi="仿宋_GB2312" w:cs="仿宋_GB2312" w:eastAsia="仿宋_GB2312"/>
                <w:sz w:val="20"/>
              </w:rPr>
              <w:t>7.施工过程中，施工单位必须严格按照采购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w:t>
            </w:r>
          </w:p>
          <w:p>
            <w:pPr>
              <w:pStyle w:val="null3"/>
              <w:jc w:val="left"/>
            </w:pPr>
            <w:r>
              <w:rPr>
                <w:rFonts w:ascii="仿宋_GB2312" w:hAnsi="仿宋_GB2312" w:cs="仿宋_GB2312" w:eastAsia="仿宋_GB2312"/>
                <w:sz w:val="20"/>
              </w:rPr>
              <w:t>8.成交供应商须严格落实安全协议书相关条款和提交的安全措施，如设置施工安全标志、施工人员佩戴安全防护用品、定期组织安全教育培训等。</w:t>
            </w:r>
          </w:p>
          <w:p>
            <w:pPr>
              <w:pStyle w:val="null3"/>
              <w:jc w:val="left"/>
            </w:pPr>
            <w:r>
              <w:rPr>
                <w:rFonts w:ascii="仿宋_GB2312" w:hAnsi="仿宋_GB2312" w:cs="仿宋_GB2312" w:eastAsia="仿宋_GB2312"/>
                <w:sz w:val="20"/>
              </w:rPr>
              <w:t>9.施工前要在门口张贴施工告示，明确工期、负责人及联系方式等，工程材料应集中堆放；施工时严格采取措施控制好扬尘、噪音；施工中产生的建筑垃圾应装袋后及时清理。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纸质响应文件要求：（1）成交供应商应在成交结果公告发布后5个工作日内提供纸质响应文件三份（正本壹份、副本贰份，分别胶装），响应文件需包含目录、无少页、缺页，从响应文件有内容的第一页开始连续页码（或单独使用打码器打码）。（2）递交地址：陕西省西安市曲江新区雁翔路3269号旺座曲江D座30层，联系人：王工，联系电话：15091632950。（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供应商须具备建设行政主管部门颁发的建筑装修装饰工程专业承包二级以上（含二级）资质（或按国家住建部资质改革要求换发的新版建筑装修装饰工程专业承包乙级以上（含乙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拟派项目负责人资格和专业要求</w:t>
            </w:r>
          </w:p>
        </w:tc>
        <w:tc>
          <w:tcPr>
            <w:tcW w:type="dxa" w:w="3322"/>
          </w:tcPr>
          <w:p>
            <w:pPr>
              <w:pStyle w:val="null3"/>
            </w:pPr>
            <w:r>
              <w:rPr>
                <w:rFonts w:ascii="仿宋_GB2312" w:hAnsi="仿宋_GB2312" w:cs="仿宋_GB2312" w:eastAsia="仿宋_GB2312"/>
              </w:rPr>
              <w:t>具备建筑工程专业二级以上（含二级）注册建造师资格及合格的安全生产考核合格证（建安B证），须在本单位注册，且无在建项目（提供承诺）。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供应商及拟派项目经理基本信息须在“陕西省住房和城乡建设厅网”网站（js.shaanxi.gov.cn）可查询（提供承诺）。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外省进陕企业要求</w:t>
            </w:r>
          </w:p>
        </w:tc>
        <w:tc>
          <w:tcPr>
            <w:tcW w:type="dxa" w:w="3322"/>
          </w:tcPr>
          <w:p>
            <w:pPr>
              <w:pStyle w:val="null3"/>
            </w:pPr>
            <w:r>
              <w:rPr>
                <w:rFonts w:ascii="仿宋_GB2312" w:hAnsi="仿宋_GB2312" w:cs="仿宋_GB2312" w:eastAsia="仿宋_GB2312"/>
              </w:rPr>
              <w:t>供应商为外省进陕企业的，须提供陕西省住房和城乡建设厅官网企业库外省进陕企业信息首页截图。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的，磋商小组应当将其作为无效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响应文件按磋商文件要求的数量、计量单位、报价及签字盖章</w:t>
            </w:r>
          </w:p>
        </w:tc>
        <w:tc>
          <w:tcPr>
            <w:tcW w:type="dxa" w:w="3322"/>
          </w:tcPr>
          <w:p>
            <w:pPr>
              <w:pStyle w:val="null3"/>
            </w:pPr>
            <w:r>
              <w:rPr>
                <w:rFonts w:ascii="仿宋_GB2312" w:hAnsi="仿宋_GB2312" w:cs="仿宋_GB2312" w:eastAsia="仿宋_GB2312"/>
              </w:rPr>
              <w:t>响应文件按磋商文件要求的数量、计量单位、报价及签字盖章（合格）响应文件未按磋商文件要求的数量、计量单位、报价及签字盖章（不合格）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响应有效期达到磋商文件要求</w:t>
            </w:r>
          </w:p>
        </w:tc>
        <w:tc>
          <w:tcPr>
            <w:tcW w:type="dxa" w:w="3322"/>
          </w:tcPr>
          <w:p>
            <w:pPr>
              <w:pStyle w:val="null3"/>
            </w:pPr>
            <w:r>
              <w:rPr>
                <w:rFonts w:ascii="仿宋_GB2312" w:hAnsi="仿宋_GB2312" w:cs="仿宋_GB2312" w:eastAsia="仿宋_GB2312"/>
              </w:rPr>
              <w:t>响应有效期达到磋商文件要求（合格）响应有效期未达到磋商文件要求（不合格）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技术、服务、商务响应满足实质性要求</w:t>
            </w:r>
          </w:p>
        </w:tc>
        <w:tc>
          <w:tcPr>
            <w:tcW w:type="dxa" w:w="3322"/>
          </w:tcPr>
          <w:p>
            <w:pPr>
              <w:pStyle w:val="null3"/>
            </w:pPr>
            <w:r>
              <w:rPr>
                <w:rFonts w:ascii="仿宋_GB2312" w:hAnsi="仿宋_GB2312" w:cs="仿宋_GB2312" w:eastAsia="仿宋_GB2312"/>
              </w:rPr>
              <w:t>技术、服务响应满足磋商文件第三章第3.1条“技术、服务标准和要求”；商务响应满足磋商文件第三章第3.2条“商务要求”、3.3条“其他要求”（合格），任意一条不满足（不合格）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磋商保证金满足磋商文件要求</w:t>
            </w:r>
          </w:p>
        </w:tc>
        <w:tc>
          <w:tcPr>
            <w:tcW w:type="dxa" w:w="3322"/>
          </w:tcPr>
          <w:p>
            <w:pPr>
              <w:pStyle w:val="null3"/>
            </w:pPr>
            <w:r>
              <w:rPr>
                <w:rFonts w:ascii="仿宋_GB2312" w:hAnsi="仿宋_GB2312" w:cs="仿宋_GB2312" w:eastAsia="仿宋_GB2312"/>
              </w:rPr>
              <w:t>磋商保证金满足磋商文件要求（合格），磋商保证金不满足磋商文件要求（不合格）</w:t>
            </w:r>
          </w:p>
        </w:tc>
        <w:tc>
          <w:tcPr>
            <w:tcW w:type="dxa" w:w="1661"/>
          </w:tcPr>
          <w:p>
            <w:pPr>
              <w:pStyle w:val="null3"/>
            </w:pPr>
            <w:r>
              <w:rPr>
                <w:rFonts w:ascii="仿宋_GB2312" w:hAnsi="仿宋_GB2312" w:cs="仿宋_GB2312" w:eastAsia="仿宋_GB2312"/>
              </w:rPr>
              <w:t>磋商保证金缴纳证明材料.docx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符合法律、法规和磋商文件中规定的其他实质性要求（合格）不符合法律、法规和磋商文件中规定的其他实质性要求（不合格）</w:t>
            </w:r>
          </w:p>
        </w:tc>
        <w:tc>
          <w:tcPr>
            <w:tcW w:type="dxa" w:w="1661"/>
          </w:tcPr>
          <w:p>
            <w:pPr>
              <w:pStyle w:val="null3"/>
            </w:pPr>
            <w:r>
              <w:rPr>
                <w:rFonts w:ascii="仿宋_GB2312" w:hAnsi="仿宋_GB2312" w:cs="仿宋_GB2312" w:eastAsia="仿宋_GB2312"/>
              </w:rPr>
              <w:t>符合法律、法规和磋商文件中规定的其他实质性要求的承诺函.docx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供应商针对本项目实际需求提供施工方案，内容包含①施工部署；②进度计划；③技术难点、应对措施；④施工流程图或工艺流程。 二、评审标准： ①完整性：内容详细全面，对本项目了解透彻； ②可实施性：切合本项目实际情况，方案全面、施工步骤清晰、合理； ③针对性：方案能够紧扣项目实际情况，内容科学合理。三、赋分标准： ①施工部署：每完全满足一项评审标准得1分，内容有缺陷扣0.5分，缺项或未提供得0分，满分3分； ②进度计划：每完全满足一项评审标准得1分，内容有缺陷扣0.5分，缺项或未提供得0分，满分3分； ③技术难点、应对措施：每完全满足一项评审标准得1分，内容有缺陷扣0.5分，缺项或未提供得0分，满分3分； ④施工流程图或工艺流程：每完全满足一项评审标准得1分，内容有缺陷扣0.5分，缺项或未提供得0分，满分3分。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实际需求提供确保工程质量的技术组织措施，内容包含①质量目标；②质量管理体系（体系需包含质量责任、人员培训、资源配置、质量检查、应急处理等环节)；③质量管理措施（需提供过往项目质量验收报告或第三方检测证明）。 二、评审标准 ①完整性：内容详细全面，对本项目了解透彻； ②可实施性：切合本项目实际情况，措施全面、清晰、合理； ③针对性：方案能够紧扣项目实际情况，内容科学合理。 三、赋分标准： ①质量目标：每完全满足一项评审标准得1分，内容有缺陷扣0.5分，缺项或未提供得0分，满分3分； ②质量管理体系：每完全满足一项评审标准得2分，内容有缺陷扣1分，缺项或未提供得0分，满分6分； ③质量管理措施：每完全满足一项评审标准得1分，内容有缺陷扣0.5分，缺项或未提供得0分，满分3分。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一、评审内容： 供应商针对本项目实际需求提供确保安全文明施工的技术组织措施，内容包含①安全目标及文明施工措施（措施包含场地整洁、噪音控制、扬尘治理（需附扬尘监测设备布置图））；②安全体系（体系包含安全管理制度、人员培训、应急演练、特种作业人员持证上岗管理）；③应急预案（涵盖常见安全事故场景）。 二、评审标准： ①完整性：内容详细全面，对本项目了解透彻； ②可实施性：切合本项目实际情况，措施全面、清晰、合理； ③针对性：方案能够紧扣项目实际情况，内容科学合理。 三、赋分标准： ①安全目标及文明施工措施：每完全满足一项评审标准得1分，内容有缺陷扣0.5分，缺项或未提供得0分，满分3分； ②安全体系：每完全满足一项评审标准得1分，内容有缺陷扣0.5分，缺项或未提供得0分，满分3分； ③应急预案：每完全满足一项评审标准得1分，内容有缺陷扣0.5分，缺项或未提供得0分，满分3分。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确保安全文明施工的技术组织措施.docx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供应商针对本项目实际需求提供确保工期的技术组织措施，内容包含①工期计划；②关键节点工期分析；③延误工期补救措施。 二、评审标准： ①完整性：内容详细全面，对本项目了解透彻； ②可实施性：切合本项目实际情况，措施全面、清晰、合理； ③针对性：方案能够紧扣项目实际情况，内容科学合理。三、赋分标准： ①工期计划：每完全满足一项评审标准得1分，内容有缺陷扣0.5分，缺项或未提供得0分，满分3分； ②关键节点工期分析：每完全满足一项评审标准得1分，内容有缺陷扣0.5分，缺项或未提供得0分，满分3分； ③延误工期补救措施：每完全满足一项评审标准得1分，内容有缺陷扣0.5分，缺项或未提供得0分，满分3分。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供应商针对本项目实际需求提供施工机械配备和材料投入计划，内容包含①施工机械配备；②材料投入计划（主要材料信息（名称、规格、数量等）与工程进度匹配）。 二、评审标准： ①齐全程度：齐全详细，能完全满足招标文件要求； ②实用性：质量有保障、使用率高、安全性能强； ③针对性：能紧扣项目实际情况配置合理科学； 三、赋分标准： ①施工机械配备：每完全满足一项评审标准得1分，内容有缺陷扣0.5分，缺项或未提供得0分，满分3分； ②材料投入计划：每完全满足一项评审标准得1分，内容有缺陷扣0.5分，缺项或未提供得0分，满分3分。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2.项目经理（2分）：具备同类项目经验（附合同包含项目经理署名页）得1分，具备高级工程师职称得1分（需提供职称证书）。 3.项目人员配备（5分）：需配备技术负责人、专职安全员（需C证）、质检员（需质量员证书）等岗位，需提供岗位证书、劳动合同。每配备一人得1分，最高得5分。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项目组织管理机构及人员配备情况.docx</w:t>
            </w:r>
          </w:p>
        </w:tc>
      </w:tr>
      <w:tr>
        <w:tc>
          <w:tcPr>
            <w:tcW w:type="dxa" w:w="831"/>
            <w:vMerge/>
          </w:tcPr>
          <w:p/>
        </w:tc>
        <w:tc>
          <w:tcPr>
            <w:tcW w:type="dxa" w:w="1661"/>
          </w:tcPr>
          <w:p>
            <w:pPr>
              <w:pStyle w:val="null3"/>
            </w:pPr>
            <w:r>
              <w:rPr>
                <w:rFonts w:ascii="仿宋_GB2312" w:hAnsi="仿宋_GB2312" w:cs="仿宋_GB2312" w:eastAsia="仿宋_GB2312"/>
              </w:rPr>
              <w:t>主要材料环保性</w:t>
            </w:r>
          </w:p>
        </w:tc>
        <w:tc>
          <w:tcPr>
            <w:tcW w:type="dxa" w:w="2492"/>
          </w:tcPr>
          <w:p>
            <w:pPr>
              <w:pStyle w:val="null3"/>
            </w:pPr>
            <w:r>
              <w:rPr>
                <w:rFonts w:ascii="仿宋_GB2312" w:hAnsi="仿宋_GB2312" w:cs="仿宋_GB2312" w:eastAsia="仿宋_GB2312"/>
              </w:rPr>
              <w:t>提供主要材料（乳胶漆）的检测报告，符合国家现行标准得2分，未提供或不合格不得分。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主要材料环保性.docx</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1.保修期内服务措施(1分)：提供保修服务工作方案、回访计划及质量保修措施、保修团队人员名单、联系方式得1分，未提供得0分。 2.保修承诺(1分)：质保期每延长半年得0.5分，最高1分；未延长此项不得分。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保修期内服务措施及保修承诺.docx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提供2023年6月1日至今类似项目业绩，每提供一项有效业绩得2分，满分10分。 注:业绩需提供中标通知书或官网中标公示截图或竣工验收证明或工程款发票中至少一项及合同（合同需含项目金额、工期、质量标准、签署时间等关键页）的复印件或扫描件加盖供应商公章，时间以合同签订时间为准。企业业绩与项目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30分。其他供应商的价格分按照下列公式计算：磋商报价得分=(磋商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详见附件：确保安全文明施工的技术组织措施.docx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详见附件：项目组织管理机构及人员配备情况.docx</w:t>
      </w:r>
    </w:p>
    <w:p>
      <w:pPr>
        <w:pStyle w:val="null3"/>
        <w:ind w:firstLine="960"/>
      </w:pPr>
      <w:r>
        <w:rPr>
          <w:rFonts w:ascii="仿宋_GB2312" w:hAnsi="仿宋_GB2312" w:cs="仿宋_GB2312" w:eastAsia="仿宋_GB2312"/>
        </w:rPr>
        <w:t>详见附件：主要材料环保性.docx</w:t>
      </w:r>
    </w:p>
    <w:p>
      <w:pPr>
        <w:pStyle w:val="null3"/>
        <w:ind w:firstLine="960"/>
      </w:pPr>
      <w:r>
        <w:rPr>
          <w:rFonts w:ascii="仿宋_GB2312" w:hAnsi="仿宋_GB2312" w:cs="仿宋_GB2312" w:eastAsia="仿宋_GB2312"/>
        </w:rPr>
        <w:t>详见附件：保修期内服务措施及保修承诺.docx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详见附件：磋商保证金缴纳证明材料.docx</w:t>
      </w:r>
    </w:p>
    <w:p>
      <w:pPr>
        <w:pStyle w:val="null3"/>
        <w:ind w:firstLine="960"/>
      </w:pPr>
      <w:r>
        <w:rPr>
          <w:rFonts w:ascii="仿宋_GB2312" w:hAnsi="仿宋_GB2312" w:cs="仿宋_GB2312" w:eastAsia="仿宋_GB2312"/>
        </w:rPr>
        <w:t>详见附件：符合法律、法规和磋商文件中规定的其他实质性要求的承诺函.docx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