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版本号：ZHYB-HZ-2026-00520260527001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城固县城镇配套污水管网建设项目全过程造价咨询服务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ZHYB-HZ-2026-005</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中鸿亿博集团有限公司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中鸿亿博集团有限公司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城固县城镇配套污水管网建设项目全过程造价咨询服务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ZHYB-HZ-2026-005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城固县城镇配套污水管网建设项目全过程造价咨询服务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三合片区、老G108国道新建雨水管网9公里，在周边背街小巷新建（改造）雨水管网6公里，同时对雨污混接、错接的管网进行修复、改造和清淤，确保城区排涝系统正常运行，本次采购内容为对城固县城镇配套污水管网建设项目实施阶段全过程造价咨询服务（审核工程进度款、签证、认价、变更、竣工结算）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采购包1（城固县城镇配套污水管网建设项目全过程造价咨询服务）：属于专门面向中小企业采购。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或委托代理人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资格承诺：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4、本项目不接受联合体磋商：供应商应提供《非联合体声明》</w:t>
      </w:r>
    </w:p>
    <w:p>
      <w:pPr>
        <w:pStyle w:val="null3"/>
      </w:pPr>
      <w:r>
        <w:rPr>
          <w:rFonts w:ascii="仿宋_GB2312" w:hAnsi="仿宋_GB2312" w:cs="仿宋_GB2312" w:eastAsia="仿宋_GB2312"/>
        </w:rPr>
        <w:t>5、项目负责人要求：项目负责人须具备一级注册造价工程师执业资格</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7211654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中鸿亿博集团有限公司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陕西省汉中市汉台区前进西路艾慕酒店405室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0916-8851898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为基数，根据《国家计委关于印发（招标代理服务收费管理暂行办法）的通知》（计价格〔2002〕1980号）以及《国家发展改革委关于进一步放开建设项目专项业务服务价格的通知》（发改价格〔2015〕299号）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中鸿亿博集团有限公司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中鸿亿博集团有限公司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中鸿亿博集团有限公司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中鸿亿博集团有限公司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中鸿亿博集团有限公司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中鸿亿博集团有限公司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联系电话：0916-8851898</w:t>
      </w:r>
    </w:p>
    <w:p>
      <w:pPr>
        <w:pStyle w:val="null3"/>
      </w:pPr>
      <w:r>
        <w:rPr>
          <w:rFonts w:ascii="仿宋_GB2312" w:hAnsi="仿宋_GB2312" w:cs="仿宋_GB2312" w:eastAsia="仿宋_GB2312"/>
        </w:rPr>
        <w:t>地址：陕西省汉中市汉台区前进西路艾慕酒店405室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三合片区、老G108国道新建雨水管网9公里，在周边背街小巷新建（改造）雨水管网6公里，同时对雨污混接、错接的管网进行修复、改造和清淤，确保城区排涝系统正常运行，本次采购内容为对城固县城镇配套污水管网建设项目实施阶段全过程造价咨询服务（审核工程进度款、签证、认价、变更、竣工结算）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全过程造价服务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标的名称：全过程造价服务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城固县城镇配套污水管网建设项目</w:t>
            </w:r>
            <w:r>
              <w:rPr>
                <w:rFonts w:ascii="仿宋_GB2312" w:hAnsi="仿宋_GB2312" w:cs="仿宋_GB2312" w:eastAsia="仿宋_GB2312"/>
              </w:rPr>
              <w:t>位于</w:t>
            </w:r>
            <w:r>
              <w:rPr>
                <w:rFonts w:ascii="仿宋_GB2312" w:hAnsi="仿宋_GB2312" w:cs="仿宋_GB2312" w:eastAsia="仿宋_GB2312"/>
              </w:rPr>
              <w:t>汉中市城固县</w:t>
            </w:r>
            <w:r>
              <w:rPr>
                <w:rFonts w:ascii="仿宋_GB2312" w:hAnsi="仿宋_GB2312" w:cs="仿宋_GB2312" w:eastAsia="仿宋_GB2312"/>
              </w:rPr>
              <w:t>，</w:t>
            </w:r>
            <w:r>
              <w:rPr>
                <w:rFonts w:ascii="仿宋_GB2312" w:hAnsi="仿宋_GB2312" w:cs="仿宋_GB2312" w:eastAsia="仿宋_GB2312"/>
              </w:rPr>
              <w:t>建设内容为在三合片区、老</w:t>
            </w:r>
            <w:r>
              <w:rPr>
                <w:rFonts w:ascii="仿宋_GB2312" w:hAnsi="仿宋_GB2312" w:cs="仿宋_GB2312" w:eastAsia="仿宋_GB2312"/>
              </w:rPr>
              <w:t>G108国道新建雨水管网9公里，在周边背街小巷新建（改造）雨水管网6公里，同时对雨污混接、错接的管网进行修复、改造和清淤，确保城区排涝系统正常运行。</w:t>
            </w:r>
          </w:p>
          <w:p>
            <w:pPr>
              <w:pStyle w:val="null3"/>
            </w:pPr>
            <w:r>
              <w:rPr>
                <w:rFonts w:ascii="仿宋_GB2312" w:hAnsi="仿宋_GB2312" w:cs="仿宋_GB2312" w:eastAsia="仿宋_GB2312"/>
              </w:rPr>
              <w:t>本次招标范围为</w:t>
            </w:r>
            <w:r>
              <w:rPr>
                <w:rFonts w:ascii="仿宋_GB2312" w:hAnsi="仿宋_GB2312" w:cs="仿宋_GB2312" w:eastAsia="仿宋_GB2312"/>
              </w:rPr>
              <w:t>对城固县城镇配套污水管网建设项目实施阶段全过程造价咨询服务（审核工程进度款、签证、认价、变更、竣工结算）等内容。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自合同签订开始至项目结算审核完成止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城固县住房和城乡建设局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符合相关标准要求并通过采购人验收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进度款，工作全部完成后，达到付款条件起30个工作日内，支付合同总金额的70.0%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1.在执行本合同中发生的或与本合同有关的争端，双方应通过友好协商解决，经协商在10日内不能达成协议时，应提交当地仲裁委员会仲裁。2.仲裁裁决应为最终决定，并对双方具有约束力。</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供应商应提供《非联合体声明》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项目负责人须具备一级注册造价工程师执业资格</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应满足磋商文件中的要求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技术及商务方案.docx 供应商应提交的相关资格证明材料.pdf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只能有一个有效报价，不得提交选择性报价，且报价不得超过采购预算金额</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针对本项目提供总体服务方案，包含①项目理解；②工作思路；③工作原则；④项目重点、难点分析等。总体服务方案共4项。 1.总体服务方案内容有效可行、措施得力，每项计4分，最高计16分； 2.总体服务方案内容较为有效可行、措施较为得力，每项计2.5分； 3.总体服务方案内容一般或不适用于本项目，每项计1.5分；未提供不计分。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针对本项目提供质量保证措施，包含①质量保证体系；②质量保障方案；③质量目标及主体责任承诺；④成果文件质量控制措施等。质量保证措施共4项。 1.质量保证措施内容有效可行、措施得力，每项计4分，最高计16分； 2.质量保证措施内容较为有效可行、措施较为得力，每项计2.5分； 3.质量保证措施内容一般或不适用于本项目，每项计1.5分；未提供不计分。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针对本项目提供进度保证措施，包含①项目实施进度目标分析；②进度计划及关键节点；③内外协同沟通措施。进度保证措施共3项。 1.进度保证措施内容详细、完善、有针对性，每项计4分，最高计12分； 2.进度保证措施内容较为详细、较为完善、针对性较好，每项计2.5分； 3.进度保证措施内容一般或不适用于本项目，每项计1.5分；未提供不计分。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内控制度措施</w:t>
            </w:r>
          </w:p>
        </w:tc>
        <w:tc>
          <w:tcPr>
            <w:tcW w:type="dxa" w:w="2492"/>
          </w:tcPr>
          <w:p>
            <w:pPr>
              <w:pStyle w:val="null3"/>
            </w:pPr>
            <w:r>
              <w:rPr>
                <w:rFonts w:ascii="仿宋_GB2312" w:hAnsi="仿宋_GB2312" w:cs="仿宋_GB2312" w:eastAsia="仿宋_GB2312"/>
              </w:rPr>
              <w:t>针对本项目提供内控制度措施，包含①岗位权责内控制度措施；②档案与资料内控管理措施；③考核与奖惩制度措施。内控制度措施共3项。 1.内控制度措施内容详细、完善、有针对性，每项计3分，最高计9分； 2.内控制度措施内容较为详细、较为完善、针对性较好，每项计2分； 3.内控制度措施内容一般或不适用于本项目，每项计1分；未提供不计分。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后期配合服务</w:t>
            </w:r>
          </w:p>
        </w:tc>
        <w:tc>
          <w:tcPr>
            <w:tcW w:type="dxa" w:w="2492"/>
          </w:tcPr>
          <w:p>
            <w:pPr>
              <w:pStyle w:val="null3"/>
            </w:pPr>
            <w:r>
              <w:rPr>
                <w:rFonts w:ascii="仿宋_GB2312" w:hAnsi="仿宋_GB2312" w:cs="仿宋_GB2312" w:eastAsia="仿宋_GB2312"/>
              </w:rPr>
              <w:t>针对本项目提供后期配合服务，包含①配合服务工作计划；②内部团队人员之间的配合；③与采购人之间的配合及服务承诺等。后期配合服务共3项。 1.后期配合服务内容详细、完善、有针对性，每项计3分，最高计9分； 2.后期配合服务内容较为详细、较为完善、针对性较好，每项计2分； 3.后期配合服务内容一般或不适用于本项目，每项计1分；未提供不计分。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针对本项目提供保密措施，包含①保密管理制度；②具体工作保密措施；③本项目服务人员道德风险管控措施；④保密承诺。保密措施共4项。 1.保密措施内容有效可行、措施得力，每项计3分，最高计12分； 2.保密措施内容较为有效可行、措施较为得力，每项计2分； 3.保密措施内容一般或不适用于本项目，每项计1分；未提供不计分。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拟派项目组成人员</w:t>
            </w:r>
          </w:p>
        </w:tc>
        <w:tc>
          <w:tcPr>
            <w:tcW w:type="dxa" w:w="2492"/>
          </w:tcPr>
          <w:p>
            <w:pPr>
              <w:pStyle w:val="null3"/>
            </w:pPr>
            <w:r>
              <w:rPr>
                <w:rFonts w:ascii="仿宋_GB2312" w:hAnsi="仿宋_GB2312" w:cs="仿宋_GB2312" w:eastAsia="仿宋_GB2312"/>
              </w:rPr>
              <w:t>拟派项目负责人具有工程类高级职称得2分，中级职称得1分，其他不得分； 土木建筑工程专业人员：国家一级注册造价工程师1人得2分；国家二级注册造价工程师1人得1分，最高得6分，未提供不得分； 安装工程专业人员：国家一级注册造价工程师1人得2分；国家二级注册造价工程师1人得1分，最高得4分，未提供不得分。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提供2023年至今(以合同签订时间为准)类似项目的业绩，每个业绩得2分，最多得4分。(提供中标通知书或合同协议书复印件加盖单位公章)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2、以满足本次磋商文件要求的最低报价为评审基准价，其价格为满分； 3、其他供应商报价得分=[评审基准价/最后报价]×10×100% 注：本项目专门面向中小微企业采购，不再执行价格优惠政策。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详见附件：技术及商务方案.docx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