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361336">
      <w:pPr>
        <w:pStyle w:val="23"/>
        <w:rPr>
          <w:rFonts w:hint="eastAsia" w:ascii="仿宋" w:hAnsi="仿宋" w:eastAsia="仿宋" w:cs="仿宋"/>
          <w:color w:val="auto"/>
          <w:highlight w:val="none"/>
        </w:rPr>
      </w:pPr>
    </w:p>
    <w:p w14:paraId="65CEF138">
      <w:pPr>
        <w:spacing w:line="240" w:lineRule="auto"/>
        <w:jc w:val="center"/>
        <w:rPr>
          <w:rFonts w:hint="eastAsia" w:ascii="仿宋" w:hAnsi="仿宋" w:eastAsia="仿宋" w:cs="仿宋"/>
          <w:color w:val="auto"/>
          <w:sz w:val="52"/>
          <w:szCs w:val="52"/>
          <w:highlight w:val="none"/>
        </w:rPr>
      </w:pPr>
    </w:p>
    <w:p w14:paraId="053A9F2D">
      <w:pPr>
        <w:spacing w:line="240" w:lineRule="auto"/>
        <w:jc w:val="center"/>
        <w:rPr>
          <w:rFonts w:hint="eastAsia" w:ascii="仿宋" w:hAnsi="仿宋" w:eastAsia="仿宋" w:cs="仿宋"/>
          <w:color w:val="auto"/>
          <w:sz w:val="52"/>
          <w:szCs w:val="52"/>
          <w:highlight w:val="none"/>
        </w:rPr>
      </w:pPr>
    </w:p>
    <w:p w14:paraId="6E066AD9">
      <w:pPr>
        <w:spacing w:line="240" w:lineRule="auto"/>
        <w:jc w:val="center"/>
        <w:rPr>
          <w:rFonts w:hint="eastAsia" w:ascii="仿宋" w:hAnsi="仿宋" w:eastAsia="仿宋" w:cs="仿宋"/>
          <w:color w:val="auto"/>
          <w:sz w:val="52"/>
          <w:szCs w:val="52"/>
          <w:highlight w:val="none"/>
        </w:rPr>
      </w:pPr>
      <w:r>
        <w:rPr>
          <w:rFonts w:hint="eastAsia" w:ascii="仿宋" w:hAnsi="仿宋" w:eastAsia="仿宋" w:cs="仿宋"/>
          <w:color w:val="auto"/>
          <w:sz w:val="52"/>
          <w:szCs w:val="52"/>
          <w:highlight w:val="none"/>
        </w:rPr>
        <w:t>陕西省省级单位政府采购中心</w:t>
      </w:r>
    </w:p>
    <w:p w14:paraId="645835B6">
      <w:pPr>
        <w:spacing w:line="240" w:lineRule="auto"/>
        <w:jc w:val="center"/>
        <w:rPr>
          <w:rFonts w:hint="eastAsia" w:ascii="仿宋" w:hAnsi="仿宋" w:eastAsia="仿宋" w:cs="仿宋"/>
          <w:bCs/>
          <w:color w:val="auto"/>
          <w:sz w:val="96"/>
          <w:szCs w:val="96"/>
          <w:highlight w:val="none"/>
        </w:rPr>
      </w:pPr>
      <w:r>
        <w:rPr>
          <w:rFonts w:hint="eastAsia" w:ascii="仿宋" w:hAnsi="仿宋" w:eastAsia="仿宋" w:cs="仿宋"/>
          <w:b/>
          <w:color w:val="auto"/>
          <w:kern w:val="0"/>
          <w:sz w:val="96"/>
          <w:szCs w:val="96"/>
          <w:highlight w:val="none"/>
        </w:rPr>
        <w:t>竞争性谈判文件</w:t>
      </w:r>
    </w:p>
    <w:p w14:paraId="19183B68">
      <w:pPr>
        <w:spacing w:line="240" w:lineRule="auto"/>
        <w:jc w:val="center"/>
        <w:rPr>
          <w:rFonts w:hint="eastAsia" w:ascii="仿宋" w:hAnsi="仿宋" w:eastAsia="仿宋" w:cs="仿宋"/>
          <w:color w:val="auto"/>
          <w:sz w:val="36"/>
          <w:szCs w:val="36"/>
          <w:highlight w:val="none"/>
        </w:rPr>
      </w:pPr>
      <w:r>
        <w:rPr>
          <w:rFonts w:hint="eastAsia" w:ascii="仿宋" w:hAnsi="仿宋" w:eastAsia="仿宋" w:cs="仿宋"/>
          <w:color w:val="auto"/>
          <w:sz w:val="36"/>
          <w:szCs w:val="36"/>
          <w:highlight w:val="none"/>
        </w:rPr>
        <w:t>（专门面向</w:t>
      </w:r>
      <w:r>
        <w:rPr>
          <w:rFonts w:hint="eastAsia" w:ascii="仿宋" w:hAnsi="仿宋" w:eastAsia="仿宋" w:cs="仿宋"/>
          <w:color w:val="auto"/>
          <w:sz w:val="36"/>
          <w:szCs w:val="36"/>
          <w:highlight w:val="none"/>
          <w:lang w:val="en-US" w:eastAsia="zh-CN"/>
        </w:rPr>
        <w:t>中小</w:t>
      </w:r>
      <w:r>
        <w:rPr>
          <w:rFonts w:hint="eastAsia" w:ascii="仿宋" w:hAnsi="仿宋" w:eastAsia="仿宋" w:cs="仿宋"/>
          <w:color w:val="auto"/>
          <w:sz w:val="36"/>
          <w:szCs w:val="36"/>
          <w:highlight w:val="none"/>
        </w:rPr>
        <w:t>企业项目）</w:t>
      </w:r>
    </w:p>
    <w:p w14:paraId="48E760A6">
      <w:pPr>
        <w:pStyle w:val="8"/>
        <w:rPr>
          <w:rFonts w:hint="eastAsia" w:ascii="仿宋" w:hAnsi="仿宋" w:eastAsia="仿宋" w:cs="仿宋"/>
          <w:color w:val="auto"/>
          <w:sz w:val="36"/>
          <w:szCs w:val="36"/>
          <w:highlight w:val="none"/>
        </w:rPr>
      </w:pPr>
    </w:p>
    <w:p w14:paraId="154E6D39">
      <w:pPr>
        <w:pStyle w:val="46"/>
        <w:rPr>
          <w:rFonts w:hint="eastAsia" w:ascii="仿宋" w:hAnsi="仿宋" w:eastAsia="仿宋" w:cs="仿宋"/>
          <w:color w:val="auto"/>
          <w:highlight w:val="none"/>
        </w:rPr>
      </w:pPr>
    </w:p>
    <w:p w14:paraId="18A2CCCA">
      <w:pPr>
        <w:pStyle w:val="46"/>
        <w:rPr>
          <w:rFonts w:hint="eastAsia" w:ascii="仿宋" w:hAnsi="仿宋" w:eastAsia="仿宋" w:cs="仿宋"/>
          <w:color w:val="auto"/>
          <w:highlight w:val="none"/>
        </w:rPr>
      </w:pPr>
    </w:p>
    <w:p w14:paraId="30A300E4">
      <w:pPr>
        <w:pStyle w:val="46"/>
        <w:rPr>
          <w:rFonts w:hint="eastAsia" w:ascii="仿宋" w:hAnsi="仿宋" w:eastAsia="仿宋" w:cs="仿宋"/>
          <w:color w:val="auto"/>
          <w:highlight w:val="none"/>
        </w:rPr>
      </w:pPr>
    </w:p>
    <w:p w14:paraId="7958BBB6">
      <w:pPr>
        <w:spacing w:line="240" w:lineRule="auto"/>
        <w:jc w:val="center"/>
        <w:rPr>
          <w:rFonts w:hint="eastAsia" w:ascii="仿宋" w:hAnsi="仿宋" w:eastAsia="仿宋" w:cs="仿宋"/>
          <w:color w:val="auto"/>
          <w:sz w:val="36"/>
          <w:szCs w:val="36"/>
          <w:highlight w:val="none"/>
        </w:rPr>
      </w:pPr>
    </w:p>
    <w:p w14:paraId="45B15300">
      <w:pPr>
        <w:spacing w:line="240" w:lineRule="auto"/>
        <w:ind w:left="2904" w:leftChars="384" w:right="707" w:rightChars="250" w:hanging="1818" w:hangingChars="501"/>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项目名称：</w:t>
      </w:r>
      <w:bookmarkStart w:id="323" w:name="_GoBack"/>
      <w:r>
        <w:rPr>
          <w:rFonts w:hint="eastAsia" w:ascii="仿宋" w:hAnsi="仿宋" w:eastAsia="仿宋" w:cs="仿宋"/>
          <w:b/>
          <w:bCs/>
          <w:color w:val="auto"/>
          <w:sz w:val="36"/>
          <w:szCs w:val="36"/>
          <w:highlight w:val="none"/>
          <w:lang w:eastAsia="zh-CN"/>
        </w:rPr>
        <w:t>西安邮电大学2026年桌椅、床板采购项目</w:t>
      </w:r>
      <w:bookmarkEnd w:id="323"/>
    </w:p>
    <w:p w14:paraId="7359CD0A">
      <w:pPr>
        <w:spacing w:line="240" w:lineRule="auto"/>
        <w:ind w:right="707" w:rightChars="250" w:firstLine="1073" w:firstLineChars="296"/>
        <w:rPr>
          <w:rFonts w:hint="default" w:ascii="仿宋" w:hAnsi="仿宋" w:eastAsia="仿宋" w:cs="仿宋"/>
          <w:b/>
          <w:bCs/>
          <w:color w:val="auto"/>
          <w:sz w:val="36"/>
          <w:szCs w:val="36"/>
          <w:highlight w:val="none"/>
          <w:lang w:val="en-US" w:eastAsia="zh-CN"/>
        </w:rPr>
      </w:pPr>
      <w:r>
        <w:rPr>
          <w:rFonts w:hint="eastAsia" w:ascii="仿宋" w:hAnsi="仿宋" w:eastAsia="仿宋" w:cs="仿宋"/>
          <w:b/>
          <w:bCs/>
          <w:color w:val="auto"/>
          <w:sz w:val="36"/>
          <w:szCs w:val="36"/>
          <w:highlight w:val="none"/>
        </w:rPr>
        <w:t>项目编号：SNCG-FM-202</w:t>
      </w:r>
      <w:r>
        <w:rPr>
          <w:rFonts w:hint="eastAsia" w:ascii="仿宋" w:hAnsi="仿宋" w:eastAsia="仿宋" w:cs="仿宋"/>
          <w:b/>
          <w:bCs/>
          <w:color w:val="auto"/>
          <w:sz w:val="36"/>
          <w:szCs w:val="36"/>
          <w:highlight w:val="none"/>
          <w:lang w:val="en-US" w:eastAsia="zh-CN"/>
        </w:rPr>
        <w:t>6126</w:t>
      </w:r>
    </w:p>
    <w:p w14:paraId="698D728F">
      <w:pPr>
        <w:spacing w:line="240" w:lineRule="auto"/>
        <w:ind w:right="707" w:rightChars="250" w:firstLine="1073" w:firstLineChars="296"/>
        <w:rPr>
          <w:rFonts w:hint="eastAsia" w:ascii="仿宋" w:hAnsi="仿宋" w:eastAsia="仿宋" w:cs="仿宋"/>
          <w:b/>
          <w:bCs/>
          <w:color w:val="auto"/>
          <w:sz w:val="36"/>
          <w:szCs w:val="36"/>
          <w:highlight w:val="none"/>
          <w:lang w:eastAsia="zh-CN"/>
        </w:rPr>
      </w:pPr>
      <w:r>
        <w:rPr>
          <w:rFonts w:hint="eastAsia" w:ascii="仿宋" w:hAnsi="仿宋" w:eastAsia="仿宋" w:cs="仿宋"/>
          <w:b/>
          <w:bCs/>
          <w:color w:val="auto"/>
          <w:sz w:val="36"/>
          <w:szCs w:val="36"/>
          <w:highlight w:val="none"/>
        </w:rPr>
        <w:t>采</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购</w:t>
      </w:r>
      <w:r>
        <w:rPr>
          <w:rFonts w:hint="eastAsia" w:ascii="仿宋" w:hAnsi="仿宋" w:eastAsia="仿宋" w:cs="仿宋"/>
          <w:b/>
          <w:bCs/>
          <w:color w:val="auto"/>
          <w:sz w:val="36"/>
          <w:szCs w:val="36"/>
          <w:highlight w:val="none"/>
          <w:lang w:val="en-US" w:eastAsia="zh-CN"/>
        </w:rPr>
        <w:t xml:space="preserve"> </w:t>
      </w:r>
      <w:r>
        <w:rPr>
          <w:rFonts w:hint="eastAsia" w:ascii="仿宋" w:hAnsi="仿宋" w:eastAsia="仿宋" w:cs="仿宋"/>
          <w:b/>
          <w:bCs/>
          <w:color w:val="auto"/>
          <w:sz w:val="36"/>
          <w:szCs w:val="36"/>
          <w:highlight w:val="none"/>
        </w:rPr>
        <w:t>人：</w:t>
      </w:r>
      <w:r>
        <w:rPr>
          <w:rFonts w:hint="eastAsia" w:ascii="仿宋" w:hAnsi="仿宋" w:eastAsia="仿宋" w:cs="仿宋"/>
          <w:b/>
          <w:bCs/>
          <w:color w:val="auto"/>
          <w:sz w:val="36"/>
          <w:szCs w:val="36"/>
          <w:highlight w:val="none"/>
          <w:lang w:eastAsia="zh-CN"/>
        </w:rPr>
        <w:t>西安邮电大学</w:t>
      </w:r>
    </w:p>
    <w:p w14:paraId="0060FBA2">
      <w:pPr>
        <w:spacing w:line="240" w:lineRule="auto"/>
        <w:ind w:right="707" w:rightChars="250" w:firstLine="1073" w:firstLineChars="296"/>
        <w:rPr>
          <w:rFonts w:ascii="仿宋" w:hAnsi="仿宋" w:eastAsia="仿宋" w:cs="仿宋"/>
          <w:b/>
          <w:bCs/>
          <w:color w:val="auto"/>
          <w:sz w:val="36"/>
          <w:szCs w:val="36"/>
          <w:highlight w:val="none"/>
        </w:rPr>
      </w:pPr>
      <w:r>
        <w:rPr>
          <w:rFonts w:hint="eastAsia" w:ascii="仿宋" w:hAnsi="仿宋" w:eastAsia="仿宋" w:cs="仿宋"/>
          <w:b/>
          <w:bCs/>
          <w:color w:val="auto"/>
          <w:sz w:val="36"/>
          <w:szCs w:val="36"/>
          <w:highlight w:val="none"/>
        </w:rPr>
        <w:t>采购代理机构：陕西省省级单位政府采购中心</w:t>
      </w:r>
    </w:p>
    <w:p w14:paraId="79C943E3">
      <w:pPr>
        <w:spacing w:line="240" w:lineRule="auto"/>
        <w:rPr>
          <w:rFonts w:hint="eastAsia" w:ascii="仿宋" w:hAnsi="仿宋" w:eastAsia="仿宋" w:cs="仿宋"/>
          <w:color w:val="auto"/>
          <w:sz w:val="36"/>
          <w:szCs w:val="36"/>
          <w:highlight w:val="none"/>
        </w:rPr>
      </w:pPr>
    </w:p>
    <w:p w14:paraId="2BA6D068">
      <w:pPr>
        <w:spacing w:line="240" w:lineRule="auto"/>
        <w:jc w:val="center"/>
        <w:rPr>
          <w:rFonts w:hint="eastAsia" w:ascii="仿宋" w:hAnsi="仿宋" w:eastAsia="仿宋" w:cs="仿宋"/>
          <w:color w:val="auto"/>
          <w:sz w:val="36"/>
          <w:szCs w:val="36"/>
          <w:highlight w:val="none"/>
        </w:rPr>
      </w:pPr>
    </w:p>
    <w:p w14:paraId="43D8ECAB">
      <w:pPr>
        <w:spacing w:line="240" w:lineRule="auto"/>
        <w:jc w:val="center"/>
        <w:rPr>
          <w:rFonts w:hint="eastAsia" w:ascii="仿宋" w:hAnsi="仿宋" w:eastAsia="仿宋" w:cs="仿宋"/>
          <w:b/>
          <w:bCs/>
          <w:color w:val="auto"/>
          <w:sz w:val="44"/>
          <w:szCs w:val="44"/>
          <w:highlight w:val="none"/>
        </w:rPr>
      </w:pPr>
      <w:r>
        <w:rPr>
          <w:rFonts w:hint="eastAsia" w:ascii="仿宋" w:hAnsi="仿宋" w:eastAsia="仿宋" w:cs="仿宋"/>
          <w:b/>
          <w:bCs/>
          <w:color w:val="auto"/>
          <w:sz w:val="36"/>
          <w:szCs w:val="36"/>
          <w:highlight w:val="none"/>
        </w:rPr>
        <w:t>202</w:t>
      </w:r>
      <w:r>
        <w:rPr>
          <w:rFonts w:hint="eastAsia" w:ascii="仿宋" w:hAnsi="仿宋" w:eastAsia="仿宋" w:cs="仿宋"/>
          <w:b/>
          <w:bCs/>
          <w:color w:val="auto"/>
          <w:sz w:val="36"/>
          <w:szCs w:val="36"/>
          <w:highlight w:val="none"/>
          <w:lang w:val="en-US" w:eastAsia="zh-CN"/>
        </w:rPr>
        <w:t>6</w:t>
      </w:r>
      <w:r>
        <w:rPr>
          <w:rFonts w:hint="eastAsia" w:ascii="仿宋" w:hAnsi="仿宋" w:eastAsia="仿宋" w:cs="仿宋"/>
          <w:b/>
          <w:bCs/>
          <w:color w:val="auto"/>
          <w:sz w:val="36"/>
          <w:szCs w:val="36"/>
          <w:highlight w:val="none"/>
        </w:rPr>
        <w:t>年</w:t>
      </w:r>
      <w:r>
        <w:rPr>
          <w:rFonts w:hint="eastAsia" w:ascii="仿宋" w:hAnsi="仿宋" w:eastAsia="仿宋" w:cs="仿宋"/>
          <w:b/>
          <w:bCs/>
          <w:color w:val="auto"/>
          <w:sz w:val="36"/>
          <w:szCs w:val="36"/>
          <w:highlight w:val="none"/>
          <w:lang w:val="en-US" w:eastAsia="zh-CN"/>
        </w:rPr>
        <w:t>07</w:t>
      </w:r>
      <w:r>
        <w:rPr>
          <w:rFonts w:hint="eastAsia" w:ascii="仿宋" w:hAnsi="仿宋" w:eastAsia="仿宋" w:cs="仿宋"/>
          <w:b/>
          <w:bCs/>
          <w:color w:val="auto"/>
          <w:sz w:val="36"/>
          <w:szCs w:val="36"/>
          <w:highlight w:val="none"/>
        </w:rPr>
        <w:t>月</w:t>
      </w:r>
      <w:r>
        <w:rPr>
          <w:rFonts w:hint="eastAsia" w:ascii="仿宋" w:hAnsi="仿宋" w:eastAsia="仿宋" w:cs="仿宋"/>
          <w:b/>
          <w:bCs/>
          <w:color w:val="auto"/>
          <w:sz w:val="36"/>
          <w:szCs w:val="36"/>
          <w:highlight w:val="none"/>
          <w:lang w:val="en-US" w:eastAsia="zh-CN"/>
        </w:rPr>
        <w:t>08</w:t>
      </w:r>
      <w:r>
        <w:rPr>
          <w:rFonts w:hint="eastAsia" w:ascii="仿宋" w:hAnsi="仿宋" w:eastAsia="仿宋" w:cs="仿宋"/>
          <w:b/>
          <w:bCs/>
          <w:color w:val="auto"/>
          <w:sz w:val="36"/>
          <w:szCs w:val="36"/>
          <w:highlight w:val="none"/>
        </w:rPr>
        <w:t>日</w:t>
      </w:r>
    </w:p>
    <w:p w14:paraId="35DBA934">
      <w:pPr>
        <w:rPr>
          <w:rFonts w:hint="eastAsia" w:ascii="仿宋" w:hAnsi="仿宋" w:eastAsia="仿宋" w:cs="仿宋"/>
        </w:rPr>
      </w:pPr>
    </w:p>
    <w:p w14:paraId="76F3F5CE">
      <w:pPr>
        <w:spacing w:before="0" w:beforeLines="0" w:after="0" w:afterLines="0" w:line="240" w:lineRule="auto"/>
        <w:ind w:left="0" w:leftChars="0" w:right="0" w:rightChars="0" w:firstLine="0" w:firstLineChars="0"/>
        <w:jc w:val="center"/>
        <w:rPr>
          <w:rFonts w:hint="eastAsia" w:ascii="仿宋" w:hAnsi="仿宋" w:eastAsia="仿宋" w:cs="仿宋"/>
        </w:rPr>
      </w:pPr>
    </w:p>
    <w:sdt>
      <w:sdtPr>
        <w:rPr>
          <w:rFonts w:hint="eastAsia" w:ascii="黑体" w:hAnsi="黑体" w:eastAsia="黑体" w:cs="黑体"/>
          <w:kern w:val="2"/>
          <w:sz w:val="21"/>
          <w:szCs w:val="28"/>
          <w:lang w:val="en-US" w:eastAsia="zh-CN" w:bidi="ar-SA"/>
        </w:rPr>
        <w:id w:val="147473548"/>
        <w15:color w:val="DBDBDB"/>
        <w:docPartObj>
          <w:docPartGallery w:val="Table of Contents"/>
          <w:docPartUnique/>
        </w:docPartObj>
      </w:sdtPr>
      <w:sdtEndPr>
        <w:rPr>
          <w:rFonts w:hint="eastAsia" w:ascii="仿宋" w:hAnsi="仿宋" w:eastAsia="仿宋" w:cs="仿宋"/>
          <w:kern w:val="2"/>
          <w:sz w:val="21"/>
          <w:szCs w:val="28"/>
          <w:lang w:val="en-US" w:eastAsia="zh-CN" w:bidi="ar-SA"/>
        </w:rPr>
      </w:sdtEndPr>
      <w:sdtContent>
        <w:p w14:paraId="0A0EBF28">
          <w:pPr>
            <w:spacing w:before="0" w:beforeLines="0" w:after="0" w:afterLines="0" w:line="240" w:lineRule="auto"/>
            <w:ind w:left="0" w:leftChars="0" w:right="0" w:rightChars="0" w:firstLine="0" w:firstLineChars="0"/>
            <w:jc w:val="center"/>
            <w:rPr>
              <w:rFonts w:hint="eastAsia" w:ascii="黑体" w:hAnsi="黑体" w:eastAsia="黑体" w:cs="黑体"/>
            </w:rPr>
          </w:pPr>
          <w:r>
            <w:rPr>
              <w:rFonts w:hint="eastAsia" w:ascii="黑体" w:hAnsi="黑体" w:eastAsia="黑体" w:cs="黑体"/>
              <w:sz w:val="44"/>
              <w:szCs w:val="44"/>
            </w:rPr>
            <w:t>目</w:t>
          </w:r>
          <w:r>
            <w:rPr>
              <w:rFonts w:hint="eastAsia" w:ascii="黑体" w:hAnsi="黑体" w:eastAsia="黑体" w:cs="黑体"/>
              <w:sz w:val="44"/>
              <w:szCs w:val="44"/>
              <w:lang w:val="en-US" w:eastAsia="zh-CN"/>
            </w:rPr>
            <w:t xml:space="preserve"> </w:t>
          </w:r>
          <w:r>
            <w:rPr>
              <w:rFonts w:hint="eastAsia" w:ascii="黑体" w:hAnsi="黑体" w:eastAsia="黑体" w:cs="黑体"/>
              <w:sz w:val="44"/>
              <w:szCs w:val="44"/>
            </w:rPr>
            <w:t>录</w:t>
          </w:r>
        </w:p>
        <w:p w14:paraId="6BD9F088">
          <w:pPr>
            <w:pStyle w:val="20"/>
            <w:tabs>
              <w:tab w:val="right" w:leader="dot" w:pos="9070"/>
            </w:tabs>
            <w:spacing w:line="480" w:lineRule="auto"/>
            <w:rPr>
              <w:rFonts w:hint="eastAsia" w:ascii="宋体" w:hAnsi="宋体" w:eastAsia="宋体" w:cs="宋体"/>
              <w:b/>
              <w:bCs/>
            </w:rPr>
          </w:pPr>
          <w:r>
            <w:rPr>
              <w:rFonts w:hint="eastAsia" w:ascii="仿宋" w:hAnsi="仿宋" w:eastAsia="仿宋" w:cs="仿宋"/>
            </w:rPr>
            <w:fldChar w:fldCharType="begin"/>
          </w:r>
          <w:r>
            <w:rPr>
              <w:rFonts w:hint="eastAsia" w:ascii="仿宋" w:hAnsi="仿宋" w:eastAsia="仿宋" w:cs="仿宋"/>
            </w:rPr>
            <w:instrText xml:space="preserve">TOC \o "1-1" \h \u </w:instrText>
          </w:r>
          <w:r>
            <w:rPr>
              <w:rFonts w:hint="eastAsia" w:ascii="仿宋" w:hAnsi="仿宋" w:eastAsia="仿宋" w:cs="仿宋"/>
            </w:rPr>
            <w:fldChar w:fldCharType="separate"/>
          </w:r>
          <w:r>
            <w:rPr>
              <w:rFonts w:hint="eastAsia" w:ascii="宋体" w:hAnsi="宋体" w:eastAsia="宋体" w:cs="宋体"/>
              <w:b/>
              <w:bCs/>
            </w:rPr>
            <w:fldChar w:fldCharType="begin"/>
          </w:r>
          <w:r>
            <w:rPr>
              <w:rFonts w:hint="eastAsia" w:ascii="宋体" w:hAnsi="宋体" w:eastAsia="宋体" w:cs="宋体"/>
              <w:b/>
              <w:bCs/>
            </w:rPr>
            <w:instrText xml:space="preserve"> HYPERLINK \l _Toc20182 </w:instrText>
          </w:r>
          <w:r>
            <w:rPr>
              <w:rFonts w:hint="eastAsia" w:ascii="宋体" w:hAnsi="宋体" w:eastAsia="宋体" w:cs="宋体"/>
              <w:b/>
              <w:bCs/>
            </w:rPr>
            <w:fldChar w:fldCharType="separate"/>
          </w:r>
          <w:r>
            <w:rPr>
              <w:rFonts w:hint="eastAsia" w:ascii="宋体" w:hAnsi="宋体" w:eastAsia="宋体" w:cs="宋体"/>
              <w:b/>
              <w:bCs/>
              <w:szCs w:val="32"/>
              <w:highlight w:val="none"/>
            </w:rPr>
            <w:t>第一章  谈判邀请函</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_Toc20182 \h </w:instrText>
          </w:r>
          <w:r>
            <w:rPr>
              <w:rFonts w:hint="eastAsia" w:ascii="宋体" w:hAnsi="宋体" w:eastAsia="宋体" w:cs="宋体"/>
              <w:b/>
              <w:bCs/>
            </w:rPr>
            <w:fldChar w:fldCharType="separate"/>
          </w:r>
          <w:r>
            <w:rPr>
              <w:rFonts w:hint="eastAsia" w:ascii="宋体" w:hAnsi="宋体" w:eastAsia="宋体" w:cs="宋体"/>
              <w:b/>
              <w:bCs/>
            </w:rPr>
            <w:t>1</w:t>
          </w:r>
          <w:r>
            <w:rPr>
              <w:rFonts w:hint="eastAsia" w:ascii="宋体" w:hAnsi="宋体" w:eastAsia="宋体" w:cs="宋体"/>
              <w:b/>
              <w:bCs/>
            </w:rPr>
            <w:fldChar w:fldCharType="end"/>
          </w:r>
          <w:r>
            <w:rPr>
              <w:rFonts w:hint="eastAsia" w:ascii="宋体" w:hAnsi="宋体" w:eastAsia="宋体" w:cs="宋体"/>
              <w:b/>
              <w:bCs/>
            </w:rPr>
            <w:fldChar w:fldCharType="end"/>
          </w:r>
        </w:p>
        <w:p w14:paraId="59636D6A">
          <w:pPr>
            <w:pStyle w:val="20"/>
            <w:tabs>
              <w:tab w:val="right" w:leader="dot" w:pos="9070"/>
            </w:tabs>
            <w:spacing w:line="480" w:lineRule="auto"/>
            <w:rPr>
              <w:rFonts w:hint="eastAsia" w:ascii="宋体" w:hAnsi="宋体" w:eastAsia="宋体" w:cs="宋体"/>
              <w:b/>
              <w:bCs/>
            </w:rPr>
          </w:pPr>
          <w:r>
            <w:rPr>
              <w:rFonts w:hint="eastAsia" w:ascii="宋体" w:hAnsi="宋体" w:eastAsia="宋体" w:cs="宋体"/>
              <w:b/>
              <w:bCs/>
            </w:rPr>
            <w:fldChar w:fldCharType="begin"/>
          </w:r>
          <w:r>
            <w:rPr>
              <w:rFonts w:hint="eastAsia" w:ascii="宋体" w:hAnsi="宋体" w:eastAsia="宋体" w:cs="宋体"/>
              <w:b/>
              <w:bCs/>
            </w:rPr>
            <w:instrText xml:space="preserve"> HYPERLINK \l _Toc20276 </w:instrText>
          </w:r>
          <w:r>
            <w:rPr>
              <w:rFonts w:hint="eastAsia" w:ascii="宋体" w:hAnsi="宋体" w:eastAsia="宋体" w:cs="宋体"/>
              <w:b/>
              <w:bCs/>
            </w:rPr>
            <w:fldChar w:fldCharType="separate"/>
          </w:r>
          <w:r>
            <w:rPr>
              <w:rFonts w:hint="eastAsia" w:ascii="宋体" w:hAnsi="宋体" w:eastAsia="宋体" w:cs="宋体"/>
              <w:b/>
              <w:bCs/>
              <w:szCs w:val="32"/>
              <w:highlight w:val="none"/>
            </w:rPr>
            <w:t>第二章  供应商须知</w:t>
          </w:r>
          <w:r>
            <w:rPr>
              <w:rFonts w:hint="eastAsia" w:ascii="宋体" w:hAnsi="宋体" w:eastAsia="宋体" w:cs="宋体"/>
              <w:b/>
              <w:bCs/>
            </w:rPr>
            <w:tab/>
          </w:r>
          <w:r>
            <w:rPr>
              <w:rFonts w:hint="eastAsia" w:ascii="宋体" w:hAnsi="宋体" w:eastAsia="宋体" w:cs="宋体"/>
              <w:b/>
              <w:bCs/>
            </w:rPr>
            <w:fldChar w:fldCharType="begin"/>
          </w:r>
          <w:r>
            <w:rPr>
              <w:rFonts w:hint="eastAsia" w:ascii="宋体" w:hAnsi="宋体" w:eastAsia="宋体" w:cs="宋体"/>
              <w:b/>
              <w:bCs/>
            </w:rPr>
            <w:instrText xml:space="preserve"> PAGEREF _Toc20276 \h </w:instrText>
          </w:r>
          <w:r>
            <w:rPr>
              <w:rFonts w:hint="eastAsia" w:ascii="宋体" w:hAnsi="宋体" w:eastAsia="宋体" w:cs="宋体"/>
              <w:b/>
              <w:bCs/>
            </w:rPr>
            <w:fldChar w:fldCharType="separate"/>
          </w:r>
          <w:r>
            <w:rPr>
              <w:rFonts w:hint="eastAsia" w:ascii="宋体" w:hAnsi="宋体" w:eastAsia="宋体" w:cs="宋体"/>
              <w:b/>
              <w:bCs/>
            </w:rPr>
            <w:t>7</w:t>
          </w:r>
          <w:r>
            <w:rPr>
              <w:rFonts w:hint="eastAsia" w:ascii="宋体" w:hAnsi="宋体" w:eastAsia="宋体" w:cs="宋体"/>
              <w:b/>
              <w:bCs/>
            </w:rPr>
            <w:fldChar w:fldCharType="end"/>
          </w:r>
          <w:r>
            <w:rPr>
              <w:rFonts w:hint="eastAsia" w:ascii="宋体" w:hAnsi="宋体" w:eastAsia="宋体" w:cs="宋体"/>
              <w:b/>
              <w:bCs/>
            </w:rPr>
            <w:fldChar w:fldCharType="end"/>
          </w:r>
        </w:p>
        <w:p w14:paraId="3FEBAED3">
          <w:pPr>
            <w:pStyle w:val="20"/>
            <w:tabs>
              <w:tab w:val="right" w:leader="dot" w:pos="9070"/>
            </w:tabs>
            <w:spacing w:line="480" w:lineRule="auto"/>
            <w:rPr>
              <w:rFonts w:hint="eastAsia" w:ascii="宋体" w:hAnsi="宋体" w:eastAsia="宋体" w:cs="宋体"/>
              <w:b/>
              <w:bCs/>
              <w:lang w:val="en-US" w:eastAsia="zh-CN"/>
            </w:rPr>
          </w:pPr>
          <w:r>
            <w:rPr>
              <w:rFonts w:hint="eastAsia" w:ascii="宋体" w:hAnsi="宋体" w:eastAsia="宋体" w:cs="宋体"/>
              <w:b/>
              <w:bCs/>
            </w:rPr>
            <w:fldChar w:fldCharType="begin"/>
          </w:r>
          <w:r>
            <w:rPr>
              <w:rFonts w:hint="eastAsia" w:ascii="宋体" w:hAnsi="宋体" w:eastAsia="宋体" w:cs="宋体"/>
              <w:b/>
              <w:bCs/>
            </w:rPr>
            <w:instrText xml:space="preserve"> HYPERLINK \l _Toc1930 </w:instrText>
          </w:r>
          <w:r>
            <w:rPr>
              <w:rFonts w:hint="eastAsia" w:ascii="宋体" w:hAnsi="宋体" w:eastAsia="宋体" w:cs="宋体"/>
              <w:b/>
              <w:bCs/>
            </w:rPr>
            <w:fldChar w:fldCharType="separate"/>
          </w:r>
          <w:r>
            <w:rPr>
              <w:rFonts w:hint="eastAsia" w:ascii="宋体" w:hAnsi="宋体" w:eastAsia="宋体" w:cs="宋体"/>
              <w:b/>
              <w:bCs/>
              <w:kern w:val="44"/>
              <w:szCs w:val="32"/>
              <w:highlight w:val="none"/>
            </w:rPr>
            <w:t>第三章  采购内容及采购要求</w:t>
          </w:r>
          <w:r>
            <w:rPr>
              <w:rFonts w:hint="eastAsia" w:ascii="宋体" w:hAnsi="宋体" w:eastAsia="宋体" w:cs="宋体"/>
              <w:b/>
              <w:bCs/>
            </w:rPr>
            <w:tab/>
          </w:r>
          <w:r>
            <w:rPr>
              <w:rFonts w:hint="eastAsia" w:ascii="宋体" w:hAnsi="宋体" w:cs="宋体"/>
              <w:b/>
              <w:bCs/>
              <w:lang w:val="en-US" w:eastAsia="zh-CN"/>
            </w:rPr>
            <w:t>3</w:t>
          </w:r>
          <w:r>
            <w:rPr>
              <w:rFonts w:hint="eastAsia" w:ascii="宋体" w:hAnsi="宋体" w:eastAsia="宋体" w:cs="宋体"/>
              <w:b/>
              <w:bCs/>
            </w:rPr>
            <w:fldChar w:fldCharType="end"/>
          </w:r>
          <w:r>
            <w:rPr>
              <w:rFonts w:hint="eastAsia" w:ascii="宋体" w:hAnsi="宋体" w:cs="宋体"/>
              <w:b/>
              <w:bCs/>
              <w:lang w:val="en-US" w:eastAsia="zh-CN"/>
            </w:rPr>
            <w:t>4</w:t>
          </w:r>
        </w:p>
        <w:p w14:paraId="64633EAC">
          <w:pPr>
            <w:pStyle w:val="20"/>
            <w:tabs>
              <w:tab w:val="right" w:leader="dot" w:pos="9070"/>
            </w:tabs>
            <w:spacing w:line="480" w:lineRule="auto"/>
            <w:rPr>
              <w:rFonts w:hint="eastAsia" w:ascii="宋体" w:hAnsi="宋体" w:eastAsia="宋体" w:cs="宋体"/>
              <w:b/>
              <w:bCs/>
              <w:lang w:val="en-US" w:eastAsia="zh-CN"/>
            </w:rPr>
          </w:pPr>
          <w:r>
            <w:rPr>
              <w:rFonts w:hint="eastAsia" w:ascii="宋体" w:hAnsi="宋体" w:eastAsia="宋体" w:cs="宋体"/>
              <w:b/>
              <w:bCs/>
            </w:rPr>
            <w:fldChar w:fldCharType="begin"/>
          </w:r>
          <w:r>
            <w:rPr>
              <w:rFonts w:hint="eastAsia" w:ascii="宋体" w:hAnsi="宋体" w:eastAsia="宋体" w:cs="宋体"/>
              <w:b/>
              <w:bCs/>
            </w:rPr>
            <w:instrText xml:space="preserve"> HYPERLINK \l _Toc30568 </w:instrText>
          </w:r>
          <w:r>
            <w:rPr>
              <w:rFonts w:hint="eastAsia" w:ascii="宋体" w:hAnsi="宋体" w:eastAsia="宋体" w:cs="宋体"/>
              <w:b/>
              <w:bCs/>
            </w:rPr>
            <w:fldChar w:fldCharType="separate"/>
          </w:r>
          <w:r>
            <w:rPr>
              <w:rFonts w:hint="eastAsia" w:ascii="宋体" w:hAnsi="宋体" w:eastAsia="宋体" w:cs="宋体"/>
              <w:b/>
              <w:bCs/>
              <w:szCs w:val="32"/>
              <w:highlight w:val="none"/>
            </w:rPr>
            <w:t>第四章  合同草案条款</w:t>
          </w:r>
          <w:r>
            <w:rPr>
              <w:rFonts w:hint="eastAsia" w:ascii="宋体" w:hAnsi="宋体" w:eastAsia="宋体" w:cs="宋体"/>
              <w:b/>
              <w:bCs/>
            </w:rPr>
            <w:tab/>
          </w:r>
          <w:r>
            <w:rPr>
              <w:rFonts w:hint="eastAsia" w:ascii="宋体" w:hAnsi="宋体" w:cs="宋体"/>
              <w:b/>
              <w:bCs/>
              <w:lang w:val="en-US" w:eastAsia="zh-CN"/>
            </w:rPr>
            <w:t>4</w:t>
          </w:r>
          <w:r>
            <w:rPr>
              <w:rFonts w:hint="eastAsia" w:ascii="宋体" w:hAnsi="宋体" w:eastAsia="宋体" w:cs="宋体"/>
              <w:b/>
              <w:bCs/>
            </w:rPr>
            <w:fldChar w:fldCharType="end"/>
          </w:r>
          <w:r>
            <w:rPr>
              <w:rFonts w:hint="eastAsia" w:ascii="宋体" w:hAnsi="宋体" w:cs="宋体"/>
              <w:b/>
              <w:bCs/>
              <w:lang w:val="en-US" w:eastAsia="zh-CN"/>
            </w:rPr>
            <w:t>0</w:t>
          </w:r>
        </w:p>
        <w:p w14:paraId="3BF5E4F5">
          <w:pPr>
            <w:pStyle w:val="20"/>
            <w:tabs>
              <w:tab w:val="right" w:leader="dot" w:pos="9070"/>
            </w:tabs>
            <w:spacing w:line="480" w:lineRule="auto"/>
            <w:rPr>
              <w:rFonts w:hint="eastAsia" w:ascii="仿宋" w:hAnsi="仿宋" w:eastAsia="宋体" w:cs="仿宋"/>
              <w:lang w:val="en-US" w:eastAsia="zh-CN"/>
            </w:rPr>
          </w:pPr>
          <w:r>
            <w:rPr>
              <w:rFonts w:hint="eastAsia" w:ascii="宋体" w:hAnsi="宋体" w:eastAsia="宋体" w:cs="宋体"/>
              <w:b/>
              <w:bCs/>
            </w:rPr>
            <w:fldChar w:fldCharType="begin"/>
          </w:r>
          <w:r>
            <w:rPr>
              <w:rFonts w:hint="eastAsia" w:ascii="宋体" w:hAnsi="宋体" w:eastAsia="宋体" w:cs="宋体"/>
              <w:b/>
              <w:bCs/>
            </w:rPr>
            <w:instrText xml:space="preserve"> HYPERLINK \l _Toc19868 </w:instrText>
          </w:r>
          <w:r>
            <w:rPr>
              <w:rFonts w:hint="eastAsia" w:ascii="宋体" w:hAnsi="宋体" w:eastAsia="宋体" w:cs="宋体"/>
              <w:b/>
              <w:bCs/>
            </w:rPr>
            <w:fldChar w:fldCharType="separate"/>
          </w:r>
          <w:r>
            <w:rPr>
              <w:rFonts w:hint="eastAsia" w:ascii="宋体" w:hAnsi="宋体" w:eastAsia="宋体" w:cs="宋体"/>
              <w:b/>
              <w:bCs/>
              <w:szCs w:val="32"/>
              <w:highlight w:val="none"/>
            </w:rPr>
            <w:t>第五章  响应文件构成及格式</w:t>
          </w:r>
          <w:r>
            <w:rPr>
              <w:rFonts w:hint="eastAsia" w:ascii="宋体" w:hAnsi="宋体" w:eastAsia="宋体" w:cs="宋体"/>
              <w:b/>
              <w:bCs/>
            </w:rPr>
            <w:tab/>
          </w:r>
          <w:r>
            <w:rPr>
              <w:rFonts w:hint="eastAsia" w:ascii="宋体" w:hAnsi="宋体" w:cs="宋体"/>
              <w:b/>
              <w:bCs/>
              <w:lang w:val="en-US" w:eastAsia="zh-CN"/>
            </w:rPr>
            <w:t>4</w:t>
          </w:r>
          <w:r>
            <w:rPr>
              <w:rFonts w:hint="eastAsia" w:ascii="宋体" w:hAnsi="宋体" w:eastAsia="宋体" w:cs="宋体"/>
              <w:b/>
              <w:bCs/>
            </w:rPr>
            <w:fldChar w:fldCharType="end"/>
          </w:r>
          <w:r>
            <w:rPr>
              <w:rFonts w:hint="eastAsia" w:ascii="宋体" w:hAnsi="宋体" w:cs="宋体"/>
              <w:b/>
              <w:bCs/>
              <w:lang w:val="en-US" w:eastAsia="zh-CN"/>
            </w:rPr>
            <w:t>5</w:t>
          </w:r>
        </w:p>
        <w:p w14:paraId="6311490C">
          <w:pPr>
            <w:rPr>
              <w:rFonts w:hint="eastAsia" w:ascii="仿宋" w:hAnsi="仿宋" w:eastAsia="仿宋" w:cs="仿宋"/>
            </w:rPr>
            <w:sectPr>
              <w:headerReference r:id="rId5" w:type="first"/>
              <w:footerReference r:id="rId7" w:type="first"/>
              <w:footerReference r:id="rId6" w:type="default"/>
              <w:pgSz w:w="11906" w:h="16838"/>
              <w:pgMar w:top="1418" w:right="1418" w:bottom="1418" w:left="1418" w:header="851" w:footer="992" w:gutter="0"/>
              <w:pgNumType w:start="1"/>
              <w:cols w:space="720" w:num="1"/>
              <w:titlePg/>
              <w:docGrid w:type="linesAndChars" w:linePitch="381" w:charSpace="704"/>
            </w:sectPr>
          </w:pPr>
          <w:r>
            <w:rPr>
              <w:rFonts w:hint="eastAsia" w:ascii="仿宋" w:hAnsi="仿宋" w:eastAsia="仿宋" w:cs="仿宋"/>
            </w:rPr>
            <w:fldChar w:fldCharType="end"/>
          </w:r>
        </w:p>
      </w:sdtContent>
    </w:sdt>
    <w:p w14:paraId="64222DB4">
      <w:pPr>
        <w:pStyle w:val="4"/>
        <w:rPr>
          <w:rFonts w:hint="eastAsia" w:ascii="黑体" w:hAnsi="黑体" w:eastAsia="黑体" w:cs="黑体"/>
          <w:b w:val="0"/>
          <w:color w:val="auto"/>
          <w:sz w:val="32"/>
          <w:szCs w:val="32"/>
          <w:highlight w:val="none"/>
        </w:rPr>
      </w:pPr>
      <w:bookmarkStart w:id="0" w:name="_Toc3164"/>
      <w:bookmarkStart w:id="1" w:name="_Toc1895"/>
      <w:bookmarkStart w:id="2" w:name="_Toc20182"/>
      <w:bookmarkStart w:id="3" w:name="_Toc24825"/>
      <w:bookmarkStart w:id="4" w:name="_Toc12057"/>
      <w:bookmarkStart w:id="5" w:name="_Toc15959"/>
      <w:bookmarkStart w:id="6" w:name="_Toc7514"/>
      <w:bookmarkStart w:id="7" w:name="_Toc4207"/>
      <w:bookmarkStart w:id="8" w:name="_Toc19246"/>
      <w:bookmarkStart w:id="9" w:name="_Toc9109"/>
      <w:bookmarkStart w:id="10" w:name="_Toc31683"/>
      <w:bookmarkStart w:id="11" w:name="_Toc13557"/>
      <w:r>
        <w:rPr>
          <w:rFonts w:hint="eastAsia" w:ascii="黑体" w:hAnsi="黑体" w:eastAsia="黑体" w:cs="黑体"/>
          <w:b w:val="0"/>
          <w:color w:val="auto"/>
          <w:sz w:val="32"/>
          <w:szCs w:val="32"/>
          <w:highlight w:val="none"/>
        </w:rPr>
        <w:t>第一章  谈判邀请函</w:t>
      </w:r>
      <w:bookmarkEnd w:id="0"/>
      <w:bookmarkEnd w:id="1"/>
      <w:bookmarkEnd w:id="2"/>
      <w:bookmarkEnd w:id="3"/>
      <w:bookmarkEnd w:id="4"/>
      <w:bookmarkEnd w:id="5"/>
      <w:bookmarkEnd w:id="6"/>
      <w:bookmarkEnd w:id="7"/>
      <w:bookmarkEnd w:id="8"/>
      <w:bookmarkEnd w:id="9"/>
      <w:bookmarkEnd w:id="10"/>
      <w:bookmarkEnd w:id="11"/>
    </w:p>
    <w:p w14:paraId="309FDC85">
      <w:pPr>
        <w:spacing w:line="500" w:lineRule="exact"/>
        <w:ind w:firstLine="566" w:firstLineChars="200"/>
        <w:rPr>
          <w:rFonts w:ascii="仿宋" w:hAnsi="仿宋" w:eastAsia="仿宋" w:cs="仿宋"/>
          <w:color w:val="auto"/>
          <w:highlight w:val="none"/>
        </w:rPr>
      </w:pPr>
      <w:r>
        <w:rPr>
          <w:rFonts w:hint="eastAsia" w:ascii="仿宋" w:hAnsi="仿宋" w:eastAsia="仿宋" w:cs="仿宋"/>
          <w:b/>
          <w:bCs/>
          <w:color w:val="auto"/>
          <w:highlight w:val="none"/>
          <w:lang w:eastAsia="zh-CN"/>
        </w:rPr>
        <w:t>西安邮电大学2026年桌椅、床板采购项目</w:t>
      </w:r>
      <w:r>
        <w:rPr>
          <w:rFonts w:hint="eastAsia" w:ascii="仿宋" w:hAnsi="仿宋" w:eastAsia="仿宋" w:cs="仿宋"/>
          <w:color w:val="auto"/>
          <w:highlight w:val="none"/>
        </w:rPr>
        <w:t>潜在的供应商可在全国公共资源交易平台（陕西省）</w:t>
      </w:r>
      <w:r>
        <w:rPr>
          <w:rFonts w:hint="eastAsia" w:ascii="仿宋" w:hAnsi="仿宋" w:eastAsia="仿宋" w:cs="仿宋"/>
          <w:color w:val="auto"/>
          <w:sz w:val="28"/>
          <w:szCs w:val="28"/>
          <w:highlight w:val="none"/>
          <w:lang w:eastAsia="zh-CN"/>
        </w:rPr>
        <w:t>政府采购交易系统</w:t>
      </w:r>
      <w:r>
        <w:rPr>
          <w:rFonts w:hint="eastAsia" w:ascii="仿宋" w:hAnsi="仿宋" w:eastAsia="仿宋" w:cs="仿宋"/>
          <w:color w:val="auto"/>
          <w:highlight w:val="none"/>
        </w:rPr>
        <w:t>免费获取谈判文件，并于202</w:t>
      </w:r>
      <w:r>
        <w:rPr>
          <w:rFonts w:hint="eastAsia" w:ascii="仿宋" w:hAnsi="仿宋" w:eastAsia="仿宋" w:cs="仿宋"/>
          <w:color w:val="auto"/>
          <w:highlight w:val="none"/>
          <w:lang w:val="en-US" w:eastAsia="zh-CN"/>
        </w:rPr>
        <w:t>6</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7</w:t>
      </w: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 xml:space="preserve">14 </w:t>
      </w:r>
      <w:r>
        <w:rPr>
          <w:rFonts w:hint="eastAsia" w:ascii="仿宋" w:hAnsi="仿宋" w:eastAsia="仿宋" w:cs="仿宋"/>
          <w:color w:val="auto"/>
          <w:highlight w:val="none"/>
        </w:rPr>
        <w:t>09:30:00前递交响应文件。</w:t>
      </w:r>
    </w:p>
    <w:p w14:paraId="19A41FE7">
      <w:pPr>
        <w:spacing w:line="500" w:lineRule="exact"/>
        <w:ind w:firstLine="566" w:firstLineChars="200"/>
        <w:rPr>
          <w:rFonts w:hint="default" w:ascii="仿宋" w:hAnsi="仿宋" w:eastAsia="仿宋" w:cs="仿宋"/>
          <w:b/>
          <w:bCs/>
          <w:color w:val="auto"/>
          <w:highlight w:val="none"/>
          <w:lang w:val="en-US" w:eastAsia="zh-CN"/>
        </w:rPr>
      </w:pPr>
      <w:r>
        <w:rPr>
          <w:rFonts w:hint="eastAsia" w:ascii="仿宋" w:hAnsi="仿宋" w:eastAsia="仿宋" w:cs="仿宋"/>
          <w:b/>
          <w:color w:val="auto"/>
          <w:highlight w:val="none"/>
        </w:rPr>
        <w:t>一、项目名称：</w:t>
      </w:r>
      <w:r>
        <w:rPr>
          <w:rFonts w:hint="eastAsia" w:ascii="仿宋" w:hAnsi="仿宋" w:eastAsia="仿宋" w:cs="仿宋"/>
          <w:color w:val="auto"/>
          <w:highlight w:val="none"/>
          <w:lang w:eastAsia="zh-CN"/>
        </w:rPr>
        <w:t>西安邮电大学2026年桌椅、床板采购项目</w:t>
      </w:r>
    </w:p>
    <w:p w14:paraId="02CEA515">
      <w:pPr>
        <w:spacing w:line="500" w:lineRule="exact"/>
        <w:ind w:firstLine="566" w:firstLineChars="200"/>
        <w:rPr>
          <w:rFonts w:hint="default" w:ascii="仿宋" w:hAnsi="仿宋" w:eastAsia="仿宋" w:cs="仿宋"/>
          <w:bCs/>
          <w:color w:val="auto"/>
          <w:highlight w:val="none"/>
          <w:lang w:val="en-US" w:eastAsia="zh-CN"/>
        </w:rPr>
      </w:pPr>
      <w:bookmarkStart w:id="12" w:name="_Toc2108"/>
      <w:r>
        <w:rPr>
          <w:rFonts w:hint="eastAsia" w:ascii="仿宋" w:hAnsi="仿宋" w:eastAsia="仿宋" w:cs="仿宋"/>
          <w:b/>
          <w:color w:val="auto"/>
          <w:highlight w:val="none"/>
        </w:rPr>
        <w:t>二、项目编号：</w:t>
      </w:r>
      <w:r>
        <w:rPr>
          <w:rFonts w:hint="eastAsia" w:ascii="仿宋" w:hAnsi="仿宋" w:eastAsia="仿宋" w:cs="仿宋"/>
          <w:bCs/>
          <w:color w:val="auto"/>
          <w:highlight w:val="none"/>
        </w:rPr>
        <w:t>SNCG-FM-202</w:t>
      </w:r>
      <w:bookmarkEnd w:id="12"/>
      <w:r>
        <w:rPr>
          <w:rFonts w:hint="eastAsia" w:ascii="仿宋" w:hAnsi="仿宋" w:eastAsia="仿宋" w:cs="仿宋"/>
          <w:bCs/>
          <w:color w:val="auto"/>
          <w:highlight w:val="none"/>
          <w:lang w:val="en-US" w:eastAsia="zh-CN"/>
        </w:rPr>
        <w:t>6126</w:t>
      </w:r>
    </w:p>
    <w:p w14:paraId="458C2AC9">
      <w:pPr>
        <w:spacing w:line="500" w:lineRule="exact"/>
        <w:ind w:firstLine="566" w:firstLineChars="200"/>
        <w:rPr>
          <w:rFonts w:hint="eastAsia" w:ascii="仿宋" w:hAnsi="仿宋" w:eastAsia="仿宋" w:cs="仿宋"/>
          <w:color w:val="auto"/>
          <w:highlight w:val="none"/>
          <w:lang w:eastAsia="zh-CN"/>
        </w:rPr>
      </w:pPr>
      <w:bookmarkStart w:id="13" w:name="_Toc30409"/>
      <w:r>
        <w:rPr>
          <w:rFonts w:hint="eastAsia" w:ascii="仿宋" w:hAnsi="仿宋" w:eastAsia="仿宋" w:cs="仿宋"/>
          <w:b/>
          <w:color w:val="auto"/>
          <w:highlight w:val="none"/>
        </w:rPr>
        <w:t>三、采购人</w:t>
      </w:r>
      <w:r>
        <w:rPr>
          <w:rFonts w:hint="eastAsia" w:ascii="仿宋" w:hAnsi="仿宋" w:eastAsia="仿宋" w:cs="仿宋"/>
          <w:color w:val="auto"/>
          <w:highlight w:val="none"/>
        </w:rPr>
        <w:t>：</w:t>
      </w:r>
      <w:bookmarkEnd w:id="13"/>
      <w:r>
        <w:rPr>
          <w:rFonts w:hint="eastAsia" w:ascii="仿宋" w:hAnsi="仿宋" w:eastAsia="仿宋" w:cs="仿宋"/>
          <w:color w:val="auto"/>
          <w:highlight w:val="none"/>
          <w:lang w:eastAsia="zh-CN"/>
        </w:rPr>
        <w:t>西安邮电大学</w:t>
      </w:r>
    </w:p>
    <w:p w14:paraId="6E539C92">
      <w:pPr>
        <w:pStyle w:val="54"/>
        <w:wordWrap/>
        <w:spacing w:line="500" w:lineRule="exact"/>
        <w:ind w:firstLine="1134"/>
        <w:rPr>
          <w:rFonts w:hint="eastAsia" w:ascii="仿宋" w:hAnsi="仿宋" w:eastAsia="仿宋" w:cs="仿宋"/>
          <w:color w:val="auto"/>
          <w:highlight w:val="none"/>
        </w:rPr>
      </w:pPr>
      <w:r>
        <w:rPr>
          <w:rFonts w:hint="eastAsia" w:ascii="仿宋" w:hAnsi="仿宋" w:eastAsia="仿宋" w:cs="仿宋"/>
          <w:color w:val="auto"/>
          <w:highlight w:val="none"/>
        </w:rPr>
        <w:t>地  址：</w:t>
      </w:r>
      <w:r>
        <w:rPr>
          <w:rFonts w:hint="eastAsia" w:ascii="仿宋" w:hAnsi="仿宋" w:eastAsia="仿宋" w:cs="仿宋"/>
          <w:color w:val="auto"/>
          <w:highlight w:val="none"/>
          <w:lang w:val="en-US" w:eastAsia="zh-CN"/>
        </w:rPr>
        <w:t>西安市长安区西长安街618号</w:t>
      </w:r>
    </w:p>
    <w:p w14:paraId="6F80EFA3">
      <w:pPr>
        <w:pStyle w:val="54"/>
        <w:wordWrap/>
        <w:spacing w:line="500" w:lineRule="exact"/>
        <w:ind w:firstLine="1134"/>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联系人：</w:t>
      </w:r>
      <w:r>
        <w:rPr>
          <w:rFonts w:hint="eastAsia" w:ascii="仿宋" w:hAnsi="仿宋" w:eastAsia="仿宋" w:cs="仿宋"/>
          <w:color w:val="auto"/>
          <w:highlight w:val="none"/>
          <w:lang w:val="en-US" w:eastAsia="zh-CN"/>
        </w:rPr>
        <w:t>杨</w:t>
      </w:r>
      <w:r>
        <w:rPr>
          <w:rFonts w:hint="eastAsia" w:ascii="仿宋" w:hAnsi="仿宋" w:eastAsia="仿宋" w:cs="仿宋"/>
          <w:color w:val="auto"/>
          <w:highlight w:val="none"/>
        </w:rPr>
        <w:t>老师</w:t>
      </w:r>
      <w:r>
        <w:rPr>
          <w:rFonts w:hint="eastAsia" w:ascii="仿宋" w:hAnsi="仿宋" w:eastAsia="仿宋" w:cs="仿宋"/>
          <w:color w:val="auto"/>
          <w:highlight w:val="none"/>
          <w:lang w:val="en-US" w:eastAsia="zh-CN"/>
        </w:rPr>
        <w:t xml:space="preserve"> 蔡老师</w:t>
      </w:r>
    </w:p>
    <w:p w14:paraId="72E556E4">
      <w:pPr>
        <w:spacing w:line="500" w:lineRule="exact"/>
        <w:ind w:firstLine="1132" w:firstLineChars="4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联系方式：</w:t>
      </w:r>
      <w:bookmarkStart w:id="14" w:name="_Toc24371"/>
      <w:r>
        <w:rPr>
          <w:rFonts w:hint="eastAsia" w:ascii="仿宋" w:hAnsi="仿宋" w:eastAsia="仿宋" w:cs="仿宋"/>
          <w:color w:val="auto"/>
          <w:highlight w:val="none"/>
          <w:lang w:val="en-US" w:eastAsia="zh-CN"/>
        </w:rPr>
        <w:t>029-88166209  029-88166206</w:t>
      </w:r>
    </w:p>
    <w:p w14:paraId="30B8927E">
      <w:pPr>
        <w:spacing w:line="500" w:lineRule="exact"/>
        <w:ind w:firstLine="566" w:firstLineChars="200"/>
        <w:rPr>
          <w:rFonts w:ascii="仿宋" w:hAnsi="仿宋" w:eastAsia="仿宋" w:cs="仿宋"/>
          <w:b/>
          <w:color w:val="auto"/>
          <w:highlight w:val="none"/>
        </w:rPr>
      </w:pPr>
      <w:r>
        <w:rPr>
          <w:rFonts w:hint="eastAsia" w:ascii="仿宋" w:hAnsi="仿宋" w:eastAsia="仿宋" w:cs="仿宋"/>
          <w:b/>
          <w:color w:val="auto"/>
          <w:highlight w:val="none"/>
        </w:rPr>
        <w:t>四、集中采购机构：</w:t>
      </w:r>
      <w:r>
        <w:rPr>
          <w:rFonts w:hint="eastAsia" w:ascii="仿宋" w:hAnsi="仿宋" w:eastAsia="仿宋" w:cs="仿宋"/>
          <w:bCs/>
          <w:color w:val="auto"/>
          <w:highlight w:val="none"/>
        </w:rPr>
        <w:t>陕西省省级单位政府采购中心</w:t>
      </w:r>
      <w:bookmarkEnd w:id="14"/>
    </w:p>
    <w:p w14:paraId="56468431">
      <w:pPr>
        <w:tabs>
          <w:tab w:val="left" w:pos="1620"/>
        </w:tabs>
        <w:snapToGrid w:val="0"/>
        <w:spacing w:line="500" w:lineRule="exact"/>
        <w:ind w:firstLine="1132" w:firstLineChars="400"/>
        <w:rPr>
          <w:rFonts w:hint="eastAsia" w:ascii="仿宋" w:hAnsi="仿宋" w:eastAsia="仿宋" w:cs="仿宋"/>
          <w:color w:val="auto"/>
          <w:kern w:val="2"/>
          <w:highlight w:val="none"/>
        </w:rPr>
      </w:pPr>
      <w:r>
        <w:rPr>
          <w:rFonts w:hint="eastAsia" w:ascii="仿宋" w:hAnsi="仿宋" w:eastAsia="仿宋" w:cs="仿宋"/>
          <w:color w:val="auto"/>
          <w:kern w:val="2"/>
          <w:highlight w:val="none"/>
        </w:rPr>
        <w:t>地址：西安市碑林区长安北路14号</w:t>
      </w:r>
    </w:p>
    <w:p w14:paraId="199E15F9">
      <w:pPr>
        <w:tabs>
          <w:tab w:val="left" w:pos="1620"/>
        </w:tabs>
        <w:snapToGrid w:val="0"/>
        <w:spacing w:line="500" w:lineRule="exact"/>
        <w:ind w:firstLine="1132" w:firstLineChars="400"/>
        <w:rPr>
          <w:rFonts w:hint="eastAsia" w:ascii="仿宋" w:hAnsi="仿宋" w:eastAsia="仿宋" w:cs="仿宋"/>
          <w:color w:val="auto"/>
          <w:kern w:val="2"/>
          <w:highlight w:val="none"/>
        </w:rPr>
      </w:pPr>
      <w:r>
        <w:rPr>
          <w:rFonts w:hint="eastAsia" w:ascii="仿宋" w:hAnsi="仿宋" w:eastAsia="仿宋" w:cs="仿宋"/>
          <w:color w:val="auto"/>
          <w:kern w:val="2"/>
          <w:highlight w:val="none"/>
        </w:rPr>
        <w:t>联系人：</w:t>
      </w:r>
      <w:r>
        <w:rPr>
          <w:rFonts w:hint="eastAsia" w:ascii="仿宋" w:hAnsi="仿宋" w:eastAsia="仿宋" w:cs="仿宋"/>
          <w:color w:val="auto"/>
          <w:kern w:val="2"/>
          <w:highlight w:val="none"/>
          <w:lang w:val="en-US" w:eastAsia="zh-CN"/>
        </w:rPr>
        <w:t>聂</w:t>
      </w:r>
      <w:r>
        <w:rPr>
          <w:rFonts w:hint="eastAsia" w:ascii="仿宋" w:hAnsi="仿宋" w:eastAsia="仿宋" w:cs="仿宋"/>
          <w:color w:val="auto"/>
          <w:kern w:val="2"/>
          <w:highlight w:val="none"/>
        </w:rPr>
        <w:t>老师</w:t>
      </w:r>
    </w:p>
    <w:p w14:paraId="50DC64EA">
      <w:pPr>
        <w:tabs>
          <w:tab w:val="left" w:pos="1620"/>
        </w:tabs>
        <w:snapToGrid w:val="0"/>
        <w:spacing w:line="500" w:lineRule="exact"/>
        <w:ind w:firstLine="1132" w:firstLineChars="400"/>
        <w:rPr>
          <w:rFonts w:hint="eastAsia" w:ascii="仿宋" w:hAnsi="仿宋" w:eastAsia="仿宋" w:cs="仿宋"/>
          <w:color w:val="auto"/>
          <w:kern w:val="0"/>
          <w:highlight w:val="none"/>
          <w:lang w:val="en-US" w:eastAsia="zh-CN"/>
        </w:rPr>
      </w:pPr>
      <w:r>
        <w:rPr>
          <w:rFonts w:hint="eastAsia" w:ascii="仿宋" w:hAnsi="仿宋" w:eastAsia="仿宋" w:cs="仿宋"/>
          <w:color w:val="auto"/>
          <w:kern w:val="2"/>
          <w:highlight w:val="none"/>
        </w:rPr>
        <w:t>联系方式：02</w:t>
      </w:r>
      <w:r>
        <w:rPr>
          <w:rFonts w:hint="eastAsia" w:ascii="仿宋" w:hAnsi="仿宋" w:eastAsia="仿宋" w:cs="仿宋"/>
          <w:color w:val="auto"/>
          <w:kern w:val="0"/>
          <w:highlight w:val="none"/>
        </w:rPr>
        <w:t>9-886</w:t>
      </w:r>
      <w:r>
        <w:rPr>
          <w:rFonts w:hint="eastAsia" w:ascii="仿宋" w:hAnsi="仿宋" w:eastAsia="仿宋" w:cs="仿宋"/>
          <w:color w:val="auto"/>
          <w:kern w:val="0"/>
          <w:highlight w:val="none"/>
          <w:lang w:eastAsia="zh-CN"/>
        </w:rPr>
        <w:t>612</w:t>
      </w:r>
      <w:r>
        <w:rPr>
          <w:rFonts w:hint="eastAsia" w:ascii="仿宋" w:hAnsi="仿宋" w:eastAsia="仿宋" w:cs="仿宋"/>
          <w:color w:val="auto"/>
          <w:kern w:val="0"/>
          <w:highlight w:val="none"/>
          <w:lang w:val="en-US" w:eastAsia="zh-CN"/>
        </w:rPr>
        <w:t>94</w:t>
      </w:r>
    </w:p>
    <w:p w14:paraId="41A5EE80">
      <w:pPr>
        <w:spacing w:line="500" w:lineRule="exact"/>
        <w:ind w:firstLine="566" w:firstLineChars="200"/>
        <w:rPr>
          <w:rFonts w:hint="eastAsia" w:ascii="仿宋" w:hAnsi="仿宋" w:eastAsia="仿宋" w:cs="仿宋"/>
          <w:b/>
          <w:color w:val="auto"/>
          <w:highlight w:val="none"/>
        </w:rPr>
      </w:pPr>
      <w:bookmarkStart w:id="15" w:name="_Toc10225"/>
      <w:r>
        <w:rPr>
          <w:rFonts w:hint="eastAsia" w:ascii="仿宋" w:hAnsi="仿宋" w:eastAsia="仿宋" w:cs="仿宋"/>
          <w:b/>
          <w:color w:val="auto"/>
          <w:highlight w:val="none"/>
        </w:rPr>
        <w:t>五、谈判内容和要求</w:t>
      </w:r>
      <w:bookmarkEnd w:id="15"/>
    </w:p>
    <w:p w14:paraId="56A2BF5C">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本项目为满足</w:t>
      </w:r>
      <w:r>
        <w:rPr>
          <w:rFonts w:hint="eastAsia" w:ascii="仿宋" w:hAnsi="仿宋" w:eastAsia="仿宋" w:cs="仿宋"/>
          <w:bCs/>
          <w:color w:val="auto"/>
          <w:highlight w:val="none"/>
          <w:lang w:eastAsia="zh-CN"/>
        </w:rPr>
        <w:t>西安邮电大学2026年桌椅、床板采购项目</w:t>
      </w:r>
      <w:r>
        <w:rPr>
          <w:rFonts w:hint="eastAsia" w:ascii="仿宋" w:hAnsi="仿宋" w:eastAsia="仿宋" w:cs="仿宋"/>
          <w:bCs/>
          <w:color w:val="auto"/>
          <w:highlight w:val="none"/>
        </w:rPr>
        <w:t>。（详见谈判文件第三章〈采购内容及采购要求〉）</w:t>
      </w:r>
    </w:p>
    <w:p w14:paraId="1157B3E0">
      <w:pPr>
        <w:spacing w:line="500" w:lineRule="exact"/>
        <w:ind w:firstLine="566" w:firstLineChars="200"/>
        <w:rPr>
          <w:rFonts w:hint="eastAsia" w:ascii="仿宋" w:hAnsi="仿宋" w:eastAsia="仿宋" w:cs="仿宋"/>
          <w:highlight w:val="none"/>
        </w:rPr>
      </w:pPr>
      <w:bookmarkStart w:id="16" w:name="_Toc11576"/>
      <w:r>
        <w:rPr>
          <w:rFonts w:hint="eastAsia" w:ascii="仿宋" w:hAnsi="仿宋" w:eastAsia="仿宋" w:cs="仿宋"/>
          <w:b/>
          <w:highlight w:val="none"/>
        </w:rPr>
        <w:t>本项目可兼投不可兼中。</w:t>
      </w:r>
      <w:r>
        <w:rPr>
          <w:rFonts w:hint="eastAsia" w:ascii="仿宋" w:hAnsi="仿宋" w:eastAsia="仿宋" w:cs="仿宋"/>
          <w:highlight w:val="none"/>
        </w:rPr>
        <w:t>投标人可同时参与</w:t>
      </w:r>
      <w:r>
        <w:rPr>
          <w:rFonts w:hint="eastAsia" w:ascii="仿宋" w:hAnsi="仿宋" w:eastAsia="仿宋" w:cs="仿宋"/>
          <w:highlight w:val="none"/>
          <w:lang w:val="en-US" w:eastAsia="zh-CN"/>
        </w:rPr>
        <w:t>两</w:t>
      </w:r>
      <w:r>
        <w:rPr>
          <w:rFonts w:hint="eastAsia" w:ascii="仿宋" w:hAnsi="仿宋" w:eastAsia="仿宋" w:cs="仿宋"/>
          <w:highlight w:val="none"/>
        </w:rPr>
        <w:t>个标段，但同一投标人只能中标一个标段（按照标段顺序确定中标标段）。若投标人在第一标段已经确定为中标候选人，则不再参与第</w:t>
      </w:r>
      <w:r>
        <w:rPr>
          <w:rFonts w:hint="eastAsia" w:ascii="仿宋" w:hAnsi="仿宋" w:eastAsia="仿宋" w:cs="仿宋"/>
          <w:highlight w:val="none"/>
          <w:lang w:val="en-US" w:eastAsia="zh-CN"/>
        </w:rPr>
        <w:t>二标段</w:t>
      </w:r>
      <w:r>
        <w:rPr>
          <w:rFonts w:hint="eastAsia" w:ascii="仿宋" w:hAnsi="仿宋" w:eastAsia="仿宋" w:cs="仿宋"/>
          <w:highlight w:val="none"/>
        </w:rPr>
        <w:t>的中标推荐活动。</w:t>
      </w:r>
    </w:p>
    <w:p w14:paraId="091F00CC">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b/>
          <w:color w:val="auto"/>
          <w:highlight w:val="none"/>
        </w:rPr>
        <w:t>六、资金来源：</w:t>
      </w:r>
      <w:r>
        <w:rPr>
          <w:rFonts w:hint="eastAsia" w:ascii="仿宋" w:hAnsi="仿宋" w:eastAsia="仿宋" w:cs="仿宋"/>
          <w:color w:val="auto"/>
          <w:highlight w:val="none"/>
        </w:rPr>
        <w:t>预算内</w:t>
      </w:r>
      <w:bookmarkEnd w:id="16"/>
    </w:p>
    <w:p w14:paraId="7C5D75A0">
      <w:pPr>
        <w:spacing w:line="500" w:lineRule="exact"/>
        <w:ind w:firstLine="566" w:firstLineChars="200"/>
        <w:rPr>
          <w:rFonts w:ascii="仿宋" w:hAnsi="仿宋" w:eastAsia="仿宋" w:cs="仿宋"/>
          <w:color w:val="auto"/>
          <w:highlight w:val="none"/>
        </w:rPr>
      </w:pPr>
      <w:bookmarkStart w:id="17" w:name="_Toc3730"/>
      <w:r>
        <w:rPr>
          <w:rFonts w:hint="eastAsia" w:ascii="仿宋" w:hAnsi="仿宋" w:eastAsia="仿宋" w:cs="仿宋"/>
          <w:b/>
          <w:color w:val="auto"/>
          <w:highlight w:val="none"/>
        </w:rPr>
        <w:t>七、采购预算</w:t>
      </w:r>
      <w:r>
        <w:rPr>
          <w:rFonts w:hint="eastAsia" w:ascii="仿宋" w:hAnsi="仿宋" w:eastAsia="仿宋" w:cs="仿宋"/>
          <w:b/>
          <w:color w:val="auto"/>
          <w:highlight w:val="none"/>
          <w:lang w:eastAsia="zh-CN"/>
        </w:rPr>
        <w:t>：</w:t>
      </w:r>
      <w:r>
        <w:rPr>
          <w:rFonts w:hint="eastAsia" w:ascii="仿宋" w:hAnsi="仿宋" w:eastAsia="仿宋" w:cs="仿宋"/>
          <w:b w:val="0"/>
          <w:bCs/>
          <w:color w:val="auto"/>
          <w:highlight w:val="none"/>
          <w:lang w:val="en-US" w:eastAsia="zh-CN"/>
        </w:rPr>
        <w:t>99.635万元</w:t>
      </w:r>
      <w:bookmarkEnd w:id="17"/>
    </w:p>
    <w:tbl>
      <w:tblPr>
        <w:tblStyle w:val="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84"/>
        <w:gridCol w:w="5025"/>
        <w:gridCol w:w="1855"/>
      </w:tblGrid>
      <w:tr w14:paraId="2E3ACF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jc w:val="center"/>
        </w:trPr>
        <w:tc>
          <w:tcPr>
            <w:tcW w:w="1284" w:type="dxa"/>
            <w:vAlign w:val="center"/>
          </w:tcPr>
          <w:p w14:paraId="2E6A7FE4">
            <w:pPr>
              <w:widowControl/>
              <w:spacing w:line="380" w:lineRule="exact"/>
              <w:jc w:val="center"/>
              <w:rPr>
                <w:rFonts w:hint="eastAsia" w:ascii="仿宋" w:hAnsi="仿宋" w:eastAsia="仿宋" w:cs="仿宋"/>
                <w:sz w:val="24"/>
                <w:szCs w:val="24"/>
                <w:highlight w:val="none"/>
              </w:rPr>
            </w:pPr>
            <w:bookmarkStart w:id="18" w:name="_Toc10214"/>
            <w:r>
              <w:rPr>
                <w:rFonts w:hint="eastAsia" w:ascii="仿宋" w:hAnsi="仿宋" w:eastAsia="仿宋" w:cs="仿宋"/>
                <w:b/>
                <w:bCs/>
                <w:color w:val="000000" w:themeColor="text1"/>
                <w:sz w:val="24"/>
                <w:szCs w:val="24"/>
                <w:highlight w:val="none"/>
                <w14:textFill>
                  <w14:solidFill>
                    <w14:schemeClr w14:val="tx1"/>
                  </w14:solidFill>
                </w14:textFill>
              </w:rPr>
              <w:t>标段编号</w:t>
            </w:r>
          </w:p>
        </w:tc>
        <w:tc>
          <w:tcPr>
            <w:tcW w:w="5025" w:type="dxa"/>
            <w:vAlign w:val="center"/>
          </w:tcPr>
          <w:p w14:paraId="71029806">
            <w:pPr>
              <w:widowControl/>
              <w:spacing w:line="380" w:lineRule="exact"/>
              <w:jc w:val="center"/>
              <w:rPr>
                <w:rFonts w:hint="eastAsia" w:ascii="仿宋" w:hAnsi="仿宋" w:eastAsia="仿宋" w:cs="仿宋"/>
                <w:sz w:val="24"/>
                <w:szCs w:val="24"/>
                <w:highlight w:val="none"/>
              </w:rPr>
            </w:pPr>
            <w:r>
              <w:rPr>
                <w:rFonts w:hint="eastAsia" w:ascii="仿宋" w:hAnsi="仿宋" w:eastAsia="仿宋" w:cs="仿宋"/>
                <w:b/>
                <w:bCs/>
                <w:color w:val="000000" w:themeColor="text1"/>
                <w:sz w:val="24"/>
                <w:szCs w:val="24"/>
                <w:highlight w:val="none"/>
                <w14:textFill>
                  <w14:solidFill>
                    <w14:schemeClr w14:val="tx1"/>
                  </w14:solidFill>
                </w14:textFill>
              </w:rPr>
              <w:t>标段名称</w:t>
            </w:r>
          </w:p>
        </w:tc>
        <w:tc>
          <w:tcPr>
            <w:tcW w:w="1855" w:type="dxa"/>
            <w:vAlign w:val="center"/>
          </w:tcPr>
          <w:p w14:paraId="1585D040">
            <w:pPr>
              <w:widowControl/>
              <w:spacing w:line="380" w:lineRule="exact"/>
              <w:jc w:val="center"/>
              <w:rPr>
                <w:rFonts w:hint="eastAsia" w:ascii="仿宋" w:hAnsi="仿宋" w:eastAsia="仿宋" w:cs="仿宋"/>
                <w:sz w:val="24"/>
                <w:szCs w:val="24"/>
                <w:highlight w:val="none"/>
              </w:rPr>
            </w:pPr>
            <w:r>
              <w:rPr>
                <w:rFonts w:hint="eastAsia" w:ascii="仿宋" w:hAnsi="仿宋" w:eastAsia="仿宋" w:cs="仿宋"/>
                <w:b/>
                <w:bCs/>
                <w:color w:val="000000" w:themeColor="text1"/>
                <w:sz w:val="24"/>
                <w:szCs w:val="24"/>
                <w:highlight w:val="none"/>
                <w14:textFill>
                  <w14:solidFill>
                    <w14:schemeClr w14:val="tx1"/>
                  </w14:solidFill>
                </w14:textFill>
              </w:rPr>
              <w:t>预算金额</w:t>
            </w:r>
          </w:p>
        </w:tc>
      </w:tr>
      <w:tr w14:paraId="081BE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1284" w:type="dxa"/>
            <w:vAlign w:val="center"/>
          </w:tcPr>
          <w:p w14:paraId="506BFCEC">
            <w:pPr>
              <w:widowControl/>
              <w:tabs>
                <w:tab w:val="left" w:pos="570"/>
              </w:tabs>
              <w:spacing w:line="380" w:lineRule="exact"/>
              <w:jc w:val="center"/>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第一标段</w:t>
            </w:r>
          </w:p>
        </w:tc>
        <w:tc>
          <w:tcPr>
            <w:tcW w:w="5025" w:type="dxa"/>
            <w:vAlign w:val="center"/>
          </w:tcPr>
          <w:p w14:paraId="6F29E01F">
            <w:pPr>
              <w:widowControl/>
              <w:spacing w:line="380" w:lineRule="exact"/>
              <w:jc w:val="center"/>
              <w:rPr>
                <w:rFonts w:hint="default" w:ascii="仿宋" w:hAnsi="仿宋" w:eastAsia="仿宋" w:cs="仿宋"/>
                <w:color w:val="000000" w:themeColor="text1"/>
                <w:sz w:val="24"/>
                <w:szCs w:val="24"/>
                <w:highlight w:val="none"/>
                <w:lang w:val="en-US"/>
                <w14:textFill>
                  <w14:solidFill>
                    <w14:schemeClr w14:val="tx1"/>
                  </w14:solidFill>
                </w14:textFill>
              </w:rPr>
            </w:pPr>
            <w:r>
              <w:rPr>
                <w:rFonts w:hint="default" w:ascii="仿宋" w:hAnsi="仿宋" w:eastAsia="仿宋" w:cs="仿宋"/>
                <w:color w:val="000000" w:themeColor="text1"/>
                <w:sz w:val="24"/>
                <w:szCs w:val="24"/>
                <w:highlight w:val="none"/>
                <w:lang w:val="en-US" w:eastAsia="zh-CN"/>
                <w14:textFill>
                  <w14:solidFill>
                    <w14:schemeClr w14:val="tx1"/>
                  </w14:solidFill>
                </w14:textFill>
              </w:rPr>
              <w:t>西安邮电大学2026年桌椅、床板采购项目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1</w:t>
            </w:r>
          </w:p>
        </w:tc>
        <w:tc>
          <w:tcPr>
            <w:tcW w:w="1855" w:type="dxa"/>
            <w:vAlign w:val="center"/>
          </w:tcPr>
          <w:p w14:paraId="52AE8B62">
            <w:pPr>
              <w:widowControl/>
              <w:spacing w:line="380" w:lineRule="exact"/>
              <w:jc w:val="center"/>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68.635</w:t>
            </w:r>
            <w:r>
              <w:rPr>
                <w:rFonts w:hint="eastAsia" w:ascii="仿宋" w:hAnsi="仿宋" w:eastAsia="仿宋" w:cs="仿宋"/>
                <w:sz w:val="24"/>
                <w:szCs w:val="24"/>
                <w:highlight w:val="none"/>
              </w:rPr>
              <w:t>万元</w:t>
            </w:r>
          </w:p>
        </w:tc>
      </w:tr>
      <w:tr w14:paraId="76D3DA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710" w:hRule="atLeast"/>
          <w:jc w:val="center"/>
        </w:trPr>
        <w:tc>
          <w:tcPr>
            <w:tcW w:w="1284" w:type="dxa"/>
            <w:vAlign w:val="center"/>
          </w:tcPr>
          <w:p w14:paraId="6E5EF709">
            <w:pPr>
              <w:widowControl/>
              <w:spacing w:line="380" w:lineRule="exact"/>
              <w:jc w:val="center"/>
              <w:rPr>
                <w:rFonts w:hint="eastAsia" w:ascii="仿宋" w:hAnsi="仿宋" w:eastAsia="仿宋" w:cs="仿宋"/>
                <w:sz w:val="24"/>
                <w:szCs w:val="24"/>
                <w:highlight w:val="none"/>
              </w:rPr>
            </w:pPr>
            <w:r>
              <w:rPr>
                <w:rFonts w:hint="eastAsia" w:ascii="仿宋" w:hAnsi="仿宋" w:eastAsia="仿宋" w:cs="仿宋"/>
                <w:color w:val="000000" w:themeColor="text1"/>
                <w:sz w:val="24"/>
                <w:szCs w:val="24"/>
                <w:highlight w:val="none"/>
                <w14:textFill>
                  <w14:solidFill>
                    <w14:schemeClr w14:val="tx1"/>
                  </w14:solidFill>
                </w14:textFill>
              </w:rPr>
              <w:t>第二标段</w:t>
            </w:r>
          </w:p>
        </w:tc>
        <w:tc>
          <w:tcPr>
            <w:tcW w:w="5025" w:type="dxa"/>
            <w:vAlign w:val="center"/>
          </w:tcPr>
          <w:p w14:paraId="3B3C9B0F">
            <w:pPr>
              <w:widowControl/>
              <w:spacing w:line="380" w:lineRule="exact"/>
              <w:jc w:val="center"/>
              <w:rPr>
                <w:rFonts w:hint="default" w:ascii="仿宋" w:hAnsi="仿宋" w:eastAsia="仿宋" w:cs="仿宋"/>
                <w:color w:val="000000" w:themeColor="text1"/>
                <w:sz w:val="24"/>
                <w:szCs w:val="24"/>
                <w:highlight w:val="none"/>
                <w:lang w:val="en-US"/>
                <w14:textFill>
                  <w14:solidFill>
                    <w14:schemeClr w14:val="tx1"/>
                  </w14:solidFill>
                </w14:textFill>
              </w:rPr>
            </w:pPr>
            <w:r>
              <w:rPr>
                <w:rFonts w:hint="eastAsia" w:ascii="仿宋" w:hAnsi="仿宋" w:eastAsia="仿宋" w:cs="仿宋"/>
                <w:color w:val="000000" w:themeColor="text1"/>
                <w:sz w:val="24"/>
                <w:szCs w:val="24"/>
                <w:highlight w:val="none"/>
                <w:lang w:eastAsia="zh-CN"/>
                <w14:textFill>
                  <w14:solidFill>
                    <w14:schemeClr w14:val="tx1"/>
                  </w14:solidFill>
                </w14:textFill>
              </w:rPr>
              <w:t>西安邮电大学2026年桌椅、床板采购项目</w:t>
            </w:r>
            <w:r>
              <w:rPr>
                <w:rFonts w:hint="eastAsia" w:ascii="仿宋" w:hAnsi="仿宋" w:eastAsia="仿宋" w:cs="仿宋"/>
                <w:color w:val="000000" w:themeColor="text1"/>
                <w:sz w:val="24"/>
                <w:szCs w:val="24"/>
                <w:highlight w:val="none"/>
                <w:lang w:val="en-US" w:eastAsia="zh-CN"/>
                <w14:textFill>
                  <w14:solidFill>
                    <w14:schemeClr w14:val="tx1"/>
                  </w14:solidFill>
                </w14:textFill>
              </w:rPr>
              <w:t>2</w:t>
            </w:r>
          </w:p>
        </w:tc>
        <w:tc>
          <w:tcPr>
            <w:tcW w:w="1855" w:type="dxa"/>
            <w:vAlign w:val="center"/>
          </w:tcPr>
          <w:p w14:paraId="664D52FD">
            <w:pPr>
              <w:widowControl/>
              <w:spacing w:line="380" w:lineRule="exact"/>
              <w:jc w:val="center"/>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万元</w:t>
            </w:r>
          </w:p>
        </w:tc>
      </w:tr>
    </w:tbl>
    <w:p w14:paraId="161E2FF4">
      <w:pPr>
        <w:pStyle w:val="2"/>
        <w:spacing w:afterLines="0" w:line="500" w:lineRule="exact"/>
        <w:ind w:firstLine="566" w:firstLineChars="200"/>
        <w:rPr>
          <w:rFonts w:hint="eastAsia" w:ascii="仿宋" w:hAnsi="仿宋" w:eastAsia="仿宋" w:cs="仿宋"/>
          <w:bCs/>
          <w:color w:val="auto"/>
          <w:sz w:val="28"/>
          <w:highlight w:val="none"/>
          <w:lang w:val="en-US" w:eastAsia="zh-CN"/>
        </w:rPr>
      </w:pPr>
      <w:r>
        <w:rPr>
          <w:rFonts w:hint="eastAsia" w:ascii="仿宋" w:hAnsi="仿宋" w:eastAsia="仿宋" w:cs="仿宋"/>
          <w:b/>
          <w:color w:val="auto"/>
          <w:sz w:val="28"/>
          <w:highlight w:val="none"/>
        </w:rPr>
        <w:t>八、所属行业：</w:t>
      </w:r>
      <w:bookmarkEnd w:id="18"/>
      <w:r>
        <w:rPr>
          <w:rFonts w:hint="eastAsia" w:ascii="仿宋" w:hAnsi="仿宋" w:eastAsia="仿宋" w:cs="仿宋"/>
          <w:b w:val="0"/>
          <w:bCs/>
          <w:color w:val="auto"/>
          <w:sz w:val="28"/>
          <w:highlight w:val="none"/>
          <w:lang w:val="en-US" w:eastAsia="zh-CN"/>
        </w:rPr>
        <w:t>工业</w:t>
      </w:r>
    </w:p>
    <w:p w14:paraId="2201C4FD">
      <w:pPr>
        <w:spacing w:line="500" w:lineRule="exact"/>
        <w:ind w:firstLine="566" w:firstLineChars="200"/>
        <w:rPr>
          <w:rFonts w:hint="eastAsia" w:ascii="仿宋" w:hAnsi="仿宋" w:eastAsia="仿宋" w:cs="仿宋"/>
          <w:color w:val="auto"/>
          <w:highlight w:val="none"/>
        </w:rPr>
      </w:pPr>
      <w:bookmarkStart w:id="19" w:name="_Toc12534"/>
      <w:r>
        <w:rPr>
          <w:rFonts w:hint="eastAsia" w:ascii="仿宋" w:hAnsi="仿宋" w:eastAsia="仿宋" w:cs="仿宋"/>
          <w:b/>
          <w:bCs w:val="0"/>
          <w:color w:val="auto"/>
          <w:highlight w:val="none"/>
        </w:rPr>
        <w:t>九、项目属性</w:t>
      </w:r>
      <w:r>
        <w:rPr>
          <w:rFonts w:hint="eastAsia" w:ascii="仿宋" w:hAnsi="仿宋" w:eastAsia="仿宋" w:cs="仿宋"/>
          <w:b/>
          <w:bCs/>
          <w:color w:val="auto"/>
          <w:highlight w:val="none"/>
        </w:rPr>
        <w:t>：</w:t>
      </w:r>
      <w:r>
        <w:rPr>
          <w:rFonts w:hint="eastAsia" w:ascii="仿宋" w:hAnsi="仿宋" w:eastAsia="仿宋" w:cs="仿宋"/>
          <w:color w:val="auto"/>
          <w:highlight w:val="none"/>
          <w:lang w:val="en-US" w:eastAsia="zh-CN"/>
        </w:rPr>
        <w:t>货物</w:t>
      </w:r>
      <w:r>
        <w:rPr>
          <w:rFonts w:hint="eastAsia" w:ascii="仿宋" w:hAnsi="仿宋" w:eastAsia="仿宋" w:cs="仿宋"/>
          <w:color w:val="auto"/>
          <w:highlight w:val="none"/>
        </w:rPr>
        <w:t>类</w:t>
      </w:r>
      <w:bookmarkEnd w:id="19"/>
    </w:p>
    <w:p w14:paraId="6789AE81">
      <w:pPr>
        <w:pStyle w:val="2"/>
        <w:spacing w:afterLines="0" w:line="500" w:lineRule="exact"/>
        <w:ind w:firstLine="566" w:firstLineChars="200"/>
        <w:rPr>
          <w:rFonts w:hint="eastAsia" w:ascii="仿宋" w:hAnsi="仿宋" w:eastAsia="仿宋" w:cs="仿宋"/>
          <w:b/>
          <w:color w:val="auto"/>
          <w:sz w:val="28"/>
          <w:highlight w:val="none"/>
        </w:rPr>
      </w:pPr>
      <w:bookmarkStart w:id="20" w:name="_Toc12051"/>
      <w:r>
        <w:rPr>
          <w:rFonts w:hint="eastAsia" w:ascii="仿宋" w:hAnsi="仿宋" w:eastAsia="仿宋" w:cs="仿宋"/>
          <w:b/>
          <w:color w:val="auto"/>
          <w:sz w:val="28"/>
          <w:highlight w:val="none"/>
        </w:rPr>
        <w:t>十、供应商资格要求：</w:t>
      </w:r>
      <w:bookmarkEnd w:id="20"/>
    </w:p>
    <w:p w14:paraId="28B22E2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满足《中华人民共和国政府采购法》第二十二条的规定，</w:t>
      </w:r>
      <w:r>
        <w:rPr>
          <w:rFonts w:hint="eastAsia" w:ascii="仿宋" w:hAnsi="仿宋" w:eastAsia="仿宋" w:cs="仿宋"/>
          <w:color w:val="auto"/>
          <w:kern w:val="0"/>
          <w:highlight w:val="none"/>
          <w:lang w:val="zh-CN"/>
        </w:rPr>
        <w:t>并提供下列材料：</w:t>
      </w:r>
    </w:p>
    <w:p w14:paraId="37EE6929">
      <w:pPr>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一</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营业执照等主体资格证明文件：</w:t>
      </w:r>
      <w:r>
        <w:rPr>
          <w:rFonts w:hint="eastAsia" w:ascii="仿宋" w:hAnsi="仿宋" w:eastAsia="仿宋" w:cs="仿宋"/>
          <w:color w:val="auto"/>
          <w:highlight w:val="none"/>
        </w:rPr>
        <w:t>提供有效存续的企业营业执照（副本）/事业单位法人证书/专业服务机构执业许可证/民办非企业单位登记证书。</w:t>
      </w:r>
    </w:p>
    <w:p w14:paraId="50AB9700">
      <w:pPr>
        <w:spacing w:line="500" w:lineRule="exact"/>
        <w:ind w:firstLine="566" w:firstLineChars="200"/>
        <w:rPr>
          <w:rFonts w:hint="eastAsia" w:ascii="仿宋" w:hAnsi="仿宋" w:eastAsia="仿宋" w:cs="仿宋"/>
          <w:b/>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二</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财务状况报告（以下</w:t>
      </w:r>
      <w:r>
        <w:rPr>
          <w:rFonts w:hint="eastAsia" w:ascii="仿宋" w:hAnsi="仿宋" w:eastAsia="仿宋" w:cs="仿宋"/>
          <w:b/>
          <w:color w:val="auto"/>
          <w:highlight w:val="none"/>
          <w:lang w:val="en-US" w:eastAsia="zh-CN"/>
        </w:rPr>
        <w:t>两</w:t>
      </w:r>
      <w:r>
        <w:rPr>
          <w:rFonts w:hint="eastAsia" w:ascii="仿宋" w:hAnsi="仿宋" w:eastAsia="仿宋" w:cs="仿宋"/>
          <w:b/>
          <w:color w:val="auto"/>
          <w:highlight w:val="none"/>
        </w:rPr>
        <w:t>种资料提供任意一种即可）</w:t>
      </w:r>
    </w:p>
    <w:p w14:paraId="40471603">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1、</w:t>
      </w:r>
      <w:r>
        <w:rPr>
          <w:rFonts w:hint="eastAsia" w:ascii="仿宋" w:hAnsi="仿宋" w:eastAsia="仿宋" w:cs="仿宋"/>
          <w:color w:val="auto"/>
          <w:highlight w:val="none"/>
        </w:rPr>
        <w:t>提供递交</w:t>
      </w: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文件截止之日前两年内任意一个年度经审计的财务报告（包括“四表一注”，即资产负债表、利润表、现金流量表、所有者权益变动表及其附注，符合《中小企业划型标准规定》的小型企业按照《小企业会计准则》执行。成立时间至提交</w:t>
      </w:r>
      <w:r>
        <w:rPr>
          <w:rFonts w:hint="eastAsia" w:ascii="仿宋" w:hAnsi="仿宋" w:eastAsia="仿宋" w:cs="仿宋"/>
          <w:color w:val="auto"/>
          <w:highlight w:val="none"/>
          <w:lang w:val="en-US" w:eastAsia="zh-CN"/>
        </w:rPr>
        <w:t>响应</w:t>
      </w:r>
      <w:r>
        <w:rPr>
          <w:rFonts w:hint="eastAsia" w:ascii="仿宋" w:hAnsi="仿宋" w:eastAsia="仿宋" w:cs="仿宋"/>
          <w:color w:val="auto"/>
          <w:highlight w:val="none"/>
        </w:rPr>
        <w:t>文件截止时间不足一年的可提供成立后任意时段的资产负债表）</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审计报告须具有注册会计师行业统一监管平台赋予的验证码；</w:t>
      </w:r>
    </w:p>
    <w:p w14:paraId="4C48C202">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2、</w:t>
      </w:r>
      <w:r>
        <w:rPr>
          <w:rFonts w:hint="eastAsia" w:ascii="仿宋" w:hAnsi="仿宋" w:eastAsia="仿宋" w:cs="仿宋"/>
          <w:color w:val="auto"/>
          <w:highlight w:val="none"/>
        </w:rPr>
        <w:t>其开标前三个月内基本开户银行出具的资信证明。</w:t>
      </w:r>
    </w:p>
    <w:p w14:paraId="36B9D325">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三</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社保缴纳证明：</w:t>
      </w:r>
      <w:r>
        <w:rPr>
          <w:rFonts w:hint="eastAsia" w:ascii="仿宋" w:hAnsi="仿宋" w:eastAsia="仿宋" w:cs="仿宋"/>
          <w:color w:val="auto"/>
          <w:highlight w:val="none"/>
        </w:rPr>
        <w:t>提供递交响应文件截止之日前一年内任意一个月的社会保障资金缴存单据或社保机构开具的社会保险参保缴费情况证明。依法不需要缴纳社会保障资金的供应商应提供相关证明文件。</w:t>
      </w:r>
    </w:p>
    <w:p w14:paraId="46373FB2">
      <w:pPr>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四</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税收缴纳证明：</w:t>
      </w:r>
      <w:r>
        <w:rPr>
          <w:rFonts w:hint="eastAsia" w:ascii="仿宋" w:hAnsi="仿宋" w:eastAsia="仿宋" w:cs="仿宋"/>
          <w:color w:val="auto"/>
          <w:highlight w:val="none"/>
        </w:rPr>
        <w:t>提供递交</w:t>
      </w:r>
      <w:r>
        <w:rPr>
          <w:rFonts w:hint="eastAsia" w:ascii="仿宋" w:hAnsi="仿宋" w:eastAsia="仿宋" w:cs="仿宋"/>
          <w:color w:val="auto"/>
          <w:highlight w:val="none"/>
          <w:lang w:eastAsia="zh-CN"/>
        </w:rPr>
        <w:t>响应文件</w:t>
      </w:r>
      <w:r>
        <w:rPr>
          <w:rFonts w:hint="eastAsia" w:ascii="仿宋" w:hAnsi="仿宋" w:eastAsia="仿宋" w:cs="仿宋"/>
          <w:color w:val="auto"/>
          <w:highlight w:val="none"/>
        </w:rPr>
        <w:t>截止之日前一年内任意一个月的依法缴纳税收的完税证明，完税证明应有税务机关或代收机关的公章或业务专用章。依法免税或无须缴纳税收的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，应提供相应证明文件</w:t>
      </w:r>
      <w:r>
        <w:rPr>
          <w:rFonts w:hint="eastAsia" w:ascii="仿宋" w:hAnsi="仿宋" w:eastAsia="仿宋" w:cs="仿宋"/>
          <w:color w:val="auto"/>
          <w:kern w:val="0"/>
          <w:highlight w:val="none"/>
        </w:rPr>
        <w:t>。</w:t>
      </w:r>
    </w:p>
    <w:p w14:paraId="652C5A43">
      <w:pPr>
        <w:spacing w:line="500" w:lineRule="exact"/>
        <w:ind w:firstLine="566" w:firstLineChars="200"/>
        <w:jc w:val="left"/>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五</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信用记录：</w:t>
      </w:r>
      <w:r>
        <w:rPr>
          <w:rFonts w:hint="eastAsia" w:ascii="仿宋" w:hAnsi="仿宋" w:eastAsia="仿宋" w:cs="仿宋"/>
          <w:color w:val="auto"/>
          <w:highlight w:val="none"/>
        </w:rPr>
        <w:t>提供《供应商信用记录书面声明函》经查，供应商未被列入“信用中国”网站记录的“失信被执行人”或“重大税收违法案件当事人”名单；不处于“中国政府采购网”记录的“政府采购严重违法失信行为信息记录名单”中的禁止参加政府采购活动期间。</w:t>
      </w:r>
    </w:p>
    <w:p w14:paraId="152678AA">
      <w:pPr>
        <w:spacing w:line="500" w:lineRule="exact"/>
        <w:ind w:firstLine="566" w:firstLineChars="200"/>
        <w:jc w:val="left"/>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六</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控股管理关系：</w:t>
      </w:r>
      <w:r>
        <w:rPr>
          <w:rFonts w:hint="eastAsia" w:ascii="仿宋" w:hAnsi="仿宋" w:eastAsia="仿宋" w:cs="仿宋"/>
          <w:color w:val="auto"/>
          <w:highlight w:val="none"/>
        </w:rPr>
        <w:t>提供直接控股和管理关系清单。若与其他供应商存在单位负责人为同一人或者存在直接控股、管理关系的，则响应无效。</w:t>
      </w:r>
    </w:p>
    <w:p w14:paraId="0D02640A">
      <w:pPr>
        <w:widowControl w:val="0"/>
        <w:spacing w:line="500" w:lineRule="exact"/>
        <w:ind w:firstLine="566" w:firstLineChars="200"/>
        <w:jc w:val="left"/>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七</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书面声明：</w:t>
      </w:r>
      <w:r>
        <w:rPr>
          <w:rFonts w:hint="eastAsia" w:ascii="仿宋" w:hAnsi="仿宋" w:eastAsia="仿宋" w:cs="仿宋"/>
          <w:color w:val="auto"/>
          <w:highlight w:val="none"/>
        </w:rPr>
        <w:t>提供书面声明，包括声明具有履行合同所必需的设备和专业技术能力；未为本项目提供整体设计、规范编制或者项目管理、监理、检测等服务。</w:t>
      </w:r>
    </w:p>
    <w:p w14:paraId="1A5D42F4">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八</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rPr>
        <w:t>法定代表人授权委托书：</w:t>
      </w:r>
      <w:r>
        <w:rPr>
          <w:rFonts w:hint="eastAsia" w:ascii="仿宋" w:hAnsi="仿宋" w:eastAsia="仿宋" w:cs="仿宋"/>
          <w:color w:val="auto"/>
          <w:highlight w:val="none"/>
        </w:rPr>
        <w:t>法定代表人参加谈判的，须提供本人身份证复印件（附在资格证明文件中）；法定代表人授权他人参加谈判的，须提供法定代表人授权委托书。谈判文件中凡是需要法定代表人盖章之处，非法人单位的负责人均参照执行。</w:t>
      </w:r>
    </w:p>
    <w:p w14:paraId="5093680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法人的分支机构参与谈判时，除提供《法定代表人授权委托书》外，还须同时提供法人给分支机构出具的授权书。</w:t>
      </w:r>
    </w:p>
    <w:p w14:paraId="32A7E2BC">
      <w:pPr>
        <w:pBdr>
          <w:bottom w:val="none" w:color="auto" w:sz="0" w:space="0"/>
        </w:pBdr>
        <w:spacing w:line="500" w:lineRule="exact"/>
        <w:ind w:firstLine="566" w:firstLineChars="200"/>
        <w:jc w:val="left"/>
        <w:rPr>
          <w:rFonts w:hint="eastAsia" w:ascii="仿宋" w:hAnsi="仿宋" w:eastAsia="仿宋" w:cs="仿宋"/>
          <w:color w:val="auto"/>
          <w:highlight w:val="none"/>
          <w:lang w:eastAsia="zh-CN"/>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九</w:t>
      </w:r>
      <w:r>
        <w:rPr>
          <w:rFonts w:hint="eastAsia" w:ascii="仿宋" w:hAnsi="仿宋" w:eastAsia="仿宋" w:cs="仿宋"/>
          <w:b/>
          <w:color w:val="auto"/>
          <w:highlight w:val="none"/>
          <w:lang w:eastAsia="zh-CN"/>
        </w:rPr>
        <w:t>）</w:t>
      </w:r>
      <w:r>
        <w:rPr>
          <w:rFonts w:hint="eastAsia" w:ascii="仿宋" w:hAnsi="仿宋" w:eastAsia="仿宋" w:cs="仿宋"/>
          <w:b/>
          <w:bCs/>
          <w:color w:val="auto"/>
          <w:highlight w:val="none"/>
          <w:lang w:eastAsia="zh-CN"/>
        </w:rPr>
        <w:t>落实政府采购政策须满足的资格要求</w:t>
      </w:r>
      <w:r>
        <w:rPr>
          <w:rFonts w:hint="eastAsia" w:ascii="仿宋" w:hAnsi="仿宋" w:eastAsia="仿宋" w:cs="仿宋"/>
          <w:color w:val="auto"/>
          <w:highlight w:val="none"/>
          <w:lang w:eastAsia="zh-CN"/>
        </w:rPr>
        <w:t>：本项目为专门面向中小企业项目，投标人所投产品的制造商应为中型企业、小型企业、微型企业或监狱企业或残疾人福利性单位。投标人所投产品的制造商为中小企业的，提供《中小企业声明函》，且中小企业的划分标准所属行业为工业；投标人所投产品的制造商为监狱企业的，应提供监狱企业的证明文件；投标人所投产品的制造商为残疾人福利性单位的，应提供《残疾人福利性单位声明函》（监狱企业或残疾人福利性单位视同小型、微型企业）。</w:t>
      </w:r>
    </w:p>
    <w:p w14:paraId="6AE6E9BE">
      <w:pPr>
        <w:pBdr>
          <w:bottom w:val="none" w:color="auto" w:sz="0" w:space="0"/>
        </w:pBdr>
        <w:spacing w:line="500" w:lineRule="exact"/>
        <w:ind w:firstLine="566" w:firstLineChars="200"/>
        <w:jc w:val="left"/>
        <w:rPr>
          <w:rFonts w:hint="eastAsia" w:ascii="仿宋" w:hAnsi="仿宋" w:eastAsia="仿宋" w:cs="仿宋"/>
          <w:b w:val="0"/>
          <w:color w:val="auto"/>
          <w:highlight w:val="none"/>
        </w:rPr>
      </w:pP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十</w:t>
      </w:r>
      <w:r>
        <w:rPr>
          <w:rFonts w:hint="eastAsia" w:ascii="仿宋" w:hAnsi="仿宋" w:eastAsia="仿宋" w:cs="仿宋"/>
          <w:b/>
          <w:color w:val="auto"/>
          <w:highlight w:val="none"/>
          <w:lang w:eastAsia="zh-CN"/>
        </w:rPr>
        <w:t>）</w:t>
      </w:r>
      <w:r>
        <w:rPr>
          <w:rFonts w:hint="eastAsia" w:ascii="仿宋" w:hAnsi="仿宋" w:eastAsia="仿宋" w:cs="仿宋"/>
          <w:b/>
          <w:bCs w:val="0"/>
          <w:color w:val="auto"/>
          <w:highlight w:val="none"/>
        </w:rPr>
        <w:t>本项目</w:t>
      </w:r>
      <w:r>
        <w:rPr>
          <w:rFonts w:hint="eastAsia" w:ascii="仿宋" w:hAnsi="仿宋" w:eastAsia="仿宋" w:cs="仿宋"/>
          <w:b/>
          <w:bCs w:val="0"/>
          <w:color w:val="auto"/>
          <w:kern w:val="2"/>
          <w:highlight w:val="none"/>
        </w:rPr>
        <w:t>不接受</w:t>
      </w:r>
      <w:r>
        <w:rPr>
          <w:rFonts w:hint="eastAsia" w:ascii="仿宋" w:hAnsi="仿宋" w:eastAsia="仿宋" w:cs="仿宋"/>
          <w:b/>
          <w:bCs w:val="0"/>
          <w:color w:val="auto"/>
          <w:highlight w:val="none"/>
        </w:rPr>
        <w:t>联合体响应，不允许分包。</w:t>
      </w:r>
      <w:r>
        <w:rPr>
          <w:rFonts w:hint="eastAsia" w:ascii="仿宋" w:hAnsi="仿宋" w:eastAsia="仿宋" w:cs="仿宋"/>
          <w:color w:val="auto"/>
          <w:highlight w:val="none"/>
        </w:rPr>
        <w:t>供应商提供《非联合体不分包投标声明》，视为独立响应，不分包。</w:t>
      </w:r>
    </w:p>
    <w:p w14:paraId="64691C18">
      <w:pPr>
        <w:spacing w:line="400" w:lineRule="exact"/>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p w14:paraId="3105353E">
      <w:pPr>
        <w:numPr>
          <w:ilvl w:val="-1"/>
          <w:numId w:val="0"/>
        </w:numPr>
        <w:pBdr>
          <w:bottom w:val="none" w:color="auto" w:sz="0" w:space="0"/>
        </w:pBdr>
        <w:spacing w:line="400" w:lineRule="exact"/>
        <w:ind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以上资格要求均为必备资格，需提供相关证明文件并加盖供应商公章（如相关证明材料由第三方出具，应有第三方公章），缺少其中任何一项，其响应文件视为无效文件。</w:t>
      </w:r>
    </w:p>
    <w:p w14:paraId="6610B92D">
      <w:pPr>
        <w:widowControl/>
        <w:pBdr>
          <w:bottom w:val="none" w:color="auto" w:sz="0" w:space="0"/>
        </w:pBdr>
        <w:spacing w:line="400" w:lineRule="exact"/>
        <w:ind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2、如果</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提供的资信证明不能证实是其基本开户银行出具的，应另附开户许可证或基本账户存款信息</w:t>
      </w:r>
      <w:r>
        <w:rPr>
          <w:rFonts w:hint="eastAsia" w:ascii="宋体" w:hAnsi="宋体" w:eastAsia="宋体" w:cs="宋体"/>
          <w:color w:val="auto"/>
          <w:sz w:val="21"/>
          <w:szCs w:val="21"/>
          <w:highlight w:val="none"/>
          <w:lang w:eastAsia="zh-CN"/>
        </w:rPr>
        <w:t>。</w:t>
      </w:r>
    </w:p>
    <w:p w14:paraId="15EE0BF2">
      <w:pPr>
        <w:pBdr>
          <w:bottom w:val="none" w:color="auto" w:sz="0" w:space="0"/>
        </w:pBdr>
        <w:spacing w:line="400" w:lineRule="exact"/>
        <w:ind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、《供应商信用记录书面声明函》</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控股管理关系</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《书面声明》《法定代表人授权委托书》</w:t>
      </w:r>
      <w:r>
        <w:rPr>
          <w:rFonts w:hint="eastAsia" w:ascii="宋体" w:hAnsi="宋体" w:eastAsia="宋体" w:cs="宋体"/>
          <w:color w:val="auto"/>
          <w:sz w:val="21"/>
          <w:szCs w:val="21"/>
          <w:highlight w:val="none"/>
          <w:lang w:eastAsia="zh-CN"/>
        </w:rPr>
        <w:t>《残疾人福利性单位声明函》</w:t>
      </w:r>
      <w:r>
        <w:rPr>
          <w:rFonts w:hint="eastAsia" w:ascii="宋体" w:hAnsi="宋体" w:eastAsia="宋体" w:cs="宋体"/>
          <w:color w:val="auto"/>
          <w:sz w:val="21"/>
          <w:szCs w:val="21"/>
          <w:highlight w:val="none"/>
        </w:rPr>
        <w:t>《非联合体不分包投标声明》应按谈判文件第五章第一部分给定的格式填写。</w:t>
      </w:r>
    </w:p>
    <w:p w14:paraId="4B93FA6C">
      <w:pPr>
        <w:pBdr>
          <w:bottom w:val="none" w:color="auto" w:sz="0" w:space="0"/>
        </w:pBdr>
        <w:spacing w:line="400" w:lineRule="exact"/>
        <w:ind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法人的分支机构参与投标时，响应文件中应附总公司给分支机构出具的授权书。授权书附在《法定代表人授权委托书》后，如无授权，将被视为无效文件。法人只能授权一家分支机构参与投标，且不能与分支机构同时参与投标。</w:t>
      </w:r>
    </w:p>
    <w:p w14:paraId="5C15F707">
      <w:pPr>
        <w:pBdr>
          <w:bottom w:val="none" w:color="auto" w:sz="0" w:space="0"/>
        </w:pBdr>
        <w:spacing w:line="400" w:lineRule="exact"/>
        <w:ind w:firstLine="426"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、事业单位法人参与谈判可不提供财务状况报告、社会保障资金缴纳证明及税收缴纳证明。</w:t>
      </w:r>
    </w:p>
    <w:p w14:paraId="733D468F">
      <w:pPr>
        <w:spacing w:line="500" w:lineRule="exact"/>
        <w:ind w:firstLine="566" w:firstLineChars="200"/>
        <w:rPr>
          <w:rFonts w:hint="eastAsia" w:ascii="仿宋" w:hAnsi="仿宋" w:eastAsia="仿宋" w:cs="仿宋"/>
          <w:b/>
          <w:color w:val="auto"/>
          <w:highlight w:val="none"/>
        </w:rPr>
      </w:pPr>
      <w:bookmarkStart w:id="21" w:name="_Toc24450"/>
      <w:r>
        <w:rPr>
          <w:rFonts w:hint="eastAsia" w:ascii="仿宋" w:hAnsi="仿宋" w:eastAsia="仿宋" w:cs="仿宋"/>
          <w:b/>
          <w:color w:val="auto"/>
          <w:highlight w:val="none"/>
        </w:rPr>
        <w:t>十</w:t>
      </w:r>
      <w:r>
        <w:rPr>
          <w:rFonts w:hint="eastAsia" w:ascii="仿宋" w:hAnsi="仿宋" w:eastAsia="仿宋" w:cs="仿宋"/>
          <w:b/>
          <w:color w:val="auto"/>
          <w:highlight w:val="none"/>
          <w:lang w:val="en-US" w:eastAsia="zh-CN"/>
        </w:rPr>
        <w:t>一</w:t>
      </w:r>
      <w:r>
        <w:rPr>
          <w:rFonts w:hint="eastAsia" w:ascii="仿宋" w:hAnsi="仿宋" w:eastAsia="仿宋" w:cs="仿宋"/>
          <w:b/>
          <w:color w:val="auto"/>
          <w:highlight w:val="none"/>
        </w:rPr>
        <w:t>、执行的政府采购政策</w:t>
      </w:r>
      <w:bookmarkEnd w:id="21"/>
    </w:p>
    <w:p w14:paraId="1D8DE5B5">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（一）</w:t>
      </w:r>
      <w:r>
        <w:rPr>
          <w:rFonts w:hint="eastAsia" w:ascii="仿宋" w:hAnsi="仿宋" w:eastAsia="仿宋" w:cs="仿宋"/>
          <w:color w:val="auto"/>
          <w:highlight w:val="none"/>
        </w:rPr>
        <w:t>《关于在政府采购活动中查询及使用信用记录有关问题的通知》（财库〔2016〕125号）。</w:t>
      </w:r>
    </w:p>
    <w:p w14:paraId="5F1A47FC">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《政府采购促进中小企业发展管理办法》（财库〔2020〕46号）《关于政府采购支持监狱企业发展有关问题的通知》（财库〔2014〕68号）以及《关于促进残疾人就业政府采购政策的通知》（财库〔2017〕141号）。</w:t>
      </w:r>
    </w:p>
    <w:p w14:paraId="460F864A">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国务院办公厅《关于建立政府强制采购节能产品制度的通知》（国办发〔2007〕51号）。财政部、国家发改委、生态环境部、市场监管总局联合印发《关于调整优化节能产品、环境标志产品政府采购执行机制的通知》（财库〔2019〕9号）。</w:t>
      </w:r>
    </w:p>
    <w:p w14:paraId="3809750D">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 xml:space="preserve">《财政部 农业农村部 国家乡村振兴局关于运用政府采购政策支持乡村产业振兴的通知》（财库〔2021〕19号）、《财政部 农业农村部 国家乡村振兴局 中华全国供销合作总社关于印发&lt;关于深入开展政府采购脱贫地区农副产品工作推进乡村产业振兴的实施意见&gt;的通知》（财库〔2021〕20号）。 </w:t>
      </w:r>
    </w:p>
    <w:p w14:paraId="03C5FD87">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《陕西省财政厅关于加快推进我省中小企业政府采购信用融资工作的通知》（陕财办采〔2020〕15号）、陕西省财政厅关于印发《陕西省中小企业政府采购信用融资办法》（陕财办采〔2018〕23号）。</w:t>
      </w:r>
    </w:p>
    <w:p w14:paraId="2914EC60">
      <w:pPr>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详见《供应商须知》中“落实的政府采购政策”有关内容。</w:t>
      </w:r>
    </w:p>
    <w:p w14:paraId="1EC10FC5">
      <w:pPr>
        <w:spacing w:line="500" w:lineRule="exact"/>
        <w:ind w:firstLine="566" w:firstLineChars="200"/>
        <w:rPr>
          <w:rFonts w:hint="eastAsia" w:ascii="仿宋" w:hAnsi="仿宋" w:eastAsia="仿宋" w:cs="仿宋"/>
          <w:b/>
          <w:color w:val="auto"/>
          <w:highlight w:val="none"/>
        </w:rPr>
      </w:pPr>
      <w:bookmarkStart w:id="22" w:name="_Toc10707"/>
      <w:r>
        <w:rPr>
          <w:rFonts w:hint="eastAsia" w:ascii="仿宋" w:hAnsi="仿宋" w:eastAsia="仿宋" w:cs="仿宋"/>
          <w:b/>
          <w:color w:val="auto"/>
          <w:highlight w:val="none"/>
        </w:rPr>
        <w:t>十</w:t>
      </w:r>
      <w:r>
        <w:rPr>
          <w:rFonts w:hint="eastAsia" w:ascii="仿宋" w:hAnsi="仿宋" w:eastAsia="仿宋" w:cs="仿宋"/>
          <w:b/>
          <w:color w:val="auto"/>
          <w:highlight w:val="none"/>
          <w:lang w:val="en-US" w:eastAsia="zh-CN"/>
        </w:rPr>
        <w:t>二</w:t>
      </w:r>
      <w:r>
        <w:rPr>
          <w:rFonts w:hint="eastAsia" w:ascii="仿宋" w:hAnsi="仿宋" w:eastAsia="仿宋" w:cs="仿宋"/>
          <w:b/>
          <w:color w:val="auto"/>
          <w:highlight w:val="none"/>
        </w:rPr>
        <w:t>、谈判文件获取时间及方式</w:t>
      </w:r>
      <w:bookmarkEnd w:id="22"/>
    </w:p>
    <w:p w14:paraId="0A2D6B6D">
      <w:pPr>
        <w:wordWrap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w:t>
      </w:r>
      <w:r>
        <w:rPr>
          <w:rFonts w:hint="eastAsia" w:ascii="仿宋" w:hAnsi="仿宋" w:eastAsia="仿宋" w:cs="仿宋"/>
          <w:bCs/>
          <w:color w:val="auto"/>
          <w:highlight w:val="none"/>
        </w:rPr>
        <w:t>获取方式：供应商可登录全国公共资源交易平台（陕西省）（http://www.sxggzyjy.cn/），选择“电子交易平台—陕西政府采购交易系统—企业端”进行登录，登录后选择“交易乙方”身份进入供应商界面后，选择有意向的项目点击“我要投标”，参与投标活动。然后即可在〖我的项目〗中点击“项目流程&gt;交易文件下载”免费下载电子谈判文件。</w:t>
      </w:r>
    </w:p>
    <w:p w14:paraId="562EA7E5">
      <w:pPr>
        <w:wordWrap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w:t>
      </w:r>
      <w:r>
        <w:rPr>
          <w:rFonts w:hint="eastAsia" w:ascii="仿宋" w:hAnsi="仿宋" w:eastAsia="仿宋" w:cs="仿宋"/>
          <w:bCs/>
          <w:color w:val="auto"/>
          <w:highlight w:val="none"/>
        </w:rPr>
        <w:t>供应商初次使用交易平台，须先完成诚信入库登记、数字认证证书（CA锁）认证及企业信息绑定。相关操作流程详见全国公共资源交易平台（陕西省）网站〖首页·〉服务指南·〉下载专区〗中的《陕西省省级单位电子化政府采购项目投标指南》。</w:t>
      </w:r>
    </w:p>
    <w:p w14:paraId="624E9723">
      <w:pPr>
        <w:widowControl w:val="0"/>
        <w:wordWrap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lang w:eastAsia="zh-CN"/>
        </w:rPr>
        <w:t>）数字认证证书(CA锁)办理详见全国公共资源交易平台(陕西省)网站[首页·〉服务指南·&gt;常见问题解答》CA证书办理】中的《CA办理常见问题解答》，网址:http://www.sxggzy.iv.cn/fwzn/004002/004002007/20250108/efdc53a2-c250-44b1-876c-c44ab6c5e66d.html。现场办理地址:西安市碑林区长安北路14号省公共资源交易中心一楼办理大厅3、4号窗口，咨询电话:029-88661241</w:t>
      </w:r>
      <w:r>
        <w:rPr>
          <w:rFonts w:hint="eastAsia" w:ascii="仿宋" w:hAnsi="仿宋" w:eastAsia="仿宋" w:cs="仿宋"/>
          <w:color w:val="auto"/>
          <w:highlight w:val="none"/>
        </w:rPr>
        <w:t>。</w:t>
      </w:r>
    </w:p>
    <w:p w14:paraId="53ABF640">
      <w:pPr>
        <w:wordWrap w:val="0"/>
        <w:spacing w:line="500" w:lineRule="exact"/>
        <w:ind w:firstLine="566" w:firstLineChars="200"/>
        <w:rPr>
          <w:rFonts w:ascii="仿宋" w:hAnsi="仿宋" w:eastAsia="仿宋" w:cs="仿宋"/>
          <w:b/>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四</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获取时间：202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07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09</w:t>
      </w:r>
      <w:r>
        <w:rPr>
          <w:rFonts w:hint="eastAsia" w:ascii="仿宋" w:hAnsi="仿宋" w:eastAsia="仿宋" w:cs="仿宋"/>
          <w:b/>
          <w:bCs/>
          <w:color w:val="auto"/>
          <w:highlight w:val="none"/>
        </w:rPr>
        <w:t>日至202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07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13</w:t>
      </w:r>
      <w:r>
        <w:rPr>
          <w:rFonts w:hint="eastAsia" w:ascii="仿宋" w:hAnsi="仿宋" w:eastAsia="仿宋" w:cs="仿宋"/>
          <w:b/>
          <w:bCs/>
          <w:color w:val="auto"/>
          <w:highlight w:val="none"/>
        </w:rPr>
        <w:t>日每天上午08:00:00至12:00:00，下午12:00:00至18:00:00（北京时间,法定节假日除外）</w:t>
      </w:r>
    </w:p>
    <w:p w14:paraId="74C706CD">
      <w:pPr>
        <w:spacing w:line="500" w:lineRule="exact"/>
        <w:ind w:firstLine="566" w:firstLineChars="200"/>
        <w:rPr>
          <w:rFonts w:hint="eastAsia" w:ascii="仿宋" w:hAnsi="仿宋" w:eastAsia="仿宋" w:cs="仿宋"/>
          <w:b/>
          <w:color w:val="auto"/>
          <w:highlight w:val="none"/>
        </w:rPr>
      </w:pPr>
      <w:bookmarkStart w:id="23" w:name="_Toc25656"/>
      <w:r>
        <w:rPr>
          <w:rFonts w:hint="eastAsia" w:ascii="仿宋" w:hAnsi="仿宋" w:eastAsia="仿宋" w:cs="仿宋"/>
          <w:b/>
          <w:color w:val="auto"/>
          <w:highlight w:val="none"/>
        </w:rPr>
        <w:t>十</w:t>
      </w:r>
      <w:r>
        <w:rPr>
          <w:rFonts w:hint="eastAsia" w:ascii="仿宋" w:hAnsi="仿宋" w:eastAsia="仿宋" w:cs="仿宋"/>
          <w:b/>
          <w:color w:val="auto"/>
          <w:highlight w:val="none"/>
          <w:lang w:val="en-US" w:eastAsia="zh-CN"/>
        </w:rPr>
        <w:t>三</w:t>
      </w:r>
      <w:r>
        <w:rPr>
          <w:rFonts w:hint="eastAsia" w:ascii="仿宋" w:hAnsi="仿宋" w:eastAsia="仿宋" w:cs="仿宋"/>
          <w:b/>
          <w:color w:val="auto"/>
          <w:highlight w:val="none"/>
        </w:rPr>
        <w:t>、谈判保证金的交纳</w:t>
      </w:r>
      <w:bookmarkEnd w:id="23"/>
    </w:p>
    <w:p w14:paraId="2D79F2FD">
      <w:pPr>
        <w:widowControl w:val="0"/>
        <w:wordWrap w:val="0"/>
        <w:autoSpaceDE/>
        <w:autoSpaceDN/>
        <w:adjustRightInd/>
        <w:snapToGrid/>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本项目不收取谈判保证金。</w:t>
      </w:r>
    </w:p>
    <w:p w14:paraId="6BE44C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00" w:lineRule="exact"/>
        <w:ind w:firstLine="566" w:firstLineChars="200"/>
        <w:rPr>
          <w:rFonts w:ascii="仿宋" w:hAnsi="仿宋" w:eastAsia="仿宋" w:cs="仿宋"/>
          <w:color w:val="auto"/>
          <w:highlight w:val="none"/>
        </w:rPr>
      </w:pPr>
      <w:bookmarkStart w:id="24" w:name="_Toc9327"/>
      <w:r>
        <w:rPr>
          <w:rFonts w:hint="eastAsia" w:ascii="仿宋" w:hAnsi="仿宋" w:eastAsia="仿宋" w:cs="仿宋"/>
          <w:b/>
          <w:color w:val="auto"/>
          <w:highlight w:val="none"/>
        </w:rPr>
        <w:t>十</w:t>
      </w:r>
      <w:r>
        <w:rPr>
          <w:rFonts w:hint="eastAsia" w:ascii="仿宋" w:hAnsi="仿宋" w:eastAsia="仿宋" w:cs="仿宋"/>
          <w:b/>
          <w:color w:val="auto"/>
          <w:highlight w:val="none"/>
          <w:lang w:val="en-US" w:eastAsia="zh-CN"/>
        </w:rPr>
        <w:t>四</w:t>
      </w:r>
      <w:r>
        <w:rPr>
          <w:rFonts w:hint="eastAsia" w:ascii="仿宋" w:hAnsi="仿宋" w:eastAsia="仿宋" w:cs="仿宋"/>
          <w:b/>
          <w:color w:val="auto"/>
          <w:highlight w:val="none"/>
        </w:rPr>
        <w:t>、提交响应文件截止时间及开启时间和地点</w:t>
      </w:r>
      <w:bookmarkEnd w:id="24"/>
    </w:p>
    <w:p w14:paraId="3DFC8729">
      <w:pPr>
        <w:spacing w:line="500" w:lineRule="exact"/>
        <w:ind w:firstLine="566" w:firstLineChars="200"/>
        <w:rPr>
          <w:rFonts w:ascii="仿宋" w:hAnsi="仿宋" w:eastAsia="仿宋" w:cs="仿宋"/>
          <w:b/>
          <w:color w:val="auto"/>
          <w:highlight w:val="none"/>
        </w:rPr>
      </w:pPr>
      <w:r>
        <w:rPr>
          <w:rFonts w:hint="eastAsia" w:ascii="仿宋" w:hAnsi="仿宋" w:eastAsia="仿宋" w:cs="仿宋"/>
          <w:b/>
          <w:bCs/>
          <w:color w:val="auto"/>
          <w:highlight w:val="none"/>
          <w:lang w:eastAsia="zh-CN"/>
        </w:rPr>
        <w:t>（一）</w:t>
      </w:r>
      <w:r>
        <w:rPr>
          <w:rFonts w:hint="eastAsia" w:ascii="仿宋" w:hAnsi="仿宋" w:eastAsia="仿宋" w:cs="仿宋"/>
          <w:b/>
          <w:bCs/>
          <w:color w:val="auto"/>
          <w:highlight w:val="none"/>
        </w:rPr>
        <w:t>提交响应文件：电子响应文件一份。</w:t>
      </w:r>
    </w:p>
    <w:p w14:paraId="2B80767D">
      <w:pPr>
        <w:spacing w:line="500" w:lineRule="exact"/>
        <w:ind w:firstLine="566" w:firstLineChars="200"/>
        <w:rPr>
          <w:rFonts w:ascii="仿宋" w:hAnsi="仿宋" w:eastAsia="仿宋" w:cs="仿宋"/>
          <w:b/>
          <w:color w:val="auto"/>
          <w:highlight w:val="none"/>
        </w:rPr>
      </w:pPr>
      <w:r>
        <w:rPr>
          <w:rFonts w:hint="eastAsia" w:ascii="仿宋" w:hAnsi="仿宋" w:eastAsia="仿宋" w:cs="仿宋"/>
          <w:color w:val="auto"/>
          <w:highlight w:val="none"/>
        </w:rPr>
        <w:t>电子响应文件（*.SXSTF）可于提交响应文件截止时间前任意时段登录全国公共资源交易平台（</w:t>
      </w:r>
      <w:r>
        <w:rPr>
          <w:rFonts w:hint="eastAsia" w:ascii="仿宋" w:hAnsi="仿宋" w:eastAsia="仿宋" w:cs="仿宋"/>
          <w:b/>
          <w:color w:val="auto"/>
          <w:highlight w:val="none"/>
        </w:rPr>
        <w:t>陕西省</w:t>
      </w:r>
      <w:r>
        <w:rPr>
          <w:rFonts w:hint="eastAsia" w:ascii="仿宋" w:hAnsi="仿宋" w:eastAsia="仿宋" w:cs="仿宋"/>
          <w:color w:val="auto"/>
          <w:highlight w:val="none"/>
        </w:rPr>
        <w:t>）网站进行提交，逾期系统将拒绝接收。</w:t>
      </w:r>
    </w:p>
    <w:p w14:paraId="5DA53DF9">
      <w:pPr>
        <w:spacing w:line="500" w:lineRule="exact"/>
        <w:ind w:firstLine="566" w:firstLineChars="200"/>
        <w:rPr>
          <w:rFonts w:ascii="仿宋" w:hAnsi="仿宋" w:eastAsia="仿宋" w:cs="仿宋"/>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二</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提交响应文件截止时间：202</w:t>
      </w:r>
      <w:r>
        <w:rPr>
          <w:rFonts w:hint="eastAsia" w:ascii="仿宋" w:hAnsi="仿宋" w:eastAsia="仿宋" w:cs="仿宋"/>
          <w:b/>
          <w:bCs/>
          <w:color w:val="auto"/>
          <w:highlight w:val="none"/>
          <w:lang w:val="en-US" w:eastAsia="zh-CN"/>
        </w:rPr>
        <w:t>6</w:t>
      </w:r>
      <w:r>
        <w:rPr>
          <w:rFonts w:hint="eastAsia" w:ascii="仿宋" w:hAnsi="仿宋" w:eastAsia="仿宋" w:cs="仿宋"/>
          <w:b/>
          <w:bCs/>
          <w:color w:val="auto"/>
          <w:highlight w:val="none"/>
        </w:rPr>
        <w:t>年</w:t>
      </w:r>
      <w:r>
        <w:rPr>
          <w:rFonts w:hint="eastAsia" w:ascii="仿宋" w:hAnsi="仿宋" w:eastAsia="仿宋" w:cs="仿宋"/>
          <w:b/>
          <w:bCs/>
          <w:color w:val="auto"/>
          <w:highlight w:val="none"/>
          <w:lang w:val="en-US" w:eastAsia="zh-CN"/>
        </w:rPr>
        <w:t>07</w:t>
      </w:r>
      <w:r>
        <w:rPr>
          <w:rFonts w:hint="eastAsia" w:ascii="仿宋" w:hAnsi="仿宋" w:eastAsia="仿宋" w:cs="仿宋"/>
          <w:b/>
          <w:bCs/>
          <w:color w:val="auto"/>
          <w:highlight w:val="none"/>
        </w:rPr>
        <w:t>月</w:t>
      </w:r>
      <w:r>
        <w:rPr>
          <w:rFonts w:hint="eastAsia" w:ascii="仿宋" w:hAnsi="仿宋" w:eastAsia="仿宋" w:cs="仿宋"/>
          <w:b/>
          <w:bCs/>
          <w:color w:val="auto"/>
          <w:highlight w:val="none"/>
          <w:lang w:val="en-US" w:eastAsia="zh-CN"/>
        </w:rPr>
        <w:t>14</w:t>
      </w:r>
      <w:r>
        <w:rPr>
          <w:rFonts w:hint="eastAsia" w:ascii="仿宋" w:hAnsi="仿宋" w:eastAsia="仿宋" w:cs="仿宋"/>
          <w:b/>
          <w:bCs/>
          <w:color w:val="auto"/>
          <w:highlight w:val="none"/>
        </w:rPr>
        <w:t xml:space="preserve">日09:30 </w:t>
      </w:r>
    </w:p>
    <w:p w14:paraId="7021A34E">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三</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开启时间：同提交响应文件截止时间。</w:t>
      </w:r>
    </w:p>
    <w:p w14:paraId="43A23617">
      <w:pPr>
        <w:spacing w:line="500" w:lineRule="exact"/>
        <w:ind w:left="283" w:leftChars="100" w:firstLine="283" w:firstLineChars="100"/>
        <w:rPr>
          <w:rFonts w:ascii="仿宋" w:hAnsi="仿宋" w:eastAsia="仿宋" w:cs="仿宋"/>
          <w:b/>
          <w:bCs/>
          <w:color w:val="auto"/>
          <w:highlight w:val="none"/>
        </w:rPr>
      </w:pP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lang w:val="en-US" w:eastAsia="zh-CN"/>
        </w:rPr>
        <w:t>四</w:t>
      </w:r>
      <w:r>
        <w:rPr>
          <w:rFonts w:hint="eastAsia" w:ascii="仿宋" w:hAnsi="仿宋" w:eastAsia="仿宋" w:cs="仿宋"/>
          <w:b/>
          <w:bCs/>
          <w:color w:val="auto"/>
          <w:highlight w:val="none"/>
          <w:lang w:eastAsia="zh-CN"/>
        </w:rPr>
        <w:t>）</w:t>
      </w:r>
      <w:r>
        <w:rPr>
          <w:rFonts w:hint="eastAsia" w:ascii="仿宋" w:hAnsi="仿宋" w:eastAsia="仿宋" w:cs="仿宋"/>
          <w:b/>
          <w:bCs/>
          <w:color w:val="auto"/>
          <w:highlight w:val="none"/>
        </w:rPr>
        <w:t>开启地点：西安市碑林区长安北路14号陕西省公共资源交易中心</w:t>
      </w:r>
      <w:r>
        <w:rPr>
          <w:rFonts w:hint="eastAsia" w:ascii="仿宋" w:hAnsi="仿宋" w:eastAsia="仿宋" w:cs="仿宋"/>
          <w:b/>
          <w:bCs/>
          <w:color w:val="auto"/>
          <w:highlight w:val="none"/>
          <w:lang w:val="en-US" w:eastAsia="zh-CN"/>
        </w:rPr>
        <w:t>308</w:t>
      </w:r>
      <w:r>
        <w:rPr>
          <w:rFonts w:hint="eastAsia" w:ascii="仿宋" w:hAnsi="仿宋" w:eastAsia="仿宋" w:cs="仿宋"/>
          <w:b/>
          <w:bCs/>
          <w:color w:val="auto"/>
          <w:highlight w:val="none"/>
        </w:rPr>
        <w:t>室（</w:t>
      </w:r>
      <w:r>
        <w:rPr>
          <w:rFonts w:hint="eastAsia" w:ascii="仿宋" w:hAnsi="仿宋" w:eastAsia="仿宋" w:cs="仿宋"/>
          <w:b/>
          <w:bCs/>
          <w:color w:val="auto"/>
          <w:highlight w:val="none"/>
          <w:lang w:val="en-US" w:eastAsia="zh-CN"/>
        </w:rPr>
        <w:t>不</w:t>
      </w:r>
      <w:r>
        <w:rPr>
          <w:rFonts w:hint="eastAsia" w:ascii="仿宋" w:hAnsi="仿宋" w:eastAsia="仿宋" w:cs="仿宋"/>
          <w:b/>
          <w:bCs/>
          <w:color w:val="auto"/>
          <w:highlight w:val="none"/>
        </w:rPr>
        <w:t>见面开标）</w:t>
      </w:r>
    </w:p>
    <w:p w14:paraId="03329AE7">
      <w:pPr>
        <w:pStyle w:val="26"/>
        <w:widowControl w:val="0"/>
        <w:wordWrap w:val="0"/>
        <w:spacing w:line="500" w:lineRule="exact"/>
        <w:ind w:firstLine="566" w:firstLineChars="200"/>
        <w:rPr>
          <w:rFonts w:hint="eastAsia" w:ascii="仿宋" w:hAnsi="仿宋" w:eastAsia="仿宋" w:cs="仿宋"/>
          <w:sz w:val="28"/>
          <w:szCs w:val="28"/>
          <w:highlight w:val="none"/>
        </w:rPr>
      </w:pP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五</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rPr>
        <w:t>开启形式：</w:t>
      </w:r>
      <w:r>
        <w:rPr>
          <w:rFonts w:hint="eastAsia" w:ascii="仿宋" w:hAnsi="仿宋" w:eastAsia="仿宋" w:cs="仿宋"/>
          <w:b/>
          <w:bCs/>
          <w:sz w:val="28"/>
          <w:szCs w:val="28"/>
          <w:highlight w:val="none"/>
        </w:rPr>
        <w:t>本项目采用不见面开标方式。</w:t>
      </w:r>
      <w:r>
        <w:rPr>
          <w:rFonts w:hint="eastAsia" w:ascii="仿宋" w:hAnsi="仿宋" w:eastAsia="仿宋" w:cs="仿宋"/>
          <w:sz w:val="28"/>
          <w:szCs w:val="28"/>
          <w:highlight w:val="none"/>
          <w:lang w:val="en-US" w:eastAsia="zh-CN"/>
        </w:rPr>
        <w:t>供应商</w:t>
      </w:r>
      <w:r>
        <w:rPr>
          <w:rFonts w:hint="eastAsia" w:ascii="仿宋" w:hAnsi="仿宋" w:eastAsia="仿宋" w:cs="仿宋"/>
          <w:sz w:val="28"/>
          <w:szCs w:val="28"/>
          <w:highlight w:val="none"/>
        </w:rPr>
        <w:t>需在开启前最少一个小时登录全国公共资源交易平台（陕西省）首页选择“不见面开标-陕西省本级”自行调试，并按照工作人员要求进行</w:t>
      </w:r>
      <w:r>
        <w:rPr>
          <w:rFonts w:hint="eastAsia" w:ascii="仿宋" w:hAnsi="仿宋" w:eastAsia="仿宋" w:cs="仿宋"/>
          <w:sz w:val="28"/>
          <w:szCs w:val="28"/>
          <w:highlight w:val="none"/>
          <w:lang w:val="en-US" w:eastAsia="zh-CN"/>
        </w:rPr>
        <w:t>响应</w:t>
      </w:r>
      <w:r>
        <w:rPr>
          <w:rFonts w:hint="eastAsia" w:ascii="仿宋" w:hAnsi="仿宋" w:eastAsia="仿宋" w:cs="仿宋"/>
          <w:sz w:val="28"/>
          <w:szCs w:val="28"/>
          <w:highlight w:val="none"/>
        </w:rPr>
        <w:t>文件解密，远程观看开标直播。及时加入网络开标大厅公布的腾讯QQ号，以便澄清等情况处理。如遇困难，请拨打系统平台技术支持电话：</w:t>
      </w:r>
      <w:r>
        <w:rPr>
          <w:rFonts w:hint="eastAsia" w:ascii="仿宋" w:hAnsi="仿宋" w:eastAsia="仿宋" w:cs="仿宋"/>
          <w:b/>
          <w:bCs/>
          <w:sz w:val="28"/>
          <w:szCs w:val="28"/>
          <w:highlight w:val="none"/>
          <w:lang w:eastAsia="zh-CN"/>
        </w:rPr>
        <w:t>0512-58188039</w:t>
      </w:r>
      <w:r>
        <w:rPr>
          <w:rFonts w:hint="eastAsia" w:ascii="仿宋" w:hAnsi="仿宋" w:eastAsia="仿宋" w:cs="仿宋"/>
          <w:sz w:val="28"/>
          <w:szCs w:val="28"/>
          <w:highlight w:val="none"/>
        </w:rPr>
        <w:t>。</w:t>
      </w:r>
    </w:p>
    <w:p w14:paraId="008D3A1B">
      <w:pPr>
        <w:widowControl w:val="0"/>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开</w:t>
      </w:r>
      <w:r>
        <w:rPr>
          <w:rFonts w:hint="eastAsia" w:ascii="仿宋" w:hAnsi="仿宋" w:eastAsia="仿宋" w:cs="仿宋"/>
          <w:b/>
          <w:bCs/>
          <w:color w:val="auto"/>
          <w:highlight w:val="none"/>
          <w:lang w:val="en-US" w:eastAsia="zh-CN"/>
        </w:rPr>
        <w:t>启</w:t>
      </w:r>
      <w:r>
        <w:rPr>
          <w:rFonts w:hint="eastAsia" w:ascii="仿宋" w:hAnsi="仿宋" w:eastAsia="仿宋" w:cs="仿宋"/>
          <w:b/>
          <w:bCs/>
          <w:color w:val="auto"/>
          <w:highlight w:val="none"/>
        </w:rPr>
        <w:t>时，</w:t>
      </w:r>
      <w:r>
        <w:rPr>
          <w:rFonts w:hint="eastAsia" w:ascii="仿宋" w:hAnsi="仿宋" w:eastAsia="仿宋" w:cs="仿宋"/>
          <w:b/>
          <w:bCs/>
          <w:color w:val="auto"/>
          <w:highlight w:val="none"/>
          <w:lang w:val="en-US" w:eastAsia="zh-CN"/>
        </w:rPr>
        <w:t>供应商</w:t>
      </w:r>
      <w:r>
        <w:rPr>
          <w:rFonts w:hint="eastAsia" w:ascii="仿宋" w:hAnsi="仿宋" w:eastAsia="仿宋" w:cs="仿宋"/>
          <w:b/>
          <w:bCs/>
          <w:color w:val="auto"/>
          <w:highlight w:val="none"/>
        </w:rPr>
        <w:t>应按照工作人员要求进行远程解密，如因</w:t>
      </w:r>
      <w:r>
        <w:rPr>
          <w:rFonts w:hint="eastAsia" w:ascii="仿宋" w:hAnsi="仿宋" w:eastAsia="仿宋" w:cs="仿宋"/>
          <w:b/>
          <w:bCs/>
          <w:color w:val="auto"/>
          <w:highlight w:val="none"/>
          <w:lang w:val="en-US" w:eastAsia="zh-CN"/>
        </w:rPr>
        <w:t>供应商</w:t>
      </w:r>
      <w:r>
        <w:rPr>
          <w:rFonts w:hint="eastAsia" w:ascii="仿宋" w:hAnsi="仿宋" w:eastAsia="仿宋" w:cs="仿宋"/>
          <w:b/>
          <w:bCs/>
          <w:color w:val="auto"/>
          <w:highlight w:val="none"/>
        </w:rPr>
        <w:t>自身原因，在规定时间内未完成</w:t>
      </w:r>
      <w:r>
        <w:rPr>
          <w:rFonts w:hint="eastAsia" w:ascii="仿宋" w:hAnsi="仿宋" w:eastAsia="仿宋" w:cs="仿宋"/>
          <w:b/>
          <w:bCs/>
          <w:color w:val="auto"/>
          <w:highlight w:val="none"/>
          <w:lang w:val="en-US" w:eastAsia="zh-CN"/>
        </w:rPr>
        <w:t>响应</w:t>
      </w:r>
      <w:r>
        <w:rPr>
          <w:rFonts w:hint="eastAsia" w:ascii="仿宋" w:hAnsi="仿宋" w:eastAsia="仿宋" w:cs="仿宋"/>
          <w:b/>
          <w:bCs/>
          <w:color w:val="auto"/>
          <w:highlight w:val="none"/>
        </w:rPr>
        <w:t>文件解密，按无效</w:t>
      </w:r>
      <w:r>
        <w:rPr>
          <w:rFonts w:hint="eastAsia" w:ascii="仿宋" w:hAnsi="仿宋" w:eastAsia="仿宋" w:cs="仿宋"/>
          <w:b/>
          <w:bCs/>
          <w:color w:val="auto"/>
          <w:highlight w:val="none"/>
          <w:lang w:val="en-US" w:eastAsia="zh-CN"/>
        </w:rPr>
        <w:t>响应</w:t>
      </w:r>
      <w:r>
        <w:rPr>
          <w:rFonts w:hint="eastAsia" w:ascii="仿宋" w:hAnsi="仿宋" w:eastAsia="仿宋" w:cs="仿宋"/>
          <w:b/>
          <w:bCs/>
          <w:color w:val="auto"/>
          <w:highlight w:val="none"/>
        </w:rPr>
        <w:t>对待。</w:t>
      </w:r>
    </w:p>
    <w:p w14:paraId="5FCE2014">
      <w:pPr>
        <w:pStyle w:val="26"/>
        <w:widowControl w:val="0"/>
        <w:wordWrap w:val="0"/>
        <w:spacing w:line="400" w:lineRule="exact"/>
        <w:ind w:firstLine="426"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备注：</w:t>
      </w:r>
    </w:p>
    <w:p w14:paraId="10E6D156">
      <w:pPr>
        <w:pStyle w:val="26"/>
        <w:widowControl w:val="0"/>
        <w:wordWrap w:val="0"/>
        <w:spacing w:line="400" w:lineRule="exact"/>
        <w:ind w:firstLine="426"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1、相关操作流程详见全国公共资源交易平台（陕西省）网站〖首页·〉服务指南·〉下载专区〗中的《陕西省公共资源交易中心政府采购项目远程不见面开标操作手册（</w:t>
      </w:r>
      <w:r>
        <w:rPr>
          <w:rFonts w:hint="eastAsia" w:ascii="宋体" w:hAnsi="宋体" w:eastAsia="宋体" w:cs="宋体"/>
          <w:sz w:val="21"/>
          <w:szCs w:val="21"/>
          <w:highlight w:val="none"/>
          <w:lang w:eastAsia="zh-CN"/>
        </w:rPr>
        <w:t>供应商</w:t>
      </w:r>
      <w:r>
        <w:rPr>
          <w:rFonts w:hint="eastAsia" w:ascii="宋体" w:hAnsi="宋体" w:eastAsia="宋体" w:cs="宋体"/>
          <w:sz w:val="21"/>
          <w:szCs w:val="21"/>
          <w:highlight w:val="none"/>
        </w:rPr>
        <w:t>版）》。</w:t>
      </w:r>
    </w:p>
    <w:p w14:paraId="553280A2">
      <w:pPr>
        <w:pStyle w:val="26"/>
        <w:widowControl w:val="0"/>
        <w:wordWrap w:val="0"/>
        <w:spacing w:line="400" w:lineRule="exact"/>
        <w:ind w:firstLine="426"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2、“规定时间”由现场工作人员具体确定。</w:t>
      </w:r>
    </w:p>
    <w:p w14:paraId="7AA9749A">
      <w:pPr>
        <w:spacing w:line="500" w:lineRule="atLeast"/>
        <w:ind w:firstLine="566" w:firstLineChars="200"/>
        <w:rPr>
          <w:rFonts w:ascii="仿宋" w:hAnsi="仿宋" w:eastAsia="仿宋" w:cs="仿宋"/>
          <w:b/>
          <w:bCs/>
          <w:color w:val="auto"/>
          <w:highlight w:val="none"/>
        </w:rPr>
      </w:pPr>
      <w:bookmarkStart w:id="25" w:name="_Toc3161"/>
      <w:bookmarkStart w:id="26" w:name="_Toc15194"/>
      <w:bookmarkStart w:id="27" w:name="_Toc9027"/>
      <w:bookmarkStart w:id="28" w:name="_Toc1778"/>
      <w:r>
        <w:rPr>
          <w:rFonts w:hint="eastAsia" w:ascii="仿宋" w:hAnsi="仿宋" w:eastAsia="仿宋" w:cs="仿宋"/>
          <w:b/>
          <w:bCs/>
          <w:color w:val="auto"/>
          <w:highlight w:val="none"/>
        </w:rPr>
        <w:t>十</w:t>
      </w:r>
      <w:r>
        <w:rPr>
          <w:rFonts w:hint="eastAsia" w:ascii="仿宋" w:hAnsi="仿宋" w:eastAsia="仿宋" w:cs="仿宋"/>
          <w:b/>
          <w:bCs/>
          <w:color w:val="auto"/>
          <w:highlight w:val="none"/>
          <w:lang w:val="en-US" w:eastAsia="zh-CN"/>
        </w:rPr>
        <w:t>五</w:t>
      </w:r>
      <w:r>
        <w:rPr>
          <w:rFonts w:hint="eastAsia" w:ascii="仿宋" w:hAnsi="仿宋" w:eastAsia="仿宋" w:cs="仿宋"/>
          <w:b/>
          <w:bCs/>
          <w:color w:val="auto"/>
          <w:highlight w:val="none"/>
        </w:rPr>
        <w:t>、采购代理机构收费标准：免费</w:t>
      </w:r>
      <w:bookmarkEnd w:id="25"/>
      <w:bookmarkEnd w:id="26"/>
      <w:bookmarkEnd w:id="27"/>
      <w:bookmarkEnd w:id="28"/>
    </w:p>
    <w:p w14:paraId="328CFC4A">
      <w:pPr>
        <w:spacing w:line="500" w:lineRule="exact"/>
        <w:ind w:firstLine="566" w:firstLineChars="200"/>
        <w:rPr>
          <w:rFonts w:ascii="仿宋" w:hAnsi="仿宋" w:eastAsia="仿宋" w:cs="仿宋"/>
          <w:b/>
          <w:bCs/>
          <w:color w:val="auto"/>
          <w:highlight w:val="none"/>
        </w:rPr>
      </w:pPr>
      <w:bookmarkStart w:id="29" w:name="_Toc32590"/>
      <w:r>
        <w:rPr>
          <w:rFonts w:hint="eastAsia" w:ascii="仿宋" w:hAnsi="仿宋" w:eastAsia="仿宋" w:cs="仿宋"/>
          <w:b/>
          <w:bCs/>
          <w:color w:val="auto"/>
          <w:highlight w:val="none"/>
        </w:rPr>
        <w:t>十</w:t>
      </w:r>
      <w:r>
        <w:rPr>
          <w:rFonts w:hint="eastAsia" w:ascii="仿宋" w:hAnsi="仿宋" w:eastAsia="仿宋" w:cs="仿宋"/>
          <w:b/>
          <w:bCs/>
          <w:color w:val="auto"/>
          <w:highlight w:val="none"/>
          <w:lang w:val="en-US" w:eastAsia="zh-CN"/>
        </w:rPr>
        <w:t>六</w:t>
      </w:r>
      <w:r>
        <w:rPr>
          <w:rFonts w:hint="eastAsia" w:ascii="仿宋" w:hAnsi="仿宋" w:eastAsia="仿宋" w:cs="仿宋"/>
          <w:b/>
          <w:bCs/>
          <w:color w:val="auto"/>
          <w:highlight w:val="none"/>
        </w:rPr>
        <w:t>、公告期限：自公告发布之日起3个工作日</w:t>
      </w:r>
      <w:bookmarkEnd w:id="29"/>
    </w:p>
    <w:p w14:paraId="7F078361">
      <w:pPr>
        <w:spacing w:line="500" w:lineRule="exact"/>
        <w:ind w:firstLine="566" w:firstLineChars="200"/>
        <w:rPr>
          <w:rFonts w:hint="default" w:ascii="仿宋" w:hAnsi="仿宋" w:eastAsia="仿宋" w:cs="仿宋"/>
          <w:b/>
          <w:bCs/>
          <w:color w:val="auto"/>
          <w:highlight w:val="none"/>
          <w:lang w:val="en-US" w:eastAsia="zh-CN"/>
        </w:rPr>
      </w:pPr>
      <w:bookmarkStart w:id="30" w:name="_Toc23758"/>
      <w:r>
        <w:rPr>
          <w:rFonts w:hint="eastAsia" w:ascii="仿宋" w:hAnsi="仿宋" w:eastAsia="仿宋" w:cs="仿宋"/>
          <w:b/>
          <w:bCs/>
          <w:color w:val="auto"/>
          <w:highlight w:val="none"/>
        </w:rPr>
        <w:t>十</w:t>
      </w:r>
      <w:r>
        <w:rPr>
          <w:rFonts w:hint="eastAsia" w:ascii="仿宋" w:hAnsi="仿宋" w:eastAsia="仿宋" w:cs="仿宋"/>
          <w:b/>
          <w:bCs/>
          <w:color w:val="auto"/>
          <w:highlight w:val="none"/>
          <w:lang w:val="en-US" w:eastAsia="zh-CN"/>
        </w:rPr>
        <w:t>七</w:t>
      </w:r>
      <w:r>
        <w:rPr>
          <w:rFonts w:hint="eastAsia" w:ascii="仿宋" w:hAnsi="仿宋" w:eastAsia="仿宋" w:cs="仿宋"/>
          <w:b/>
          <w:bCs/>
          <w:color w:val="auto"/>
          <w:highlight w:val="none"/>
        </w:rPr>
        <w:t>、陕西省省级单位政府采购中心联系电话：029-886</w:t>
      </w:r>
      <w:bookmarkEnd w:id="30"/>
      <w:r>
        <w:rPr>
          <w:rFonts w:hint="eastAsia" w:ascii="仿宋" w:hAnsi="仿宋" w:eastAsia="仿宋" w:cs="仿宋"/>
          <w:b/>
          <w:bCs/>
          <w:color w:val="auto"/>
          <w:highlight w:val="none"/>
          <w:lang w:eastAsia="zh-CN"/>
        </w:rPr>
        <w:t>6129</w:t>
      </w:r>
      <w:r>
        <w:rPr>
          <w:rFonts w:hint="eastAsia" w:ascii="仿宋" w:hAnsi="仿宋" w:eastAsia="仿宋" w:cs="仿宋"/>
          <w:b/>
          <w:bCs/>
          <w:color w:val="auto"/>
          <w:highlight w:val="none"/>
          <w:lang w:val="en-US" w:eastAsia="zh-CN"/>
        </w:rPr>
        <w:t>4</w:t>
      </w:r>
    </w:p>
    <w:p w14:paraId="54411B1E">
      <w:pPr>
        <w:spacing w:line="500" w:lineRule="exact"/>
        <w:ind w:firstLine="566" w:firstLineChars="200"/>
        <w:rPr>
          <w:rFonts w:hint="eastAsia" w:ascii="仿宋" w:hAnsi="仿宋" w:eastAsia="仿宋" w:cs="仿宋"/>
          <w:b/>
          <w:bCs/>
          <w:color w:val="auto"/>
          <w:highlight w:val="none"/>
        </w:rPr>
      </w:pPr>
      <w:bookmarkStart w:id="31" w:name="_Toc15834"/>
      <w:bookmarkStart w:id="32" w:name="_Toc445407251"/>
      <w:bookmarkStart w:id="33" w:name="_Toc505073740"/>
    </w:p>
    <w:bookmarkEnd w:id="31"/>
    <w:p w14:paraId="682794C5">
      <w:pPr>
        <w:spacing w:line="500" w:lineRule="exact"/>
        <w:ind w:firstLine="566" w:firstLineChars="200"/>
        <w:rPr>
          <w:rFonts w:hint="eastAsia" w:ascii="宋体" w:hAnsi="宋体" w:eastAsia="宋体" w:cs="宋体"/>
          <w:b/>
          <w:bCs/>
          <w:color w:val="auto"/>
          <w:highlight w:val="none"/>
        </w:rPr>
      </w:pPr>
      <w:r>
        <w:rPr>
          <w:rFonts w:hint="eastAsia" w:ascii="宋体" w:hAnsi="宋体" w:eastAsia="宋体" w:cs="宋体"/>
          <w:b/>
          <w:bCs/>
          <w:color w:val="auto"/>
          <w:highlight w:val="none"/>
        </w:rPr>
        <w:t>特别提醒：</w:t>
      </w:r>
    </w:p>
    <w:p w14:paraId="6602F45B">
      <w:pPr>
        <w:wordWrap w:val="0"/>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本项目采用电子化投标及远程不见面开标方式。供应商须使用数字认证证书（CA锁）对电子响应文件进行签章、加密、递交及开标时解密等相关招投标事宜。开标前，供应商需登录网络开标大厅。开标时，按照工作人员要求进行远程解密，如因供应商自身原因造成无法解密响应文件，按无效响应对待。</w:t>
      </w:r>
    </w:p>
    <w:p w14:paraId="28CB1F1E">
      <w:pPr>
        <w:wordWrap w:val="0"/>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2、制作电子响应文件。供应商须在“全国公共资源交易中心平台（陕西省）（http://www.sxggzyjy.cn/）”的“服务指南”栏目“下载专区”中，免费下载“陕西省公共资源交易平台政府采购电子标书制作工具”，并升级至最新版本，使用该客户端制作电子响应文件，制作扩展名为“.SXSTF”的电子响应文件。”</w:t>
      </w:r>
    </w:p>
    <w:p w14:paraId="18C9DCF0">
      <w:pPr>
        <w:wordWrap w:val="0"/>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3、递交电子响应文件。登录全国公共资源交易中心平台（陕西省）（http://www.sxggzyjy.cn/），选择“电子交易平台—陕西政府采购交易系统—企业端”进行登录，登录后选择“交易乙方”身份进入，进入菜单“采购业务—我的项目—项目流程—上传响应文件”，上传加密的电子响应文件。上传成功后，电子化平台将予以记录。</w:t>
      </w:r>
    </w:p>
    <w:p w14:paraId="309E84EE">
      <w:pPr>
        <w:wordWrap w:val="0"/>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4、为了保证远程不见面开标顺利进行，供应商需使用配备音响和拾音设备的电脑提前一个小时登录网络开标大厅（相关操作流程见本章第十四条第5款备注（1））。</w:t>
      </w:r>
    </w:p>
    <w:p w14:paraId="2CA337F0">
      <w:pPr>
        <w:wordWrap w:val="0"/>
        <w:ind w:firstLine="426"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5、评审过程中，谈判小组要求供应商提交多轮（最后）谈判报价时，供应商须登录全国公共资源交易平台（陕西省）在交易系统中提交多轮（最后）报价，并用数字认证证书（CA锁）签章。</w:t>
      </w:r>
    </w:p>
    <w:p w14:paraId="1B3C750D">
      <w:pPr>
        <w:wordWrap/>
        <w:spacing w:line="240" w:lineRule="auto"/>
        <w:ind w:firstLine="426" w:firstLineChars="200"/>
        <w:jc w:val="left"/>
        <w:outlineLvl w:val="9"/>
        <w:rPr>
          <w:rFonts w:hint="eastAsia" w:ascii="仿宋" w:hAnsi="仿宋" w:eastAsia="仿宋" w:cs="仿宋"/>
          <w:b/>
          <w:bCs/>
          <w:color w:val="auto"/>
          <w:sz w:val="21"/>
          <w:szCs w:val="21"/>
          <w:highlight w:val="none"/>
        </w:rPr>
      </w:pPr>
      <w:r>
        <w:rPr>
          <w:rFonts w:hint="eastAsia" w:ascii="宋体" w:hAnsi="宋体" w:eastAsia="宋体" w:cs="宋体"/>
          <w:b/>
          <w:bCs/>
          <w:color w:val="auto"/>
          <w:sz w:val="21"/>
          <w:szCs w:val="21"/>
          <w:highlight w:val="none"/>
        </w:rPr>
        <w:t>6、供应商需安装新点播放器，以便观看远程不见面开标直播画面（播放器下载链接为：https://download.bqpoint.com/download/downloaddetail.html?SourceFrom=Down&amp;SoftGuid=55aa4e06-c384-4005-bcb9-48932d410fd4）。</w:t>
      </w:r>
      <w:bookmarkStart w:id="34" w:name="_Toc10020"/>
      <w:bookmarkStart w:id="35" w:name="_Toc29981"/>
      <w:bookmarkStart w:id="36" w:name="_Toc21253"/>
      <w:bookmarkStart w:id="37" w:name="_Toc15855"/>
      <w:bookmarkStart w:id="38" w:name="_Toc32081"/>
      <w:bookmarkStart w:id="39" w:name="_Toc5125"/>
      <w:bookmarkStart w:id="40" w:name="_Toc22627"/>
      <w:r>
        <w:rPr>
          <w:rFonts w:hint="eastAsia" w:ascii="仿宋" w:hAnsi="仿宋" w:eastAsia="仿宋" w:cs="仿宋"/>
          <w:b/>
          <w:bCs/>
          <w:color w:val="auto"/>
          <w:sz w:val="21"/>
          <w:szCs w:val="21"/>
          <w:highlight w:val="none"/>
        </w:rPr>
        <w:br w:type="page"/>
      </w:r>
    </w:p>
    <w:p w14:paraId="23B80B04">
      <w:pPr>
        <w:wordWrap w:val="0"/>
        <w:spacing w:line="460" w:lineRule="exact"/>
        <w:ind w:firstLine="646" w:firstLineChars="200"/>
        <w:jc w:val="center"/>
        <w:outlineLvl w:val="9"/>
        <w:rPr>
          <w:rFonts w:hint="eastAsia" w:ascii="黑体" w:hAnsi="黑体" w:eastAsia="黑体" w:cs="黑体"/>
          <w:bCs/>
          <w:color w:val="auto"/>
          <w:sz w:val="32"/>
          <w:szCs w:val="32"/>
          <w:highlight w:val="none"/>
        </w:rPr>
      </w:pPr>
      <w:bookmarkStart w:id="41" w:name="_Toc17800"/>
      <w:bookmarkStart w:id="42" w:name="_Toc27915"/>
      <w:bookmarkStart w:id="43" w:name="_Toc20276"/>
      <w:r>
        <w:rPr>
          <w:rStyle w:val="61"/>
          <w:rFonts w:hint="eastAsia" w:ascii="黑体" w:hAnsi="黑体" w:eastAsia="黑体" w:cs="黑体"/>
          <w:b w:val="0"/>
          <w:bCs w:val="0"/>
          <w:color w:val="auto"/>
          <w:sz w:val="32"/>
          <w:szCs w:val="32"/>
          <w:highlight w:val="none"/>
        </w:rPr>
        <w:t>第二章  供应商须知</w:t>
      </w:r>
      <w:bookmarkEnd w:id="32"/>
      <w:bookmarkEnd w:id="33"/>
      <w:bookmarkEnd w:id="34"/>
      <w:bookmarkEnd w:id="35"/>
      <w:bookmarkEnd w:id="36"/>
      <w:bookmarkEnd w:id="37"/>
      <w:bookmarkEnd w:id="38"/>
      <w:bookmarkEnd w:id="39"/>
      <w:bookmarkEnd w:id="40"/>
      <w:bookmarkEnd w:id="41"/>
      <w:bookmarkEnd w:id="42"/>
      <w:bookmarkEnd w:id="43"/>
    </w:p>
    <w:p w14:paraId="4F8121C2">
      <w:pPr>
        <w:spacing w:line="500" w:lineRule="exact"/>
        <w:ind w:firstLine="566" w:firstLineChars="200"/>
        <w:jc w:val="left"/>
        <w:outlineLvl w:val="1"/>
        <w:rPr>
          <w:rStyle w:val="62"/>
          <w:rFonts w:ascii="仿宋" w:hAnsi="仿宋" w:eastAsia="仿宋" w:cs="仿宋"/>
          <w:color w:val="auto"/>
          <w:sz w:val="28"/>
          <w:szCs w:val="28"/>
          <w:highlight w:val="none"/>
        </w:rPr>
      </w:pPr>
      <w:bookmarkStart w:id="44" w:name="_Toc26758"/>
      <w:bookmarkStart w:id="45" w:name="_Toc10940"/>
      <w:bookmarkStart w:id="46" w:name="_Toc26877"/>
      <w:bookmarkStart w:id="47" w:name="_Toc7820"/>
      <w:bookmarkStart w:id="48" w:name="_Toc14356"/>
      <w:bookmarkStart w:id="49" w:name="_Toc215"/>
      <w:bookmarkStart w:id="50" w:name="_Toc30937"/>
      <w:bookmarkStart w:id="51" w:name="_Toc23580"/>
      <w:bookmarkStart w:id="52" w:name="_Toc19839"/>
      <w:r>
        <w:rPr>
          <w:rStyle w:val="62"/>
          <w:rFonts w:hint="eastAsia" w:ascii="仿宋" w:hAnsi="仿宋" w:eastAsia="仿宋" w:cs="仿宋"/>
          <w:color w:val="auto"/>
          <w:sz w:val="28"/>
          <w:szCs w:val="28"/>
          <w:highlight w:val="none"/>
        </w:rPr>
        <w:t>一、定义</w:t>
      </w:r>
      <w:bookmarkEnd w:id="44"/>
      <w:bookmarkEnd w:id="45"/>
      <w:bookmarkEnd w:id="46"/>
      <w:bookmarkEnd w:id="47"/>
      <w:bookmarkEnd w:id="48"/>
      <w:bookmarkEnd w:id="49"/>
      <w:bookmarkEnd w:id="50"/>
      <w:bookmarkEnd w:id="51"/>
      <w:bookmarkEnd w:id="52"/>
    </w:p>
    <w:p w14:paraId="65585BE1">
      <w:pPr>
        <w:spacing w:line="500" w:lineRule="exact"/>
        <w:ind w:firstLine="566" w:firstLineChars="200"/>
        <w:contextualSpacing/>
        <w:rPr>
          <w:rFonts w:hint="eastAsia" w:ascii="仿宋" w:hAnsi="仿宋" w:eastAsia="仿宋" w:cs="仿宋"/>
          <w:color w:val="auto"/>
          <w:highlight w:val="none"/>
          <w:lang w:eastAsia="zh-CN"/>
        </w:rPr>
      </w:pPr>
      <w:r>
        <w:rPr>
          <w:rFonts w:hint="eastAsia" w:ascii="仿宋" w:hAnsi="仿宋" w:eastAsia="仿宋" w:cs="仿宋"/>
          <w:color w:val="auto"/>
          <w:highlight w:val="none"/>
        </w:rPr>
        <w:t>（一）采 购 人：</w:t>
      </w:r>
      <w:r>
        <w:rPr>
          <w:rFonts w:hint="eastAsia" w:ascii="仿宋" w:hAnsi="仿宋" w:eastAsia="仿宋" w:cs="仿宋"/>
          <w:color w:val="auto"/>
          <w:highlight w:val="none"/>
          <w:lang w:eastAsia="zh-CN"/>
        </w:rPr>
        <w:t>西安邮电大学</w:t>
      </w:r>
    </w:p>
    <w:p w14:paraId="3A8DF037">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（二）监督机构：陕西省财政厅</w:t>
      </w:r>
    </w:p>
    <w:p w14:paraId="3D95FD82">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（三）集中采购机构：陕西省省级单位政府采购中心</w:t>
      </w:r>
    </w:p>
    <w:p w14:paraId="4F460A65">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（四）供应商：拟向采购人提供货物、工程或者服务的法人、其他组织或者自然人。</w:t>
      </w:r>
    </w:p>
    <w:p w14:paraId="1E867FDB">
      <w:pPr>
        <w:pStyle w:val="5"/>
        <w:spacing w:line="500" w:lineRule="exact"/>
        <w:ind w:firstLine="566" w:firstLineChars="200"/>
        <w:contextualSpacing/>
        <w:rPr>
          <w:rFonts w:ascii="仿宋" w:hAnsi="仿宋" w:eastAsia="仿宋" w:cs="仿宋"/>
          <w:color w:val="auto"/>
          <w:sz w:val="28"/>
          <w:szCs w:val="28"/>
          <w:highlight w:val="none"/>
        </w:rPr>
      </w:pPr>
      <w:bookmarkStart w:id="53" w:name="_Toc15103"/>
      <w:bookmarkStart w:id="54" w:name="_Toc11437"/>
      <w:bookmarkStart w:id="55" w:name="_Toc29946"/>
      <w:bookmarkStart w:id="56" w:name="_Toc30894"/>
      <w:bookmarkStart w:id="57" w:name="_Toc12341"/>
      <w:bookmarkStart w:id="58" w:name="_Toc30316"/>
      <w:bookmarkStart w:id="59" w:name="_Toc20566"/>
      <w:bookmarkStart w:id="60" w:name="_Toc29072"/>
      <w:bookmarkStart w:id="61" w:name="_Toc27545"/>
      <w:bookmarkStart w:id="62" w:name="_Toc12712"/>
      <w:bookmarkStart w:id="63" w:name="_Toc9041"/>
      <w:r>
        <w:rPr>
          <w:rStyle w:val="62"/>
          <w:rFonts w:hint="eastAsia" w:ascii="仿宋" w:hAnsi="仿宋" w:eastAsia="仿宋" w:cs="仿宋"/>
          <w:b/>
          <w:bCs/>
          <w:color w:val="auto"/>
          <w:kern w:val="2"/>
          <w:sz w:val="28"/>
          <w:szCs w:val="28"/>
          <w:highlight w:val="none"/>
        </w:rPr>
        <w:t>二、供应商注意事项</w:t>
      </w:r>
      <w:bookmarkEnd w:id="53"/>
      <w:bookmarkEnd w:id="54"/>
      <w:bookmarkEnd w:id="55"/>
      <w:bookmarkEnd w:id="56"/>
      <w:bookmarkEnd w:id="57"/>
      <w:bookmarkEnd w:id="58"/>
      <w:bookmarkEnd w:id="59"/>
      <w:bookmarkEnd w:id="60"/>
      <w:bookmarkEnd w:id="61"/>
      <w:bookmarkEnd w:id="62"/>
      <w:bookmarkEnd w:id="63"/>
    </w:p>
    <w:p w14:paraId="3DED9C06">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（一）询问</w:t>
      </w:r>
    </w:p>
    <w:p w14:paraId="38883E20">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供应商针对谈判文件（包括采购需求、供应商资格条件、商务条款等）依法提出书面询问的，采购人应在三个工作日内书面答复；供应商向陕西省省级单位政府采购中心提出书面询问的，陕西省省级单位政府采购中心应告知采购人并协助采购人做出答复。</w:t>
      </w:r>
    </w:p>
    <w:p w14:paraId="64B108B6">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供应商对采购过程、中标（成交）结果，向陕西省省级单位政府采购中心提出书面询问的，陕西省省级单位政府采购中心应在三个工作日内书面答复。</w:t>
      </w:r>
    </w:p>
    <w:p w14:paraId="47A728E5">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（二）现场踏勘及标前答疑会</w:t>
      </w:r>
    </w:p>
    <w:p w14:paraId="7E023BE6">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采购项目安排现场考察和标前答疑的，采购人应尽量在现场予以解答（口头提问可口头答复），现场不能做出解答的，应在三个工作日内书面答复，并交由陕西省省级单位政府采购中心在财政部门指定的媒体上发布。</w:t>
      </w:r>
    </w:p>
    <w:p w14:paraId="69E3DF06">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答复内容可能影响响应文件编制的，应当顺延开标时间。凡未参加现场踏勘和标前答疑的供应商，由此造成的偏差由各供应商自行负责。</w:t>
      </w:r>
    </w:p>
    <w:p w14:paraId="3E970729">
      <w:pPr>
        <w:spacing w:line="500" w:lineRule="exact"/>
        <w:ind w:firstLine="566" w:firstLineChars="200"/>
        <w:rPr>
          <w:rFonts w:hint="default" w:ascii="仿宋" w:hAnsi="仿宋" w:eastAsia="仿宋" w:cs="仿宋"/>
          <w:b/>
          <w:color w:val="auto"/>
          <w:highlight w:val="none"/>
          <w:lang w:val="en-US" w:eastAsia="zh-CN"/>
        </w:rPr>
      </w:pPr>
      <w:r>
        <w:rPr>
          <w:rFonts w:hint="eastAsia" w:ascii="仿宋" w:hAnsi="仿宋" w:eastAsia="仿宋" w:cs="仿宋"/>
          <w:b/>
          <w:color w:val="auto"/>
          <w:highlight w:val="none"/>
          <w:lang w:val="en-US" w:eastAsia="zh-CN"/>
        </w:rPr>
        <w:t>本项目不组织现场踏勘和标前答疑</w:t>
      </w:r>
    </w:p>
    <w:p w14:paraId="52600A69">
      <w:pPr>
        <w:spacing w:line="500" w:lineRule="exact"/>
        <w:ind w:firstLine="566" w:firstLineChars="200"/>
        <w:rPr>
          <w:rFonts w:ascii="仿宋" w:hAnsi="仿宋" w:eastAsia="仿宋" w:cs="仿宋"/>
          <w:b/>
          <w:color w:val="auto"/>
          <w:highlight w:val="none"/>
        </w:rPr>
      </w:pPr>
      <w:r>
        <w:rPr>
          <w:rFonts w:hint="eastAsia" w:ascii="仿宋" w:hAnsi="仿宋" w:eastAsia="仿宋" w:cs="仿宋"/>
          <w:b/>
          <w:bCs/>
          <w:color w:val="auto"/>
          <w:highlight w:val="none"/>
        </w:rPr>
        <w:t>（三）</w:t>
      </w:r>
      <w:r>
        <w:rPr>
          <w:rFonts w:hint="eastAsia" w:ascii="仿宋" w:hAnsi="仿宋" w:eastAsia="仿宋" w:cs="仿宋"/>
          <w:b/>
          <w:color w:val="auto"/>
          <w:highlight w:val="none"/>
        </w:rPr>
        <w:t>质疑和投诉</w:t>
      </w:r>
    </w:p>
    <w:p w14:paraId="6F4FD977">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供应商如果认为谈判文件（包括采购需求、供应商资格条件、商务条款等）使自身的合法权益受到损害，可以在获取谈判文件之日起7个工作日内，以书面形式向采购人提出质疑；供应商如果认为采购过程或成交结果使自身的合法权益受到损害，可以在知道或者应知其权益受到损害之日起７个工作日内，以书面形式向陕西省省级单位政府采购中心提出质疑。</w:t>
      </w:r>
    </w:p>
    <w:p w14:paraId="34DAE5DE">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供应商提出质疑应当提交质疑函和必要的证明材料，并按财政部《质疑函范本》给定的格式进行填写，范本下载详见【财政部国库司（gks.mof.gov.cn）】网站〖首页•〉政府采购管理〗栏目中的《政府采购供应商质疑函范本》。《政府采购供应商质疑函范本》链接地址：</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"http://gks.mof.gov.cn/ztztz/zhengfucaigouguanli/201802/t20180201_2804589.htm" </w:instrText>
      </w:r>
      <w:r>
        <w:rPr>
          <w:rFonts w:hint="eastAsia" w:ascii="仿宋" w:hAnsi="仿宋" w:eastAsia="仿宋" w:cs="仿宋"/>
          <w:color w:val="auto"/>
          <w:highlight w:val="none"/>
        </w:rPr>
        <w:fldChar w:fldCharType="separate"/>
      </w:r>
      <w:r>
        <w:rPr>
          <w:rFonts w:hint="eastAsia" w:ascii="仿宋" w:hAnsi="仿宋" w:eastAsia="仿宋" w:cs="仿宋"/>
          <w:color w:val="auto"/>
          <w:highlight w:val="none"/>
        </w:rPr>
        <w:t>http://gks.mof.gov.cn/ztztz/zhengfucaigouguanli/201802/t20180201_2804589.htm</w:t>
      </w:r>
      <w:r>
        <w:rPr>
          <w:rFonts w:hint="eastAsia" w:ascii="仿宋" w:hAnsi="仿宋" w:eastAsia="仿宋" w:cs="仿宋"/>
          <w:color w:val="auto"/>
          <w:highlight w:val="none"/>
        </w:rPr>
        <w:fldChar w:fldCharType="end"/>
      </w:r>
    </w:p>
    <w:p w14:paraId="5420DCC2">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2、质疑人为自然人的，应当由本人签字；质疑人为法人或者其他组织的，应当由法定代表人、主要负责人，或者其授权代表签字或者盖章，并加盖公章。被授权代表办理质疑事项时，除提交质疑函外，还应当提交授权委托书及被授权代表的有效身份证明，授权委托书应当载明委托代理的具体权限和事项。</w:t>
      </w:r>
    </w:p>
    <w:p w14:paraId="2887C726">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3、在法定质疑期内，针对同一采购程序环节的质疑应当一次性提出。采购代理机构或采购人将在收到书面质疑后7个工作日内做出答复，并以书面形式通知质疑人和其他有关供应商。</w:t>
      </w:r>
    </w:p>
    <w:p w14:paraId="202AA27F">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4、有下列情形之一的，属于无效质疑，陕西省省级单位政府采购中心和采购人不予受理：</w:t>
      </w:r>
    </w:p>
    <w:p w14:paraId="0BA981E1">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（1）质疑人不是参与本次政府采购项目的供应商或潜在供应商；</w:t>
      </w:r>
    </w:p>
    <w:p w14:paraId="73265902">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（2）质疑人与质疑事项不存在利害关系的；</w:t>
      </w:r>
    </w:p>
    <w:p w14:paraId="7852C946">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（3）未在法定期限内提出质疑的；</w:t>
      </w:r>
    </w:p>
    <w:p w14:paraId="4A286337">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（4）质疑未以书面形式提出，或质疑函主要内容构成不完整的，或缺乏必要的证明材料及证明材料不完整的；</w:t>
      </w:r>
    </w:p>
    <w:p w14:paraId="7B5E7D67">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（5）质疑函没有合法有效的签字、盖章或授权的；</w:t>
      </w:r>
    </w:p>
    <w:p w14:paraId="493E204F">
      <w:pPr>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（6）以非法手段取得证据、材料的；</w:t>
      </w:r>
    </w:p>
    <w:p w14:paraId="67604050">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（7）不符合法律、法规、规章和政府采购监管机构规定的其他条件的。</w:t>
      </w:r>
    </w:p>
    <w:p w14:paraId="380578AA">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5、质疑人对陕西省省级单位政府采购中心或采购人的答复不满意，以及陕西省省级单位政府采购中心或采购人未在规定时间内做出答复的，可以在答复期满后15个工作日内向政府采购监管机构提出投诉。</w:t>
      </w:r>
    </w:p>
    <w:p w14:paraId="03B97A4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6、供应商投诉的事项不得超出已质疑事项的范围。</w:t>
      </w:r>
    </w:p>
    <w:p w14:paraId="21C6B533">
      <w:pPr>
        <w:spacing w:line="500" w:lineRule="exact"/>
        <w:ind w:firstLine="566" w:firstLineChars="200"/>
        <w:rPr>
          <w:rFonts w:ascii="仿宋" w:hAnsi="仿宋" w:eastAsia="仿宋" w:cs="仿宋"/>
          <w:b/>
          <w:color w:val="auto"/>
          <w:highlight w:val="none"/>
        </w:rPr>
      </w:pPr>
      <w:r>
        <w:rPr>
          <w:rFonts w:hint="eastAsia" w:ascii="仿宋" w:hAnsi="仿宋" w:eastAsia="仿宋" w:cs="仿宋"/>
          <w:color w:val="auto"/>
          <w:highlight w:val="none"/>
        </w:rPr>
        <w:t>7、</w:t>
      </w:r>
      <w:r>
        <w:rPr>
          <w:rFonts w:hint="eastAsia" w:ascii="仿宋" w:hAnsi="仿宋" w:eastAsia="仿宋" w:cs="仿宋"/>
          <w:b/>
          <w:color w:val="auto"/>
          <w:highlight w:val="none"/>
        </w:rPr>
        <w:t>对捏造事实、提供虚假材料进行质疑、投诉的行为予以严肃处理：</w:t>
      </w:r>
    </w:p>
    <w:p w14:paraId="796BDDD6">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依据《中华人民共和国政府采购法》及其实施条例、《政府采购竞争性磋商采购方式管理暂行办法》及有关问题的补充通知、《政府采购质疑和投诉办法》等法律法规文件的规定，供应商质疑、投诉应当有明确的请求和必要的证明材料。</w:t>
      </w:r>
      <w:r>
        <w:rPr>
          <w:rFonts w:hint="eastAsia" w:ascii="仿宋" w:hAnsi="仿宋" w:eastAsia="仿宋" w:cs="仿宋"/>
          <w:b/>
          <w:bCs/>
          <w:color w:val="auto"/>
          <w:highlight w:val="none"/>
        </w:rPr>
        <w:t>投诉人在全国范围内十二个月内三次以上投诉查无实据的，由财政部门列入不良行为记录名单</w:t>
      </w:r>
      <w:r>
        <w:rPr>
          <w:rFonts w:hint="eastAsia" w:ascii="仿宋" w:hAnsi="仿宋" w:eastAsia="仿宋" w:cs="仿宋"/>
          <w:color w:val="auto"/>
          <w:highlight w:val="none"/>
        </w:rPr>
        <w:t>。对于捏造事实、提供虚假材料或者以非法手段取得证明材料进行投诉的，财政部门应当予以驳回，并将其列入不良行为记录名单，禁止其一至三年内参加政府采购活动。</w:t>
      </w:r>
    </w:p>
    <w:p w14:paraId="63D154F0">
      <w:pPr>
        <w:spacing w:line="500" w:lineRule="exact"/>
        <w:ind w:firstLine="566" w:firstLineChars="200"/>
        <w:rPr>
          <w:rFonts w:ascii="仿宋" w:hAnsi="仿宋" w:eastAsia="仿宋" w:cs="仿宋"/>
          <w:b/>
          <w:color w:val="auto"/>
          <w:highlight w:val="none"/>
        </w:rPr>
      </w:pPr>
      <w:r>
        <w:rPr>
          <w:rFonts w:hint="eastAsia" w:ascii="仿宋" w:hAnsi="仿宋" w:eastAsia="仿宋" w:cs="仿宋"/>
          <w:color w:val="auto"/>
          <w:highlight w:val="none"/>
        </w:rPr>
        <w:t>8、</w:t>
      </w:r>
      <w:r>
        <w:rPr>
          <w:rFonts w:hint="eastAsia" w:ascii="仿宋" w:hAnsi="仿宋" w:eastAsia="仿宋" w:cs="仿宋"/>
          <w:b/>
          <w:color w:val="auto"/>
          <w:highlight w:val="none"/>
        </w:rPr>
        <w:t>对捏造事实诬告陷害他人、诽谤他人的法律适用：</w:t>
      </w:r>
    </w:p>
    <w:p w14:paraId="52C43BE4">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《中华人民共和国刑法》第243条【诬告陷害罪】捏造事实诬告陷害他人，意图使他人受刑事追究，情节严重的，处三年以下有期徒刑、拘役或者管制；造成严重后果的，处三年以上十年以下有期徒刑。</w:t>
      </w:r>
    </w:p>
    <w:p w14:paraId="2FACAB9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《中华人民共和国刑法》第246条【侮辱罪、诽谤罪】以暴力或者其他方法公然侮辱他人或者捏造事实诽谤他人，情节严重的，处三年以下有期徒刑、拘役、管制或者剥夺政治权利。</w:t>
      </w:r>
    </w:p>
    <w:p w14:paraId="405E0D6E">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9、质疑函递交地址：陕西省公共资源交易中心交易受理处</w:t>
      </w:r>
    </w:p>
    <w:p w14:paraId="33F82370">
      <w:pPr>
        <w:spacing w:line="500" w:lineRule="exact"/>
        <w:ind w:firstLine="566" w:firstLineChars="200"/>
        <w:contextualSpacing/>
        <w:rPr>
          <w:rFonts w:hint="default" w:ascii="仿宋" w:hAnsi="仿宋" w:eastAsia="仿宋" w:cs="仿宋"/>
          <w:color w:val="auto"/>
          <w:highlight w:val="none"/>
          <w:lang w:val="en-US" w:eastAsia="zh-CN"/>
        </w:rPr>
      </w:pPr>
      <w:r>
        <w:rPr>
          <w:rFonts w:hint="eastAsia" w:ascii="仿宋" w:hAnsi="仿宋" w:eastAsia="仿宋" w:cs="仿宋"/>
          <w:color w:val="auto"/>
          <w:highlight w:val="none"/>
        </w:rPr>
        <w:t>联系电话：029-886612</w:t>
      </w:r>
      <w:r>
        <w:rPr>
          <w:rFonts w:hint="eastAsia" w:ascii="仿宋" w:hAnsi="仿宋" w:eastAsia="仿宋" w:cs="仿宋"/>
          <w:color w:val="auto"/>
          <w:highlight w:val="none"/>
          <w:lang w:eastAsia="zh-CN"/>
        </w:rPr>
        <w:t>4</w:t>
      </w:r>
      <w:r>
        <w:rPr>
          <w:rFonts w:hint="eastAsia" w:ascii="仿宋" w:hAnsi="仿宋" w:eastAsia="仿宋" w:cs="仿宋"/>
          <w:color w:val="auto"/>
          <w:highlight w:val="none"/>
          <w:lang w:val="en-US" w:eastAsia="zh-CN"/>
        </w:rPr>
        <w:t>8</w:t>
      </w:r>
    </w:p>
    <w:p w14:paraId="2A65E5B6">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投诉书递交地址：西安市莲湖区冰窖巷6号陕西省财政厅509室</w:t>
      </w:r>
    </w:p>
    <w:p w14:paraId="1996E8CA">
      <w:pPr>
        <w:spacing w:line="500" w:lineRule="exact"/>
        <w:ind w:firstLine="566" w:firstLineChars="200"/>
        <w:contextualSpacing/>
        <w:rPr>
          <w:rFonts w:ascii="仿宋" w:hAnsi="仿宋" w:eastAsia="仿宋" w:cs="仿宋"/>
          <w:color w:val="auto"/>
          <w:highlight w:val="none"/>
          <w:u w:val="single"/>
          <w:shd w:val="clear" w:color="auto" w:fill="FFC000"/>
        </w:rPr>
      </w:pPr>
      <w:r>
        <w:rPr>
          <w:rFonts w:hint="eastAsia" w:ascii="仿宋" w:hAnsi="仿宋" w:eastAsia="仿宋" w:cs="仿宋"/>
          <w:color w:val="auto"/>
          <w:highlight w:val="none"/>
        </w:rPr>
        <w:t>联系电话：029-68939222</w:t>
      </w:r>
    </w:p>
    <w:p w14:paraId="31BB0073">
      <w:pPr>
        <w:spacing w:line="500" w:lineRule="exact"/>
        <w:ind w:firstLine="566" w:firstLineChars="200"/>
        <w:rPr>
          <w:rFonts w:ascii="仿宋" w:hAnsi="仿宋" w:eastAsia="仿宋" w:cs="仿宋"/>
          <w:b/>
          <w:color w:val="auto"/>
          <w:highlight w:val="none"/>
        </w:rPr>
      </w:pPr>
      <w:r>
        <w:rPr>
          <w:rFonts w:hint="eastAsia" w:ascii="仿宋" w:hAnsi="仿宋" w:eastAsia="仿宋" w:cs="仿宋"/>
          <w:b/>
          <w:color w:val="auto"/>
          <w:highlight w:val="none"/>
        </w:rPr>
        <w:t>（四）关于信用记录的查询和使用</w:t>
      </w:r>
    </w:p>
    <w:p w14:paraId="0E4E208D">
      <w:pPr>
        <w:wordWrap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1、谈判小组将在资格审查阶段通过【</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"http://www.creditchina.gov.cn/" </w:instrText>
      </w:r>
      <w:r>
        <w:rPr>
          <w:rFonts w:hint="eastAsia" w:ascii="仿宋" w:hAnsi="仿宋" w:eastAsia="仿宋" w:cs="仿宋"/>
          <w:color w:val="auto"/>
          <w:highlight w:val="none"/>
        </w:rPr>
        <w:fldChar w:fldCharType="separate"/>
      </w:r>
      <w:r>
        <w:rPr>
          <w:rStyle w:val="39"/>
          <w:rFonts w:hint="eastAsia" w:ascii="仿宋" w:hAnsi="仿宋" w:eastAsia="仿宋" w:cs="仿宋"/>
          <w:color w:val="auto"/>
          <w:sz w:val="28"/>
          <w:szCs w:val="28"/>
          <w:highlight w:val="none"/>
        </w:rPr>
        <w:t>信用中国</w:t>
      </w:r>
      <w:r>
        <w:rPr>
          <w:rStyle w:val="39"/>
          <w:rFonts w:hint="eastAsia" w:ascii="仿宋" w:hAnsi="仿宋" w:eastAsia="仿宋" w:cs="仿宋"/>
          <w:color w:val="auto"/>
          <w:sz w:val="28"/>
          <w:szCs w:val="28"/>
          <w:highlight w:val="none"/>
        </w:rPr>
        <w:fldChar w:fldCharType="end"/>
      </w:r>
      <w:r>
        <w:rPr>
          <w:rFonts w:hint="eastAsia" w:ascii="仿宋" w:hAnsi="仿宋" w:eastAsia="仿宋" w:cs="仿宋"/>
          <w:color w:val="auto"/>
          <w:highlight w:val="none"/>
        </w:rPr>
        <w:t>（www.creditchina.gov.cn）】、【</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"http://www.ccgp.gov.cn/cr/list" </w:instrText>
      </w:r>
      <w:r>
        <w:rPr>
          <w:rFonts w:hint="eastAsia" w:ascii="仿宋" w:hAnsi="仿宋" w:eastAsia="仿宋" w:cs="仿宋"/>
          <w:color w:val="auto"/>
          <w:highlight w:val="none"/>
        </w:rPr>
        <w:fldChar w:fldCharType="separate"/>
      </w:r>
      <w:r>
        <w:rPr>
          <w:rStyle w:val="39"/>
          <w:rFonts w:hint="eastAsia" w:ascii="仿宋" w:hAnsi="仿宋" w:eastAsia="仿宋" w:cs="仿宋"/>
          <w:color w:val="auto"/>
          <w:sz w:val="28"/>
          <w:szCs w:val="28"/>
          <w:highlight w:val="none"/>
        </w:rPr>
        <w:t>中国政府采购网</w:t>
      </w:r>
      <w:r>
        <w:rPr>
          <w:rStyle w:val="39"/>
          <w:rFonts w:hint="eastAsia" w:ascii="仿宋" w:hAnsi="仿宋" w:eastAsia="仿宋" w:cs="仿宋"/>
          <w:color w:val="auto"/>
          <w:sz w:val="28"/>
          <w:szCs w:val="28"/>
          <w:highlight w:val="none"/>
        </w:rPr>
        <w:fldChar w:fldCharType="end"/>
      </w:r>
      <w:r>
        <w:rPr>
          <w:rFonts w:hint="eastAsia" w:ascii="仿宋" w:hAnsi="仿宋" w:eastAsia="仿宋" w:cs="仿宋"/>
          <w:color w:val="auto"/>
          <w:highlight w:val="none"/>
        </w:rPr>
        <w:t>（www.ccgp.gov.cn）】网站对响应文件中的《供应商信用记录书面声明函》的信用情况进行甄别。对列入失信被执行人、重大税收违法案件当事人名单、政府采购严重违法失信行为记录名单及其他不符合《中华人民共和国政府采购法》第二十二条规定条件的供应商，根据《关于在政府采购活动中查询及使用信用记录有关问题的通知》（财库〔2016〕125号）的第二条第（三）款规定，其谈判或成交资格将被取消。</w:t>
      </w:r>
    </w:p>
    <w:p w14:paraId="04C2AA2B">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2、供应商在参加政府采购活动前3年内因违法经营被禁止在一定期限内参加政府采购活动，期限届满的，可以参加政府采购活动的，但供应商应提供相关证明材料。</w:t>
      </w:r>
    </w:p>
    <w:p w14:paraId="2811F08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供应商信用记录及企业基本信息查询的时间段为“谈判公告发布之日（含当日）至提交响应文件截止之日（含当日）”。信用记录查询的结果，可以纸质截图或将截图保存至电子介质的形式留存。供应商未如实填报《供应商信用记录书面声明函》的，视为“供应商提供虚假材料谋取中标、成交的”行为。</w:t>
      </w:r>
    </w:p>
    <w:p w14:paraId="200CAFC0">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4、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76901F99">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（五）落实的政府采购政策</w:t>
      </w:r>
    </w:p>
    <w:p w14:paraId="4955A8A3">
      <w:pPr>
        <w:spacing w:line="500" w:lineRule="exact"/>
        <w:ind w:firstLine="566" w:firstLineChars="200"/>
        <w:rPr>
          <w:rFonts w:ascii="仿宋" w:hAnsi="仿宋" w:eastAsia="仿宋" w:cs="仿宋"/>
          <w:color w:val="auto"/>
          <w:highlight w:val="none"/>
        </w:rPr>
      </w:pPr>
      <w:bookmarkStart w:id="64" w:name="_Toc17246"/>
      <w:bookmarkStart w:id="65" w:name="_Toc16182"/>
      <w:bookmarkStart w:id="66" w:name="_Toc18056"/>
      <w:r>
        <w:rPr>
          <w:rFonts w:hint="eastAsia" w:ascii="仿宋" w:hAnsi="仿宋" w:eastAsia="仿宋" w:cs="仿宋"/>
          <w:color w:val="auto"/>
          <w:highlight w:val="none"/>
        </w:rPr>
        <w:t>1、根据《政府采购促进中小企业发展管理办法》（财库〔2020〕46号）的有关规定，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则参与政府采购活动时，享受中小企业扶持政策。</w:t>
      </w:r>
    </w:p>
    <w:p w14:paraId="680A8B5A">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在货物采购项目中，供应商提供的货物既有中小企业制造货物，也有大型企业制造货物的，不享受本办法规定的中小企业扶持政策。</w:t>
      </w:r>
    </w:p>
    <w:p w14:paraId="74B6C921">
      <w:pPr>
        <w:spacing w:line="500" w:lineRule="exact"/>
        <w:ind w:firstLine="566" w:firstLineChars="200"/>
        <w:rPr>
          <w:rFonts w:ascii="仿宋" w:hAnsi="仿宋" w:eastAsia="仿宋" w:cs="仿宋"/>
          <w:b/>
          <w:bCs/>
          <w:color w:val="auto"/>
          <w:highlight w:val="none"/>
        </w:rPr>
      </w:pPr>
      <w:r>
        <w:rPr>
          <w:rFonts w:hint="eastAsia" w:ascii="仿宋" w:hAnsi="仿宋" w:eastAsia="仿宋" w:cs="仿宋"/>
          <w:color w:val="auto"/>
          <w:highlight w:val="none"/>
        </w:rPr>
        <w:t>接受大中型企业与小微企业组成联合体或者允许大中型企业向一家或者多家小微企业分包的采购项目，对于联合协议或者分包意向协议约定小微企业的合同份额占到合同总金额30%以上的，货物和服务项目可给予联合体或者大中型企业的报价2%-3%的扣除，工程项目为1%-2%的扣除。联合体各方均为小型、微型企业的，联合体视同为小型、微型企业。组成联合体或者接受分包的小微企业与联合体内其他企业、分包企业之间存在直接控股、管理关系的，不享受价格扣除优惠政策。</w:t>
      </w:r>
    </w:p>
    <w:p w14:paraId="5803C080">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根据《关于进一步加大政府采购支持中小企业力度的通知》（财库〔2022〕19号）的有关规定，货物服务采购项目给予小微企业的价格扣除优惠，由财库〔2020〕46号文件规定的6%-10%提高至10%-20%。大中型企业与小微企业组成联合体或者大中型企业向小微企业分包的，评审优惠幅度由2%-3%提高至4%-6%。政府采购工程的价格评审优惠按照财库〔2020〕46号文件的规定执行。</w:t>
      </w:r>
    </w:p>
    <w:p w14:paraId="44B1FBE9">
      <w:pPr>
        <w:widowControl/>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参加政府采购活动的中小企业应提供《中小企业声明函》原件。未提供上述声明函原件的，则投标文件无效。</w:t>
      </w:r>
    </w:p>
    <w:p w14:paraId="09C31AE6">
      <w:pPr>
        <w:pStyle w:val="8"/>
        <w:ind w:firstLine="426" w:firstLineChars="200"/>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备注：中小企业划分标准参照《中小企业划型标准规定》（工信部联企业〔2011〕300号）执行。</w:t>
      </w:r>
    </w:p>
    <w:p w14:paraId="06D1B1BB">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lang w:val="zh-CN"/>
        </w:rPr>
        <w:t>监狱企业应符合《财政部</w:t>
      </w:r>
      <w:r>
        <w:rPr>
          <w:rFonts w:hint="eastAsia" w:ascii="仿宋" w:hAnsi="仿宋" w:eastAsia="仿宋" w:cs="仿宋"/>
          <w:color w:val="auto"/>
          <w:highlight w:val="none"/>
        </w:rPr>
        <w:t xml:space="preserve"> 司法部关于政府采购支持监狱企业发展有关问题的通知》（财库〔2014〕68号）文件规定</w:t>
      </w:r>
      <w:r>
        <w:rPr>
          <w:rFonts w:hint="eastAsia" w:ascii="仿宋" w:hAnsi="仿宋" w:eastAsia="仿宋" w:cs="仿宋"/>
          <w:color w:val="auto"/>
          <w:highlight w:val="none"/>
          <w:lang w:val="zh-CN"/>
        </w:rPr>
        <w:t>，并提供由省级以上监狱管理局、戒毒管理局(含新疆生产建设兵团)出具的属于</w:t>
      </w:r>
      <w:r>
        <w:rPr>
          <w:rFonts w:hint="eastAsia" w:ascii="仿宋" w:hAnsi="仿宋" w:eastAsia="仿宋" w:cs="仿宋"/>
          <w:b/>
          <w:bCs/>
          <w:color w:val="auto"/>
          <w:highlight w:val="none"/>
          <w:lang w:val="zh-CN"/>
        </w:rPr>
        <w:t>监狱企业的证明文件</w:t>
      </w:r>
      <w:r>
        <w:rPr>
          <w:rFonts w:hint="eastAsia" w:ascii="仿宋" w:hAnsi="仿宋" w:eastAsia="仿宋" w:cs="仿宋"/>
          <w:color w:val="auto"/>
          <w:highlight w:val="none"/>
          <w:lang w:val="zh-CN"/>
        </w:rPr>
        <w:t>复印件，监狱和戒毒企业</w:t>
      </w:r>
      <w:r>
        <w:rPr>
          <w:rFonts w:hint="eastAsia" w:ascii="仿宋" w:hAnsi="仿宋" w:eastAsia="仿宋" w:cs="仿宋"/>
          <w:color w:val="auto"/>
          <w:highlight w:val="none"/>
        </w:rPr>
        <w:t>视同小型、微型企业。</w:t>
      </w:r>
    </w:p>
    <w:p w14:paraId="40C99D0B">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507A8833">
      <w:pPr>
        <w:widowControl w:val="0"/>
        <w:spacing w:line="500" w:lineRule="exact"/>
        <w:ind w:firstLine="566" w:firstLineChars="200"/>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参加政府采购活动的残疾人单位应提供《残疾人福利性单位声明函》原件。未提供上述声明函原件，则投标文件无效。</w:t>
      </w:r>
    </w:p>
    <w:p w14:paraId="72B44858">
      <w:pPr>
        <w:pStyle w:val="18"/>
        <w:shd w:val="clear"/>
        <w:spacing w:line="500" w:lineRule="exact"/>
        <w:ind w:firstLine="566" w:firstLineChars="200"/>
        <w:jc w:val="both"/>
        <w:rPr>
          <w:rFonts w:hint="default" w:ascii="仿宋" w:hAnsi="仿宋" w:eastAsia="仿宋" w:cs="仿宋"/>
          <w:color w:val="000000" w:themeColor="text1"/>
          <w:kern w:val="2"/>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2"/>
          <w:sz w:val="28"/>
          <w:szCs w:val="28"/>
          <w:highlight w:val="none"/>
          <w:lang w:val="en-US" w:eastAsia="zh-CN"/>
          <w14:textFill>
            <w14:solidFill>
              <w14:schemeClr w14:val="tx1"/>
            </w14:solidFill>
          </w14:textFill>
        </w:rPr>
        <w:t>4、根据国务院办公厅《关于在政府采购中实施本国产品标准及相关政策的通知》（国办发〔2025〕34号）以及财政部 工业和信息化部关于贯彻落实《国务院办公厅关于在政府采购中实施本国产品标准及相关政策的通知》的意见（财库〔2025〕30号）有关要求，明确要求供应商对其提供的产品出具《关于符合本国产品标准的声明函》，对出具符合要求的《声明函》的本国产品的报价给予20%的价格扣除，用扣除后的价格参与评审。</w:t>
      </w:r>
    </w:p>
    <w:p w14:paraId="1AEEB4F7">
      <w:pPr>
        <w:shd w:val="clear"/>
        <w:spacing w:afterLines="0" w:line="500" w:lineRule="exact"/>
        <w:ind w:firstLine="566" w:firstLineChars="200"/>
        <w:rPr>
          <w:rFonts w:hint="eastAsia" w:ascii="仿宋" w:hAnsi="仿宋" w:eastAsia="仿宋" w:cs="仿宋"/>
          <w:color w:val="000000" w:themeColor="text1"/>
          <w:sz w:val="28"/>
          <w:szCs w:val="28"/>
          <w:highlight w:val="none"/>
          <w:u w:val="none"/>
          <w:lang w:eastAsia="zh-CN"/>
          <w14:textFill>
            <w14:solidFill>
              <w14:schemeClr w14:val="tx1"/>
            </w14:solidFill>
          </w14:textFill>
        </w:rPr>
      </w:pPr>
      <w:r>
        <w:rPr>
          <w:rFonts w:hint="eastAsia" w:ascii="仿宋" w:hAnsi="仿宋" w:eastAsia="仿宋" w:cs="仿宋"/>
          <w:color w:val="000000" w:themeColor="text1"/>
          <w:sz w:val="28"/>
          <w:szCs w:val="28"/>
          <w:highlight w:val="none"/>
          <w:u w:val="none"/>
          <w:lang w:eastAsia="zh-CN"/>
          <w14:textFill>
            <w14:solidFill>
              <w14:schemeClr w14:val="tx1"/>
            </w14:solidFill>
          </w14:textFill>
        </w:rPr>
        <w:t>政府采购活动中</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w:t>
      </w:r>
      <w:r>
        <w:rPr>
          <w:rFonts w:hint="eastAsia" w:ascii="仿宋" w:hAnsi="仿宋" w:eastAsia="仿宋" w:cs="仿宋"/>
          <w:color w:val="000000" w:themeColor="text1"/>
          <w:sz w:val="28"/>
          <w:szCs w:val="28"/>
          <w:highlight w:val="none"/>
          <w:u w:val="none"/>
          <w:lang w:eastAsia="zh-CN"/>
          <w14:textFill>
            <w14:solidFill>
              <w14:schemeClr w14:val="tx1"/>
            </w14:solidFill>
          </w14:textFill>
        </w:rPr>
        <w:t>既有本国产品又有非本国产品参与竞争的，依法对本国产品给予价格评审优惠，对本国产品的报价给予20%的价格扣除，用扣除后的价格参与评审。当采购项目或者</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标段</w:t>
      </w:r>
      <w:r>
        <w:rPr>
          <w:rFonts w:hint="eastAsia" w:ascii="仿宋" w:hAnsi="仿宋" w:eastAsia="仿宋" w:cs="仿宋"/>
          <w:color w:val="000000" w:themeColor="text1"/>
          <w:sz w:val="28"/>
          <w:szCs w:val="28"/>
          <w:highlight w:val="none"/>
          <w:u w:val="none"/>
          <w:lang w:eastAsia="zh-CN"/>
          <w14:textFill>
            <w14:solidFill>
              <w14:schemeClr w14:val="tx1"/>
            </w14:solidFill>
          </w14:textFill>
        </w:rPr>
        <w:t>中含有多种产品，供应商为该采购项目或者</w:t>
      </w:r>
      <w:r>
        <w:rPr>
          <w:rFonts w:hint="eastAsia" w:ascii="仿宋" w:hAnsi="仿宋" w:eastAsia="仿宋" w:cs="仿宋"/>
          <w:color w:val="000000" w:themeColor="text1"/>
          <w:sz w:val="28"/>
          <w:szCs w:val="28"/>
          <w:highlight w:val="none"/>
          <w:u w:val="none"/>
          <w:lang w:val="en-US" w:eastAsia="zh-CN"/>
          <w14:textFill>
            <w14:solidFill>
              <w14:schemeClr w14:val="tx1"/>
            </w14:solidFill>
          </w14:textFill>
        </w:rPr>
        <w:t>标段中</w:t>
      </w:r>
      <w:r>
        <w:rPr>
          <w:rFonts w:hint="eastAsia" w:ascii="仿宋" w:hAnsi="仿宋" w:eastAsia="仿宋" w:cs="仿宋"/>
          <w:color w:val="000000" w:themeColor="text1"/>
          <w:sz w:val="28"/>
          <w:szCs w:val="28"/>
          <w:highlight w:val="none"/>
          <w:u w:val="none"/>
          <w:lang w:eastAsia="zh-CN"/>
          <w14:textFill>
            <w14:solidFill>
              <w14:schemeClr w14:val="tx1"/>
            </w14:solidFill>
          </w14:textFill>
        </w:rPr>
        <w:t>提供的符合本国产品标准的产品成本之和占该供应商提供的全部产品成本之和的比例达到80%及以上时，依法对该供应商提供的全部产品给予价格评审优惠，即对该供应商提供的全部产品的总报价给予20%的价格扣除，用扣除后的价格参与评审。未达到80%的，不享受价格评审优惠。</w:t>
      </w:r>
    </w:p>
    <w:p w14:paraId="0E12595A">
      <w:pPr>
        <w:spacing w:afterLines="0"/>
        <w:ind w:firstLine="426" w:firstLineChars="200"/>
        <w:rPr>
          <w:rFonts w:hint="eastAsia" w:ascii="宋体" w:hAnsi="宋体" w:eastAsia="宋体" w:cs="宋体"/>
        </w:rPr>
      </w:pPr>
      <w:r>
        <w:rPr>
          <w:rFonts w:hint="eastAsia" w:ascii="宋体" w:hAnsi="宋体" w:eastAsia="宋体" w:cs="宋体"/>
          <w:color w:val="000000" w:themeColor="text1"/>
          <w:sz w:val="21"/>
          <w:szCs w:val="21"/>
          <w:highlight w:val="none"/>
          <w:u w:val="none"/>
          <w:lang w:eastAsia="zh-CN"/>
          <w14:textFill>
            <w14:solidFill>
              <w14:schemeClr w14:val="tx1"/>
            </w14:solidFill>
          </w14:textFill>
        </w:rPr>
        <w:t>备注：</w:t>
      </w:r>
      <w:r>
        <w:rPr>
          <w:rFonts w:hint="eastAsia" w:ascii="宋体" w:hAnsi="宋体" w:eastAsia="宋体" w:cs="宋体"/>
          <w:color w:val="000000" w:themeColor="text1"/>
          <w:sz w:val="21"/>
          <w:szCs w:val="21"/>
          <w:highlight w:val="none"/>
          <w:u w:val="none"/>
          <w14:textFill>
            <w14:solidFill>
              <w14:schemeClr w14:val="tx1"/>
            </w14:solidFill>
          </w14:textFill>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1C8743D1">
      <w:pPr>
        <w:pStyle w:val="18"/>
        <w:spacing w:line="500" w:lineRule="exact"/>
        <w:ind w:firstLine="566" w:firstLineChars="200"/>
        <w:rPr>
          <w:rFonts w:ascii="仿宋" w:hAnsi="仿宋" w:eastAsia="仿宋" w:cs="仿宋"/>
          <w:color w:val="auto"/>
          <w:sz w:val="28"/>
          <w:highlight w:val="none"/>
        </w:rPr>
      </w:pPr>
      <w:r>
        <w:rPr>
          <w:rFonts w:hint="eastAsia" w:ascii="仿宋" w:hAnsi="仿宋" w:eastAsia="仿宋" w:cs="仿宋"/>
          <w:color w:val="auto"/>
          <w:sz w:val="28"/>
          <w:szCs w:val="28"/>
          <w:highlight w:val="none"/>
          <w:lang w:val="en-US" w:eastAsia="zh-CN"/>
        </w:rPr>
        <w:t>5</w:t>
      </w:r>
      <w:r>
        <w:rPr>
          <w:rFonts w:hint="eastAsia" w:ascii="仿宋" w:hAnsi="仿宋" w:eastAsia="仿宋" w:cs="仿宋"/>
          <w:color w:val="auto"/>
          <w:sz w:val="28"/>
          <w:szCs w:val="28"/>
          <w:highlight w:val="none"/>
        </w:rPr>
        <w:t>、根据财政部、国家发改委、生态环境部、市场监管总局联合印发《关于调整优化节能产品、环境标志产品政府采购执行机制的通知》（财库</w:t>
      </w:r>
      <w:r>
        <w:rPr>
          <w:rFonts w:hint="eastAsia" w:ascii="仿宋" w:hAnsi="仿宋" w:eastAsia="仿宋" w:cs="仿宋"/>
          <w:color w:val="auto"/>
          <w:kern w:val="2"/>
          <w:sz w:val="28"/>
          <w:szCs w:val="28"/>
          <w:highlight w:val="none"/>
        </w:rPr>
        <w:t>〔2019〕9</w:t>
      </w:r>
      <w:r>
        <w:rPr>
          <w:rFonts w:hint="eastAsia" w:ascii="仿宋" w:hAnsi="仿宋" w:eastAsia="仿宋" w:cs="仿宋"/>
          <w:color w:val="auto"/>
          <w:sz w:val="28"/>
          <w:szCs w:val="28"/>
          <w:highlight w:val="none"/>
        </w:rPr>
        <w:t>号）有关要求，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68E2960E">
      <w:pPr>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lang w:val="en-US" w:eastAsia="zh-CN"/>
        </w:rPr>
        <w:t>6</w:t>
      </w:r>
      <w:r>
        <w:rPr>
          <w:rFonts w:hint="eastAsia" w:ascii="仿宋" w:hAnsi="仿宋" w:eastAsia="仿宋" w:cs="仿宋"/>
          <w:color w:val="auto"/>
          <w:kern w:val="0"/>
          <w:highlight w:val="none"/>
        </w:rPr>
        <w:t>、根据国务院办公厅《关于建立政府强制采购节能产品制度的通知》（国办发</w:t>
      </w:r>
      <w:r>
        <w:rPr>
          <w:rFonts w:hint="eastAsia" w:ascii="仿宋" w:hAnsi="仿宋" w:eastAsia="仿宋" w:cs="仿宋"/>
          <w:color w:val="auto"/>
          <w:highlight w:val="none"/>
        </w:rPr>
        <w:t>〔2007〕51</w:t>
      </w:r>
      <w:r>
        <w:rPr>
          <w:rFonts w:hint="eastAsia" w:ascii="仿宋" w:hAnsi="仿宋" w:eastAsia="仿宋" w:cs="仿宋"/>
          <w:color w:val="auto"/>
          <w:kern w:val="0"/>
          <w:highlight w:val="none"/>
        </w:rPr>
        <w:t>号）有关要求，采购人需购买的产品属于政府强制采购节能产品范围应当在清单之内采购。节能清单中无对应细化分类且节能清单中的产品确实无法满足工作需要的，允许在节能清单之外采购。</w:t>
      </w:r>
    </w:p>
    <w:p w14:paraId="72E714E0">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lang w:val="en-US" w:eastAsia="zh-CN"/>
        </w:rPr>
        <w:t>7</w:t>
      </w:r>
      <w:r>
        <w:rPr>
          <w:rFonts w:hint="eastAsia" w:ascii="仿宋" w:hAnsi="仿宋" w:eastAsia="仿宋" w:cs="仿宋"/>
          <w:color w:val="auto"/>
          <w:kern w:val="0"/>
          <w:highlight w:val="none"/>
        </w:rPr>
        <w:t>、节能产品政府采购品目清单详见财政部、发展改革委《关于印发节能产品政府采购品目清单的通知》（财库</w:t>
      </w:r>
      <w:r>
        <w:rPr>
          <w:rFonts w:hint="eastAsia" w:ascii="仿宋" w:hAnsi="仿宋" w:eastAsia="仿宋" w:cs="仿宋"/>
          <w:color w:val="auto"/>
          <w:highlight w:val="none"/>
        </w:rPr>
        <w:t>〔2019〕19</w:t>
      </w:r>
      <w:r>
        <w:rPr>
          <w:rFonts w:hint="eastAsia" w:ascii="仿宋" w:hAnsi="仿宋" w:eastAsia="仿宋" w:cs="仿宋"/>
          <w:color w:val="auto"/>
          <w:kern w:val="0"/>
          <w:highlight w:val="none"/>
        </w:rPr>
        <w:t>号）。</w:t>
      </w:r>
    </w:p>
    <w:p w14:paraId="0FB268A7">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lang w:val="en-US" w:eastAsia="zh-CN"/>
        </w:rPr>
        <w:t>8</w:t>
      </w:r>
      <w:r>
        <w:rPr>
          <w:rFonts w:hint="eastAsia" w:ascii="仿宋" w:hAnsi="仿宋" w:eastAsia="仿宋" w:cs="仿宋"/>
          <w:color w:val="auto"/>
          <w:kern w:val="0"/>
          <w:highlight w:val="none"/>
        </w:rPr>
        <w:t>、环境标志产品政府采购品目清单详见财政部、生态环境部《关于印发环境标志产品政府采购品目清单的通知》（财库</w:t>
      </w:r>
      <w:r>
        <w:rPr>
          <w:rFonts w:hint="eastAsia" w:ascii="仿宋" w:hAnsi="仿宋" w:eastAsia="仿宋" w:cs="仿宋"/>
          <w:color w:val="auto"/>
          <w:highlight w:val="none"/>
        </w:rPr>
        <w:t>〔2019〕18</w:t>
      </w:r>
      <w:r>
        <w:rPr>
          <w:rFonts w:hint="eastAsia" w:ascii="仿宋" w:hAnsi="仿宋" w:eastAsia="仿宋" w:cs="仿宋"/>
          <w:color w:val="auto"/>
          <w:kern w:val="0"/>
          <w:highlight w:val="none"/>
        </w:rPr>
        <w:t>号）。</w:t>
      </w:r>
    </w:p>
    <w:p w14:paraId="4B27861C">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lang w:val="en-US" w:eastAsia="zh-CN"/>
        </w:rPr>
        <w:t>9</w:t>
      </w:r>
      <w:r>
        <w:rPr>
          <w:rFonts w:hint="eastAsia" w:ascii="仿宋" w:hAnsi="仿宋" w:eastAsia="仿宋" w:cs="仿宋"/>
          <w:color w:val="auto"/>
          <w:kern w:val="0"/>
          <w:highlight w:val="none"/>
        </w:rPr>
        <w:t>、国家确定的节能产品、环境标志产品认证机构详见市场监管总局《关于发布参与实施政府采购节能产品、环境标志产品认证机构名录的公告》（</w:t>
      </w:r>
      <w:r>
        <w:rPr>
          <w:rFonts w:hint="eastAsia" w:ascii="仿宋" w:hAnsi="仿宋" w:eastAsia="仿宋" w:cs="仿宋"/>
          <w:color w:val="auto"/>
          <w:highlight w:val="none"/>
        </w:rPr>
        <w:t>2019</w:t>
      </w:r>
      <w:r>
        <w:rPr>
          <w:rFonts w:hint="eastAsia" w:ascii="仿宋" w:hAnsi="仿宋" w:eastAsia="仿宋" w:cs="仿宋"/>
          <w:color w:val="auto"/>
          <w:kern w:val="0"/>
          <w:highlight w:val="none"/>
        </w:rPr>
        <w:t>年第</w:t>
      </w:r>
      <w:r>
        <w:rPr>
          <w:rFonts w:hint="eastAsia" w:ascii="仿宋" w:hAnsi="仿宋" w:eastAsia="仿宋" w:cs="仿宋"/>
          <w:color w:val="auto"/>
          <w:highlight w:val="none"/>
        </w:rPr>
        <w:t>16</w:t>
      </w:r>
      <w:r>
        <w:rPr>
          <w:rFonts w:hint="eastAsia" w:ascii="仿宋" w:hAnsi="仿宋" w:eastAsia="仿宋" w:cs="仿宋"/>
          <w:color w:val="auto"/>
          <w:kern w:val="0"/>
          <w:highlight w:val="none"/>
        </w:rPr>
        <w:t>号）。</w:t>
      </w:r>
    </w:p>
    <w:p w14:paraId="58BA73A6">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lang w:val="en-US" w:eastAsia="zh-CN"/>
        </w:rPr>
        <w:t>10</w:t>
      </w:r>
      <w:r>
        <w:rPr>
          <w:rFonts w:hint="eastAsia" w:ascii="仿宋" w:hAnsi="仿宋" w:eastAsia="仿宋" w:cs="仿宋"/>
          <w:color w:val="auto"/>
          <w:kern w:val="0"/>
          <w:highlight w:val="none"/>
        </w:rPr>
        <w:t>、根据《财政部 农业农村部 国家乡村振兴局关于运用政府采购政策支持乡村产业振兴的通知》（财库〔2021〕19号），自2021年起，各级预算单位应当按照不低于10%的比例预留年度食堂食材采购份额，通过脱贫地区农副产品网络销售平台采购脱贫地区农副产品。</w:t>
      </w:r>
    </w:p>
    <w:p w14:paraId="34FD4812">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rPr>
        <w:t>1</w:t>
      </w:r>
      <w:r>
        <w:rPr>
          <w:rFonts w:hint="eastAsia" w:ascii="仿宋" w:hAnsi="仿宋" w:eastAsia="仿宋" w:cs="仿宋"/>
          <w:color w:val="auto"/>
          <w:kern w:val="0"/>
          <w:highlight w:val="none"/>
          <w:lang w:val="en-US" w:eastAsia="zh-CN"/>
        </w:rPr>
        <w:t>1</w:t>
      </w:r>
      <w:r>
        <w:rPr>
          <w:rFonts w:hint="eastAsia" w:ascii="仿宋" w:hAnsi="仿宋" w:eastAsia="仿宋" w:cs="仿宋"/>
          <w:color w:val="auto"/>
          <w:kern w:val="0"/>
          <w:highlight w:val="none"/>
        </w:rPr>
        <w:t>、根据《财政部 农业农村部 国家乡村振兴局 中华全国供销合作总社关于印发&lt;关于深入开展政府采购脱贫地区农副产品工作推进乡村产业振兴的实施意见&gt;的通知》（财库〔2021〕20号），各级预算单位要按照不低于10%的预留比例在“832平台”填报预留份额。鼓励各级预算单位工会组织通过“832平台”采购工会福利、慰问品等，有关采购金额计入本单位年度采购总额。</w:t>
      </w:r>
    </w:p>
    <w:p w14:paraId="38F8D809">
      <w:pPr>
        <w:pStyle w:val="8"/>
        <w:spacing w:line="500" w:lineRule="exact"/>
        <w:ind w:firstLine="566" w:firstLineChars="200"/>
        <w:rPr>
          <w:rFonts w:ascii="仿宋" w:hAnsi="仿宋" w:eastAsia="仿宋" w:cs="仿宋"/>
          <w:color w:val="auto"/>
          <w:kern w:val="0"/>
          <w:highlight w:val="none"/>
        </w:rPr>
      </w:pPr>
      <w:r>
        <w:rPr>
          <w:rFonts w:hint="eastAsia" w:ascii="仿宋" w:hAnsi="仿宋" w:eastAsia="仿宋" w:cs="仿宋"/>
          <w:color w:val="auto"/>
          <w:kern w:val="0"/>
          <w:highlight w:val="none"/>
        </w:rPr>
        <w:t>1</w:t>
      </w:r>
      <w:r>
        <w:rPr>
          <w:rFonts w:hint="eastAsia" w:ascii="仿宋" w:hAnsi="仿宋" w:eastAsia="仿宋" w:cs="仿宋"/>
          <w:color w:val="auto"/>
          <w:kern w:val="0"/>
          <w:highlight w:val="none"/>
          <w:lang w:val="en-US" w:eastAsia="zh-CN"/>
        </w:rPr>
        <w:t>2</w:t>
      </w:r>
      <w:r>
        <w:rPr>
          <w:rFonts w:hint="eastAsia" w:ascii="仿宋" w:hAnsi="仿宋" w:eastAsia="仿宋" w:cs="仿宋"/>
          <w:color w:val="auto"/>
          <w:kern w:val="0"/>
          <w:highlight w:val="none"/>
        </w:rPr>
        <w:t>、根据《陕西省财政厅关于加快推进我省中小企业政府采购信用融资工作的通知》（陕财办采〔2020〕15号）规定“有融资需求的供应商可根据自身情况，在陕西省政府采购信用融资平台（含各市分平台）自主选择金融机构及其融资产品，凭政府采购中标（成交）通知书或政府采购合同向金融机构提出融资申请。”</w:t>
      </w:r>
    </w:p>
    <w:p w14:paraId="5F3F7EAD">
      <w:pPr>
        <w:pStyle w:val="8"/>
        <w:wordWrap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kern w:val="0"/>
          <w:highlight w:val="none"/>
        </w:rPr>
        <w:t>1</w:t>
      </w:r>
      <w:r>
        <w:rPr>
          <w:rFonts w:hint="eastAsia" w:ascii="仿宋" w:hAnsi="仿宋" w:eastAsia="仿宋" w:cs="仿宋"/>
          <w:color w:val="auto"/>
          <w:kern w:val="0"/>
          <w:highlight w:val="none"/>
          <w:lang w:eastAsia="zh-CN"/>
        </w:rPr>
        <w:t>3</w:t>
      </w:r>
      <w:r>
        <w:rPr>
          <w:rFonts w:hint="eastAsia" w:ascii="仿宋" w:hAnsi="仿宋" w:eastAsia="仿宋" w:cs="仿宋"/>
          <w:color w:val="auto"/>
          <w:kern w:val="0"/>
          <w:highlight w:val="none"/>
        </w:rPr>
        <w:t>、根据陕西省财政厅关于印发《陕西省中小企业政府采购信用融资办法》（陕财办采</w:t>
      </w:r>
      <w:r>
        <w:rPr>
          <w:rFonts w:hint="eastAsia" w:ascii="仿宋" w:hAnsi="仿宋" w:eastAsia="仿宋" w:cs="仿宋"/>
          <w:color w:val="auto"/>
          <w:highlight w:val="none"/>
        </w:rPr>
        <w:t>〔2018〕23</w:t>
      </w:r>
      <w:r>
        <w:rPr>
          <w:rFonts w:hint="eastAsia" w:ascii="仿宋" w:hAnsi="仿宋" w:eastAsia="仿宋" w:cs="仿宋"/>
          <w:color w:val="auto"/>
          <w:kern w:val="0"/>
          <w:highlight w:val="none"/>
        </w:rPr>
        <w:t>号）规定“</w:t>
      </w:r>
      <w:r>
        <w:rPr>
          <w:rFonts w:hint="eastAsia" w:ascii="仿宋" w:hAnsi="仿宋" w:eastAsia="仿宋" w:cs="仿宋"/>
          <w:color w:val="auto"/>
          <w:highlight w:val="none"/>
        </w:rPr>
        <w:t>中小企业可根据各银行提供的方案，自行选择符合自身情况的金融产品，并根据方案中列明的联系方式和要求向相关银行提出信用融资申请。银行根据中小企业的申请开展尽职调查，合理确定融资授信额度。中小企业获得政府采购合同后，凭政府采购合同向银行提出融资申请。</w:t>
      </w:r>
      <w:r>
        <w:rPr>
          <w:rFonts w:hint="eastAsia" w:ascii="仿宋" w:hAnsi="仿宋" w:eastAsia="仿宋" w:cs="仿宋"/>
          <w:color w:val="auto"/>
          <w:kern w:val="0"/>
          <w:highlight w:val="none"/>
        </w:rPr>
        <w:t>”（</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"http://www.ccgp-shaanxi.gov.cn/zcdservice/zcd/shanxi/" </w:instrText>
      </w:r>
      <w:r>
        <w:rPr>
          <w:rFonts w:hint="eastAsia" w:ascii="仿宋" w:hAnsi="仿宋" w:eastAsia="仿宋" w:cs="仿宋"/>
          <w:color w:val="auto"/>
          <w:highlight w:val="none"/>
        </w:rPr>
        <w:fldChar w:fldCharType="separate"/>
      </w:r>
      <w:r>
        <w:rPr>
          <w:rFonts w:hint="eastAsia" w:ascii="仿宋" w:hAnsi="仿宋" w:eastAsia="仿宋" w:cs="仿宋"/>
          <w:color w:val="auto"/>
          <w:kern w:val="0"/>
          <w:highlight w:val="none"/>
        </w:rPr>
        <w:t>陕西省政府采购信用融资平台</w:t>
      </w:r>
      <w:r>
        <w:rPr>
          <w:rFonts w:hint="eastAsia" w:ascii="仿宋" w:hAnsi="仿宋" w:eastAsia="仿宋" w:cs="仿宋"/>
          <w:color w:val="auto"/>
          <w:kern w:val="0"/>
          <w:highlight w:val="none"/>
        </w:rPr>
        <w:fldChar w:fldCharType="end"/>
      </w:r>
      <w:r>
        <w:rPr>
          <w:rFonts w:hint="eastAsia" w:ascii="仿宋" w:hAnsi="仿宋" w:eastAsia="仿宋" w:cs="仿宋"/>
          <w:color w:val="auto"/>
          <w:kern w:val="0"/>
          <w:highlight w:val="none"/>
        </w:rPr>
        <w:t>：</w:t>
      </w:r>
      <w:r>
        <w:rPr>
          <w:rFonts w:hint="eastAsia" w:ascii="仿宋" w:hAnsi="仿宋" w:eastAsia="仿宋" w:cs="仿宋"/>
          <w:color w:val="auto"/>
          <w:highlight w:val="none"/>
        </w:rPr>
        <w:t>http://www.ccgp-shaanxi.gov.cn/zcdservice/zcd/shanxi/</w:t>
      </w:r>
      <w:r>
        <w:rPr>
          <w:rFonts w:hint="eastAsia" w:ascii="仿宋" w:hAnsi="仿宋" w:eastAsia="仿宋" w:cs="仿宋"/>
          <w:color w:val="auto"/>
          <w:kern w:val="0"/>
          <w:highlight w:val="none"/>
        </w:rPr>
        <w:t>）。</w:t>
      </w:r>
    </w:p>
    <w:p w14:paraId="0A6F984F">
      <w:pPr>
        <w:spacing w:line="500" w:lineRule="exact"/>
        <w:ind w:firstLine="566" w:firstLineChars="200"/>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本项目为专门面向中小企业采购的采购项目，因此，不再执行价格评审优惠扶持政策。</w:t>
      </w:r>
    </w:p>
    <w:p w14:paraId="36F92801">
      <w:pPr>
        <w:pStyle w:val="8"/>
        <w:rPr>
          <w:rFonts w:ascii="仿宋" w:hAnsi="仿宋" w:eastAsia="仿宋" w:cs="仿宋"/>
          <w:color w:val="auto"/>
          <w:highlight w:val="none"/>
        </w:rPr>
      </w:pPr>
      <w:r>
        <w:rPr>
          <w:rFonts w:hint="eastAsia" w:ascii="仿宋" w:hAnsi="仿宋" w:eastAsia="仿宋" w:cs="仿宋"/>
          <w:b/>
          <w:bCs/>
          <w:color w:val="auto"/>
          <w:highlight w:val="none"/>
        </w:rPr>
        <w:t>（六）关于产品和服务</w:t>
      </w:r>
      <w:bookmarkEnd w:id="64"/>
      <w:bookmarkEnd w:id="65"/>
      <w:bookmarkEnd w:id="66"/>
    </w:p>
    <w:p w14:paraId="186AD20E">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1、所有产品必须具有在中国境内法定许可的生产及销售资格，且为全新原厂制造，其核心关键部分为近10个月内所生产的非淘汰类产品；属于《中华人民共和国实施强制性产品认证的产品目录》的产品，就不能提供超出此目录范畴外的替代品，此外，还须同时具备国家认监委颁布《中国强制认证》（CCC认证）。</w:t>
      </w:r>
    </w:p>
    <w:p w14:paraId="66F607E5">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2、采购的产品属于政府采购节能产品、环境标志产品品目清单范围的，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需提供国家确定的认证机构出具的、处于有效期之内的节能产品、环境标志产品认证证书，对获得证书的产品实施政府优先采购或强制采购。</w:t>
      </w:r>
    </w:p>
    <w:p w14:paraId="7F962309">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3、主机设备要有标准配置清单，使用操作及安全须知等重要资料应附有中文说明；国内制造的产品必须同时具备出厂合格证和相关检测报告。购置的计算机设备必须配有正版合法的经采购人认可的操作系统和软件。</w:t>
      </w:r>
    </w:p>
    <w:p w14:paraId="3F9BB050">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4、根据《政府采购进口产品管理办法》（财库〔2007〕119号）与《关于政府采购进口产品管理有关问题的通知》（财办库〔2008〕248号）的有关规定，未经核准同意，</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投标时必须提供本国产品，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以进口产品参与投标的，将作无效投标处理。</w:t>
      </w:r>
    </w:p>
    <w:p w14:paraId="5E51F936">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5</w:t>
      </w:r>
      <w:r>
        <w:rPr>
          <w:rFonts w:hint="eastAsia" w:ascii="仿宋" w:hAnsi="仿宋" w:eastAsia="仿宋" w:cs="仿宋"/>
          <w:color w:val="auto"/>
          <w:highlight w:val="none"/>
        </w:rPr>
        <w:t>、如招标文件中已说明，经政府采购管理部门审核同意，允许部分或全部产品采购进口产品，</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既可提供本国产品，也可以提供进口产品。在提供的进口产品中，优先采购向我国企业转让技术、与我国企业签订消化吸收再创新方案的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的进口产品。进口产品必须同时具备原产地证明、中国商检证明及合法进货渠道全套单证。</w:t>
      </w:r>
    </w:p>
    <w:p w14:paraId="4D896532">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6、如采购的产品属于列入《网络关键设备和网络安全专用产品目录》（如目录有更新，以最新的为准）的网络安全专用产品的，</w:t>
      </w:r>
      <w:r>
        <w:rPr>
          <w:rFonts w:hint="eastAsia" w:ascii="仿宋" w:hAnsi="仿宋" w:eastAsia="仿宋" w:cs="仿宋"/>
          <w:bCs/>
          <w:color w:val="auto"/>
          <w:highlight w:val="none"/>
          <w:lang w:val="en-US" w:eastAsia="zh-CN"/>
        </w:rPr>
        <w:t>供应商</w:t>
      </w:r>
      <w:r>
        <w:rPr>
          <w:rFonts w:hint="eastAsia" w:ascii="仿宋" w:hAnsi="仿宋" w:eastAsia="仿宋" w:cs="仿宋"/>
          <w:bCs/>
          <w:color w:val="auto"/>
          <w:highlight w:val="none"/>
        </w:rPr>
        <w:t>应当提供经安全检测或安全认证的产品或已经获得《计算机信息系统安全专用产品销售许可证》且尚在有效期内的产品。</w:t>
      </w:r>
    </w:p>
    <w:p w14:paraId="0C53C43C">
      <w:pPr>
        <w:spacing w:line="500" w:lineRule="exact"/>
        <w:ind w:firstLine="566" w:firstLineChars="200"/>
        <w:rPr>
          <w:rFonts w:ascii="仿宋" w:hAnsi="仿宋" w:eastAsia="仿宋" w:cs="仿宋"/>
          <w:b/>
          <w:color w:val="auto"/>
          <w:highlight w:val="none"/>
        </w:rPr>
      </w:pPr>
      <w:r>
        <w:rPr>
          <w:rFonts w:hint="eastAsia" w:ascii="仿宋" w:hAnsi="仿宋" w:eastAsia="仿宋" w:cs="仿宋"/>
          <w:b/>
          <w:color w:val="auto"/>
          <w:highlight w:val="none"/>
        </w:rPr>
        <w:t>（七）关于同一品牌产品的处理</w:t>
      </w:r>
    </w:p>
    <w:p w14:paraId="7FB1DFB8">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1、单一产品采购项目中，提供相同品牌的产品的不同供应商参加同一合同项下谈判的，以其中通过资格审查、符合性审查且最后谈判报价最低的参加排序；报价相同的，由评标委员会按照技术方案、售后服务等内容确定一个参加评标的供应商，其他响应无效。</w:t>
      </w:r>
    </w:p>
    <w:p w14:paraId="67185CE0">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2、非单一产品采购项目，采购人将根据采购项目技术构成、产品价格比重等因素确定核心产品（可能不止一种），并在谈判文件中载明。提供相同品牌的核心产品的不同供应商参加同一合同项下谈判的，以其中通过资格审查、符合性审查且最后谈判报价最低的参加排序；报价相同的，由谈判小组按照技术方案、售后服务等内容确定一个参加评标的供应商，其他响应无效。</w:t>
      </w:r>
    </w:p>
    <w:p w14:paraId="2CF9B370">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3、核心产品为两个以上时，多家供应商提供的核心产品有部分采用或全部采用相同品牌的，按一家供应商计算。</w:t>
      </w:r>
    </w:p>
    <w:p w14:paraId="6A418E8C">
      <w:pPr>
        <w:spacing w:line="500" w:lineRule="exact"/>
        <w:ind w:firstLine="566" w:firstLineChars="200"/>
        <w:rPr>
          <w:rFonts w:ascii="仿宋" w:hAnsi="仿宋" w:eastAsia="仿宋" w:cs="仿宋"/>
          <w:b/>
          <w:bCs/>
          <w:color w:val="auto"/>
          <w:highlight w:val="none"/>
        </w:rPr>
      </w:pPr>
      <w:bookmarkStart w:id="67" w:name="_Toc5857"/>
      <w:bookmarkStart w:id="68" w:name="_Toc21264"/>
      <w:bookmarkStart w:id="69" w:name="_Toc9235"/>
      <w:r>
        <w:rPr>
          <w:rFonts w:hint="eastAsia" w:ascii="仿宋" w:hAnsi="仿宋" w:eastAsia="仿宋" w:cs="仿宋"/>
          <w:b/>
          <w:bCs/>
          <w:color w:val="auto"/>
          <w:highlight w:val="none"/>
        </w:rPr>
        <w:t>（八）知识产权与保密事项</w:t>
      </w:r>
      <w:bookmarkEnd w:id="67"/>
      <w:bookmarkEnd w:id="68"/>
      <w:bookmarkEnd w:id="69"/>
    </w:p>
    <w:p w14:paraId="3E0BC34C">
      <w:pPr>
        <w:spacing w:line="500" w:lineRule="exact"/>
        <w:ind w:firstLine="566" w:firstLineChars="200"/>
        <w:rPr>
          <w:rFonts w:ascii="仿宋" w:hAnsi="仿宋" w:eastAsia="仿宋" w:cs="仿宋"/>
          <w:bCs/>
          <w:color w:val="auto"/>
          <w:highlight w:val="none"/>
        </w:rPr>
      </w:pPr>
      <w:r>
        <w:rPr>
          <w:rFonts w:hint="eastAsia" w:ascii="仿宋" w:hAnsi="仿宋" w:eastAsia="仿宋" w:cs="仿宋"/>
          <w:bCs/>
          <w:color w:val="auto"/>
          <w:highlight w:val="none"/>
        </w:rPr>
        <w:t>1、所有涉及知识产权的产品及设计，供应商必须确保采购人拥有其合法的、不受限制的无偿使用权，并免受任何侵权诉讼或索偿，否则，由此产生的一切经济损失和法律责任由供应商承担。</w:t>
      </w:r>
    </w:p>
    <w:p w14:paraId="1D09C40B">
      <w:pPr>
        <w:spacing w:line="500" w:lineRule="exact"/>
        <w:ind w:firstLine="566" w:firstLineChars="200"/>
        <w:rPr>
          <w:rFonts w:ascii="仿宋" w:hAnsi="仿宋" w:eastAsia="仿宋" w:cs="仿宋"/>
          <w:color w:val="auto"/>
          <w:kern w:val="0"/>
          <w:highlight w:val="none"/>
        </w:rPr>
      </w:pPr>
      <w:r>
        <w:rPr>
          <w:rFonts w:hint="eastAsia" w:ascii="仿宋" w:hAnsi="仿宋" w:eastAsia="仿宋" w:cs="仿宋"/>
          <w:bCs/>
          <w:color w:val="auto"/>
          <w:highlight w:val="none"/>
        </w:rPr>
        <w:t>2、由采购人向供应商提供的用户需求书、图纸、样品、模型、模件和所有资料，供应商获得后，应对其保密。除非采购人同意，供应商不得向第三方透露或将其用于本次谈判以外的任何用途。开标后，若采购人有要求，供应商须归还采购人认为需保密的文件和资料，并销毁所有相应的备份文件及资料。</w:t>
      </w:r>
    </w:p>
    <w:p w14:paraId="6C497DE6">
      <w:pPr>
        <w:spacing w:line="500" w:lineRule="exact"/>
        <w:ind w:firstLine="566" w:firstLineChars="200"/>
        <w:rPr>
          <w:rFonts w:ascii="仿宋" w:hAnsi="仿宋" w:eastAsia="仿宋" w:cs="仿宋"/>
          <w:b/>
          <w:color w:val="auto"/>
          <w:highlight w:val="none"/>
        </w:rPr>
      </w:pPr>
      <w:bookmarkStart w:id="70" w:name="_Toc24866"/>
      <w:bookmarkStart w:id="71" w:name="_Toc19023"/>
      <w:bookmarkStart w:id="72" w:name="_Toc2340"/>
      <w:bookmarkStart w:id="73" w:name="_Toc18387"/>
      <w:r>
        <w:rPr>
          <w:rFonts w:hint="eastAsia" w:ascii="仿宋" w:hAnsi="仿宋" w:eastAsia="仿宋" w:cs="仿宋"/>
          <w:b/>
          <w:color w:val="auto"/>
          <w:highlight w:val="none"/>
        </w:rPr>
        <w:t>（九）供应商的谈判费用自理</w:t>
      </w:r>
      <w:bookmarkEnd w:id="70"/>
      <w:bookmarkEnd w:id="71"/>
      <w:bookmarkEnd w:id="72"/>
      <w:bookmarkEnd w:id="73"/>
    </w:p>
    <w:p w14:paraId="6EC2861F">
      <w:pPr>
        <w:spacing w:line="500" w:lineRule="exact"/>
        <w:ind w:firstLine="566" w:firstLineChars="200"/>
        <w:contextualSpacing/>
        <w:outlineLvl w:val="1"/>
        <w:rPr>
          <w:rFonts w:ascii="仿宋" w:hAnsi="仿宋" w:eastAsia="仿宋" w:cs="仿宋"/>
          <w:b/>
          <w:color w:val="auto"/>
          <w:highlight w:val="none"/>
        </w:rPr>
      </w:pPr>
      <w:bookmarkStart w:id="74" w:name="_Toc2840"/>
      <w:bookmarkStart w:id="75" w:name="_Toc4943"/>
      <w:bookmarkStart w:id="76" w:name="_Toc12116"/>
      <w:bookmarkStart w:id="77" w:name="_Toc15357"/>
      <w:bookmarkStart w:id="78" w:name="_Toc25050"/>
      <w:bookmarkStart w:id="79" w:name="_Toc5068"/>
      <w:bookmarkStart w:id="80" w:name="_Toc19654"/>
      <w:bookmarkStart w:id="81" w:name="_Toc3465"/>
      <w:bookmarkStart w:id="82" w:name="_Toc17596"/>
      <w:r>
        <w:rPr>
          <w:rStyle w:val="62"/>
          <w:rFonts w:hint="eastAsia" w:ascii="仿宋" w:hAnsi="仿宋" w:eastAsia="仿宋" w:cs="仿宋"/>
          <w:color w:val="auto"/>
          <w:sz w:val="28"/>
          <w:szCs w:val="28"/>
          <w:highlight w:val="none"/>
        </w:rPr>
        <w:t>三、谈判文件</w:t>
      </w:r>
      <w:bookmarkEnd w:id="74"/>
      <w:bookmarkEnd w:id="75"/>
      <w:bookmarkEnd w:id="76"/>
      <w:bookmarkEnd w:id="77"/>
      <w:bookmarkEnd w:id="78"/>
      <w:bookmarkEnd w:id="79"/>
      <w:bookmarkEnd w:id="80"/>
      <w:bookmarkEnd w:id="81"/>
      <w:bookmarkEnd w:id="82"/>
    </w:p>
    <w:p w14:paraId="49D730AE">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（一）谈判文件包括下列内容</w:t>
      </w:r>
    </w:p>
    <w:p w14:paraId="3927D495">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第一章　谈判邀请函</w:t>
      </w:r>
    </w:p>
    <w:p w14:paraId="06C4D4CA">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第二章　供应商须知</w:t>
      </w:r>
    </w:p>
    <w:p w14:paraId="6AC708A7">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第三章　采购内容及采购要求</w:t>
      </w:r>
    </w:p>
    <w:p w14:paraId="0AF0975D">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第四章　合同草案条款</w:t>
      </w:r>
    </w:p>
    <w:p w14:paraId="649D74E8">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第五章　响应文件构成及格式</w:t>
      </w:r>
    </w:p>
    <w:p w14:paraId="51C2ED9A">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（二）谈判文件的检查及阅读</w:t>
      </w:r>
    </w:p>
    <w:p w14:paraId="28A21794">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供应商下载谈判文件后应仔细阅读检查谈判文件中的所有内容，按照谈判文件中所列事项、条款、规范要求及格式，在响应文件中对谈判文件做出实质性的响应，并按谈判文件的要求提交全部资料。</w:t>
      </w:r>
    </w:p>
    <w:p w14:paraId="1F55F6A9">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项目废标后重新组织谈判的，陕西省省级单位政府采购中心将重新编制、发布新版谈判文件，供应商应按新版谈判文件重新编制响应文件。原谈判文件及响应文件失效。</w:t>
      </w:r>
    </w:p>
    <w:p w14:paraId="0CC10F73">
      <w:pPr>
        <w:spacing w:line="500" w:lineRule="exact"/>
        <w:ind w:firstLine="566" w:firstLineChars="200"/>
        <w:contextualSpacing/>
        <w:rPr>
          <w:rFonts w:ascii="仿宋" w:hAnsi="仿宋" w:eastAsia="仿宋" w:cs="仿宋"/>
          <w:b/>
          <w:bCs/>
          <w:color w:val="auto"/>
          <w:highlight w:val="none"/>
        </w:rPr>
      </w:pPr>
      <w:r>
        <w:rPr>
          <w:rFonts w:hint="eastAsia" w:ascii="仿宋" w:hAnsi="仿宋" w:eastAsia="仿宋" w:cs="仿宋"/>
          <w:b/>
          <w:bCs/>
          <w:color w:val="auto"/>
          <w:highlight w:val="none"/>
        </w:rPr>
        <w:t>响应文件封面、响应函以及法定代表人授权委托书三处的项目名称、项目编号、标段（如有）应当与最新发布的谈判文件保持一致，否则将被视为无效响应文件。</w:t>
      </w:r>
    </w:p>
    <w:p w14:paraId="26FEDEBD">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（三）谈判文件的修改、澄清</w:t>
      </w:r>
    </w:p>
    <w:p w14:paraId="7FFCF14E">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提交响应文件截止之日前，陕西省省级单位政府采购中心可对已发出的谈判文件进行必要的澄清或者修改，澄清或者修改的内容作为谈判文件的组成部分。澄清或修改的内容可能影响响应文件编制的，陕西省省级单位政府采购中心将在提交响应文件截止之日3个工作日前，在财政部门指定的政府采购信息发布媒体上</w:t>
      </w:r>
      <w:r>
        <w:rPr>
          <w:rFonts w:hint="eastAsia" w:ascii="仿宋" w:hAnsi="仿宋" w:eastAsia="仿宋" w:cs="仿宋"/>
          <w:b/>
          <w:bCs/>
          <w:color w:val="auto"/>
          <w:highlight w:val="none"/>
        </w:rPr>
        <w:t>发布更正公告</w:t>
      </w:r>
      <w:r>
        <w:rPr>
          <w:rFonts w:hint="eastAsia" w:ascii="仿宋" w:hAnsi="仿宋" w:eastAsia="仿宋" w:cs="仿宋"/>
          <w:color w:val="auto"/>
          <w:highlight w:val="none"/>
        </w:rPr>
        <w:t>；不足3个工作日的，陕西省省级单位政府采购中心将顺延提交响应文件截止时间。</w:t>
      </w:r>
    </w:p>
    <w:p w14:paraId="5CC9B82B">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2、供应商对谈判文件有质疑的，应在获取谈判文件之日起7个工作日内以书面形式提出，采购人将以书面形式予以答复；在此之后提出的针对谈判文件的质疑为无效质疑。答复的内容可能影响响应文件编制的，将在财政部门指定的政府采购信息发布媒体上</w:t>
      </w:r>
      <w:r>
        <w:rPr>
          <w:rFonts w:hint="eastAsia" w:ascii="仿宋" w:hAnsi="仿宋" w:eastAsia="仿宋" w:cs="仿宋"/>
          <w:b/>
          <w:color w:val="auto"/>
          <w:highlight w:val="none"/>
        </w:rPr>
        <w:t>发布更正公告</w:t>
      </w:r>
      <w:r>
        <w:rPr>
          <w:rFonts w:hint="eastAsia" w:ascii="仿宋" w:hAnsi="仿宋" w:eastAsia="仿宋" w:cs="仿宋"/>
          <w:color w:val="auto"/>
          <w:highlight w:val="none"/>
        </w:rPr>
        <w:t>。</w:t>
      </w:r>
    </w:p>
    <w:p w14:paraId="0BBE9F63">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3、各供应商在提交谈判文件截止时间之前，应随时关注下列地址发布的更正公告，也可登录全国公共资源交易平台（陕西省）政府采购交易系统查看左上角的信息提醒，</w:t>
      </w:r>
      <w:r>
        <w:rPr>
          <w:rFonts w:hint="eastAsia" w:ascii="仿宋" w:hAnsi="仿宋" w:eastAsia="仿宋" w:cs="仿宋"/>
          <w:b/>
          <w:bCs/>
          <w:color w:val="auto"/>
          <w:highlight w:val="none"/>
        </w:rPr>
        <w:t>陕西省省级单位政府采购中心不再单独通知，因供应商未及时关注所造成的一切后果由供应商自行承担：</w:t>
      </w:r>
    </w:p>
    <w:p w14:paraId="195AE36D">
      <w:pPr>
        <w:wordWrap w:val="0"/>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"http://www.ccgp-shaanxi.gov.cn" </w:instrText>
      </w:r>
      <w:r>
        <w:rPr>
          <w:rFonts w:hint="eastAsia" w:ascii="仿宋" w:hAnsi="仿宋" w:eastAsia="仿宋" w:cs="仿宋"/>
          <w:color w:val="auto"/>
          <w:highlight w:val="none"/>
        </w:rPr>
        <w:fldChar w:fldCharType="separate"/>
      </w:r>
      <w:r>
        <w:rPr>
          <w:rStyle w:val="39"/>
          <w:rFonts w:hint="eastAsia" w:ascii="仿宋" w:hAnsi="仿宋" w:eastAsia="仿宋" w:cs="仿宋"/>
          <w:color w:val="auto"/>
          <w:sz w:val="28"/>
          <w:szCs w:val="28"/>
          <w:highlight w:val="none"/>
        </w:rPr>
        <w:t>陕西省政府采购网</w:t>
      </w:r>
      <w:r>
        <w:rPr>
          <w:rStyle w:val="39"/>
          <w:rFonts w:hint="eastAsia" w:ascii="仿宋" w:hAnsi="仿宋" w:eastAsia="仿宋" w:cs="仿宋"/>
          <w:color w:val="auto"/>
          <w:sz w:val="28"/>
          <w:szCs w:val="28"/>
          <w:highlight w:val="none"/>
        </w:rPr>
        <w:fldChar w:fldCharType="end"/>
      </w:r>
      <w:r>
        <w:rPr>
          <w:rFonts w:hint="eastAsia" w:ascii="仿宋" w:hAnsi="仿宋" w:eastAsia="仿宋" w:cs="仿宋"/>
          <w:color w:val="auto"/>
          <w:highlight w:val="none"/>
        </w:rPr>
        <w:t>（www.ccgp-shaanxi.gov.cn）】中的〖首页·〉省级公告·〉更正公告〗；</w:t>
      </w:r>
    </w:p>
    <w:p w14:paraId="7AAE82A3">
      <w:pPr>
        <w:wordWrap w:val="0"/>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kern w:val="0"/>
          <w:highlight w:val="none"/>
        </w:rPr>
        <w:t>陕西省公共资源交易中心网站</w:t>
      </w:r>
      <w:r>
        <w:rPr>
          <w:rFonts w:hint="eastAsia" w:ascii="仿宋" w:hAnsi="仿宋" w:eastAsia="仿宋" w:cs="仿宋"/>
          <w:color w:val="auto"/>
          <w:highlight w:val="none"/>
        </w:rPr>
        <w:t>（http://www.sxggzyjy.cn/）】中的〖首页·〉交易大厅·〉政府采购；</w:t>
      </w:r>
    </w:p>
    <w:p w14:paraId="555F5015">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（四）谈判文件的解释权归陕西省省级单位政府采购中心。</w:t>
      </w:r>
    </w:p>
    <w:p w14:paraId="64847BF8">
      <w:pPr>
        <w:pStyle w:val="5"/>
        <w:spacing w:line="500" w:lineRule="exact"/>
        <w:ind w:firstLine="566" w:firstLineChars="200"/>
        <w:contextualSpacing/>
        <w:rPr>
          <w:rFonts w:ascii="仿宋" w:hAnsi="仿宋" w:eastAsia="仿宋" w:cs="仿宋"/>
          <w:color w:val="auto"/>
          <w:sz w:val="28"/>
          <w:szCs w:val="28"/>
          <w:highlight w:val="none"/>
        </w:rPr>
      </w:pPr>
      <w:bookmarkStart w:id="83" w:name="_Toc20518"/>
      <w:bookmarkStart w:id="84" w:name="_Toc15654"/>
      <w:bookmarkStart w:id="85" w:name="_Toc20707"/>
      <w:bookmarkStart w:id="86" w:name="_Toc18130"/>
      <w:bookmarkStart w:id="87" w:name="_Toc24650"/>
      <w:bookmarkStart w:id="88" w:name="_Toc12442"/>
      <w:bookmarkStart w:id="89" w:name="_Toc5326"/>
      <w:bookmarkStart w:id="90" w:name="_Toc13597"/>
      <w:bookmarkStart w:id="91" w:name="_Toc23890"/>
      <w:bookmarkStart w:id="92" w:name="_Toc30222"/>
      <w:bookmarkStart w:id="93" w:name="_Toc22413"/>
      <w:r>
        <w:rPr>
          <w:rStyle w:val="62"/>
          <w:rFonts w:hint="eastAsia" w:ascii="仿宋" w:hAnsi="仿宋" w:eastAsia="仿宋" w:cs="仿宋"/>
          <w:b/>
          <w:bCs/>
          <w:color w:val="auto"/>
          <w:kern w:val="2"/>
          <w:sz w:val="28"/>
          <w:szCs w:val="28"/>
          <w:highlight w:val="none"/>
        </w:rPr>
        <w:t>四、谈判报价</w:t>
      </w:r>
      <w:bookmarkEnd w:id="83"/>
      <w:bookmarkEnd w:id="84"/>
      <w:bookmarkEnd w:id="85"/>
      <w:bookmarkEnd w:id="86"/>
      <w:bookmarkEnd w:id="87"/>
      <w:bookmarkEnd w:id="88"/>
      <w:bookmarkEnd w:id="89"/>
      <w:bookmarkEnd w:id="90"/>
      <w:bookmarkEnd w:id="91"/>
      <w:bookmarkEnd w:id="92"/>
      <w:bookmarkEnd w:id="93"/>
    </w:p>
    <w:p w14:paraId="59485FA8">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谈判报价是供应商响应谈判项目要求的全部工作内容的价格体现，包括完成采购内容所需的直接费、间接费、利润、税金及其它相关的一切费用。供应商在报价时应充分考虑所有可能发生的费用，谈判文件未列明，而供应商认为应当计取的费用均应列入报价中。报价时不论是否计取，采购人均按已计取对待。</w:t>
      </w:r>
    </w:p>
    <w:p w14:paraId="0B0ED084">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（一）供应商应按照《响应文件构成及格式》中《第一次谈判报价表》的相关要求填写需要响应的内容。</w:t>
      </w:r>
    </w:p>
    <w:p w14:paraId="639EF483">
      <w:pPr>
        <w:spacing w:line="500" w:lineRule="exact"/>
        <w:ind w:firstLine="562" w:firstLineChars="199"/>
        <w:contextualSpacing/>
        <w:rPr>
          <w:rFonts w:ascii="仿宋" w:hAnsi="仿宋" w:eastAsia="仿宋" w:cs="仿宋"/>
          <w:b/>
          <w:bCs/>
          <w:color w:val="auto"/>
          <w:highlight w:val="none"/>
        </w:rPr>
      </w:pPr>
      <w:r>
        <w:rPr>
          <w:rFonts w:hint="eastAsia" w:ascii="仿宋" w:hAnsi="仿宋" w:eastAsia="仿宋" w:cs="仿宋"/>
          <w:color w:val="auto"/>
          <w:highlight w:val="none"/>
        </w:rPr>
        <w:t>（二）</w:t>
      </w:r>
      <w:r>
        <w:rPr>
          <w:rFonts w:hint="eastAsia" w:ascii="仿宋" w:hAnsi="仿宋" w:eastAsia="仿宋" w:cs="仿宋"/>
          <w:b/>
          <w:bCs/>
          <w:color w:val="auto"/>
          <w:highlight w:val="none"/>
        </w:rPr>
        <w:t>谈判报价采取多轮报价的办法，最后报价作为评审的依据。供应商应在谈判当天，在谈判小组规定的报价时间内，使用制作标书的数字认证证书（CA锁）登录全国公共资源交易平台（陕西省）网站〖首页·〉电子交易平台·〉企业端〗后，在〖我的项目〗下找到本次谈判的项目，填写最后报价表，签章并提交。</w:t>
      </w:r>
    </w:p>
    <w:p w14:paraId="7AFE3D39">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三）如采购内容无实质性变更，各供应商的报价应逐次降低。本次报价超过采购预算或谈判文件规定的最高限价的，按无效响应处理；本次报价超过上次报价但未超过采购预算或谈判文件规定的最高限价的，或在规定时间内未提交、提交不成功的均为无效报价，按无效响应处理。</w:t>
      </w:r>
    </w:p>
    <w:p w14:paraId="1AEA1550">
      <w:pPr>
        <w:pStyle w:val="8"/>
        <w:rPr>
          <w:rFonts w:ascii="仿宋" w:hAnsi="仿宋" w:eastAsia="仿宋" w:cs="仿宋"/>
          <w:color w:val="auto"/>
          <w:highlight w:val="none"/>
        </w:rPr>
      </w:pPr>
      <w:r>
        <w:rPr>
          <w:rFonts w:hint="eastAsia" w:ascii="仿宋" w:hAnsi="仿宋" w:eastAsia="仿宋" w:cs="仿宋"/>
          <w:color w:val="auto"/>
          <w:highlight w:val="none"/>
        </w:rPr>
        <w:t>“规定时间”由现场组织人员具体确定。</w:t>
      </w:r>
    </w:p>
    <w:p w14:paraId="2E9E5DEE">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供应商最终报价较首次报价降价的，成交后，签订合同时应按照成交价较首次报价的下浮比率修改分项报价表中的相应报价。</w:t>
      </w:r>
    </w:p>
    <w:p w14:paraId="4FED1446">
      <w:pPr>
        <w:spacing w:line="500" w:lineRule="exact"/>
        <w:ind w:firstLine="566" w:firstLineChars="200"/>
        <w:rPr>
          <w:rFonts w:ascii="仿宋" w:hAnsi="仿宋" w:eastAsia="仿宋" w:cs="仿宋"/>
          <w:b/>
          <w:bCs/>
          <w:color w:val="auto"/>
          <w:highlight w:val="none"/>
        </w:rPr>
      </w:pPr>
      <w:r>
        <w:rPr>
          <w:rFonts w:hint="eastAsia" w:ascii="仿宋" w:hAnsi="仿宋" w:eastAsia="仿宋" w:cs="仿宋"/>
          <w:color w:val="auto"/>
          <w:highlight w:val="none"/>
        </w:rPr>
        <w:t>（四）谈判报价货币：</w:t>
      </w:r>
      <w:r>
        <w:rPr>
          <w:rFonts w:hint="eastAsia" w:ascii="仿宋" w:hAnsi="仿宋" w:eastAsia="仿宋" w:cs="仿宋"/>
          <w:b/>
          <w:color w:val="auto"/>
          <w:highlight w:val="none"/>
        </w:rPr>
        <w:t>人民币</w:t>
      </w:r>
      <w:r>
        <w:rPr>
          <w:rFonts w:hint="eastAsia" w:ascii="仿宋" w:hAnsi="仿宋" w:eastAsia="仿宋" w:cs="仿宋"/>
          <w:color w:val="auto"/>
          <w:highlight w:val="none"/>
        </w:rPr>
        <w:t>；</w:t>
      </w:r>
      <w:r>
        <w:rPr>
          <w:rFonts w:hint="eastAsia" w:ascii="仿宋" w:hAnsi="仿宋" w:eastAsia="仿宋" w:cs="仿宋"/>
          <w:b/>
          <w:bCs/>
          <w:color w:val="auto"/>
          <w:highlight w:val="none"/>
        </w:rPr>
        <w:t>单位：元（报价最多保留至小数点后两位）。</w:t>
      </w:r>
    </w:p>
    <w:p w14:paraId="1C21ECE8">
      <w:pPr>
        <w:spacing w:line="500" w:lineRule="exact"/>
        <w:ind w:firstLine="566" w:firstLineChars="200"/>
        <w:contextualSpacing w:val="0"/>
        <w:rPr>
          <w:rFonts w:ascii="仿宋" w:hAnsi="仿宋" w:eastAsia="仿宋" w:cs="仿宋"/>
          <w:color w:val="auto"/>
          <w:highlight w:val="none"/>
        </w:rPr>
      </w:pPr>
      <w:r>
        <w:rPr>
          <w:rFonts w:hint="eastAsia" w:ascii="仿宋" w:hAnsi="仿宋" w:eastAsia="仿宋" w:cs="仿宋"/>
          <w:color w:val="auto"/>
          <w:highlight w:val="none"/>
        </w:rPr>
        <w:t>（五）谈判报价金额的小写与大写不一致时，以大写为准。</w:t>
      </w:r>
    </w:p>
    <w:p w14:paraId="4F6956AF">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（六）因供应商对谈判文件理解不透、误解、疏漏或对市场行情了解不清造成的后果和风险，均由供应商自己负责。</w:t>
      </w:r>
    </w:p>
    <w:p w14:paraId="3A0E7BA3">
      <w:pPr>
        <w:spacing w:line="500" w:lineRule="exact"/>
        <w:ind w:firstLine="566" w:firstLineChars="200"/>
        <w:contextualSpacing/>
        <w:outlineLvl w:val="1"/>
        <w:rPr>
          <w:rFonts w:ascii="仿宋" w:hAnsi="仿宋" w:eastAsia="仿宋" w:cs="仿宋"/>
          <w:b/>
          <w:color w:val="auto"/>
          <w:highlight w:val="none"/>
        </w:rPr>
      </w:pPr>
      <w:bookmarkStart w:id="94" w:name="_Toc31340"/>
      <w:bookmarkStart w:id="95" w:name="_Toc869"/>
      <w:bookmarkStart w:id="96" w:name="_Toc28900"/>
      <w:bookmarkStart w:id="97" w:name="_Toc27323"/>
      <w:bookmarkStart w:id="98" w:name="_Toc11332"/>
      <w:bookmarkStart w:id="99" w:name="_Toc15343"/>
      <w:bookmarkStart w:id="100" w:name="_Toc16039"/>
      <w:bookmarkStart w:id="101" w:name="_Toc22555"/>
      <w:bookmarkStart w:id="102" w:name="_Toc19202"/>
      <w:r>
        <w:rPr>
          <w:rStyle w:val="62"/>
          <w:rFonts w:hint="eastAsia" w:ascii="仿宋" w:hAnsi="仿宋" w:eastAsia="仿宋" w:cs="仿宋"/>
          <w:color w:val="auto"/>
          <w:sz w:val="28"/>
          <w:szCs w:val="28"/>
          <w:highlight w:val="none"/>
        </w:rPr>
        <w:t>五、响应文件</w:t>
      </w:r>
      <w:bookmarkEnd w:id="94"/>
      <w:bookmarkEnd w:id="95"/>
      <w:bookmarkEnd w:id="96"/>
      <w:bookmarkEnd w:id="97"/>
      <w:bookmarkEnd w:id="98"/>
      <w:bookmarkEnd w:id="99"/>
      <w:bookmarkEnd w:id="100"/>
      <w:bookmarkEnd w:id="101"/>
      <w:bookmarkEnd w:id="102"/>
    </w:p>
    <w:p w14:paraId="7A342ECC">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（一）响应文件形式</w:t>
      </w:r>
    </w:p>
    <w:p w14:paraId="26A1EDE4">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本项目采用电子响应文件的形式。</w:t>
      </w:r>
    </w:p>
    <w:p w14:paraId="3F58DE2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编制电子响应文件时，应使用最新发布的电子谈判文件及专用制作工具进行编制。并使用数字认证证书（CA锁）对电子响应文件进行签署、加密、递交及开标时解密等相关操作。</w:t>
      </w:r>
    </w:p>
    <w:p w14:paraId="7B480B7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1、电子谈判文件下载。供应商登录全国公共资源交易平台（陕西省）网站〖首页·〉电子交易平台·〉企业端〗后，在〖招标公告/出让公告〗模块中选择项目</w:t>
      </w:r>
      <w:r>
        <w:rPr>
          <w:rFonts w:hint="eastAsia" w:ascii="仿宋" w:hAnsi="仿宋" w:eastAsia="仿宋" w:cs="仿宋"/>
          <w:bCs/>
          <w:color w:val="auto"/>
          <w:highlight w:val="none"/>
        </w:rPr>
        <w:t>点击“我要投标”，参与谈判活动。然后即可</w:t>
      </w:r>
      <w:r>
        <w:rPr>
          <w:rFonts w:hint="eastAsia" w:ascii="仿宋" w:hAnsi="仿宋" w:eastAsia="仿宋" w:cs="仿宋"/>
          <w:color w:val="auto"/>
          <w:highlight w:val="none"/>
        </w:rPr>
        <w:t>在〖我的项目〗中点击“项目流程&gt;交易文件下载”下载电子谈判文件（*.SXSZF）。</w:t>
      </w:r>
    </w:p>
    <w:p w14:paraId="37D87AB3">
      <w:pPr>
        <w:spacing w:line="500" w:lineRule="exact"/>
        <w:ind w:firstLine="566" w:firstLineChars="200"/>
        <w:rPr>
          <w:rFonts w:ascii="仿宋" w:hAnsi="仿宋" w:eastAsia="仿宋" w:cs="仿宋"/>
          <w:b/>
          <w:bCs/>
          <w:color w:val="auto"/>
          <w:highlight w:val="none"/>
        </w:rPr>
      </w:pPr>
      <w:r>
        <w:rPr>
          <w:rFonts w:hint="eastAsia" w:ascii="仿宋" w:hAnsi="仿宋" w:eastAsia="仿宋" w:cs="仿宋"/>
          <w:color w:val="auto"/>
          <w:highlight w:val="none"/>
        </w:rPr>
        <w:t>注意：该项目如有变更文件，则应点击“项目流程&gt;答疑文件下载”下载更新后的电子谈判文件（*.SXSCF），</w:t>
      </w:r>
      <w:r>
        <w:rPr>
          <w:rFonts w:hint="eastAsia" w:ascii="仿宋" w:hAnsi="仿宋" w:eastAsia="仿宋" w:cs="仿宋"/>
          <w:b/>
          <w:bCs/>
          <w:color w:val="auto"/>
          <w:highlight w:val="none"/>
        </w:rPr>
        <w:t>使用旧版电子谈判文件制作的电子响应文件，系统将拒绝接收。</w:t>
      </w:r>
    </w:p>
    <w:p w14:paraId="41B1735C">
      <w:pPr>
        <w:numPr>
          <w:ilvl w:val="0"/>
          <w:numId w:val="1"/>
        </w:num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电子谈判文件需要使用专用软件打开、浏览。供应商可在全国公共资源交易平台（陕西省）网站〖首页·〉服务指南·〉下载专区〗免费下载“陕西省公共资源交易平台政府采购电子标书制作工具”，并升级至最新版本，使用该客户端可以打开电子谈判文件。软件操作手册详见全国公共资源交易平台（陕西省）网站〖首页·〉服务指南·〉下载专区〗中的《陕西省公共资源交易（政府采购类）响应文件制作软件操作手册》。</w:t>
      </w:r>
    </w:p>
    <w:p w14:paraId="4402D53D">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3、制作电子响应文件。电子响应文件同样需要使用上述软件进行编制。在编制过程中，如有技术性问题，请先翻阅操作手册，或致电软件开发商。技术支持热线：</w:t>
      </w:r>
      <w:r>
        <w:rPr>
          <w:rFonts w:hint="eastAsia" w:ascii="仿宋" w:hAnsi="仿宋" w:eastAsia="仿宋" w:cs="仿宋"/>
          <w:b/>
          <w:bCs/>
          <w:color w:val="auto"/>
          <w:highlight w:val="none"/>
          <w:lang w:eastAsia="zh-CN"/>
        </w:rPr>
        <w:t>0512-58188039</w:t>
      </w:r>
      <w:r>
        <w:rPr>
          <w:rFonts w:hint="eastAsia" w:ascii="仿宋" w:hAnsi="仿宋" w:eastAsia="仿宋" w:cs="仿宋"/>
          <w:b/>
          <w:bCs/>
          <w:color w:val="auto"/>
          <w:highlight w:val="none"/>
        </w:rPr>
        <w:t>。</w:t>
      </w:r>
    </w:p>
    <w:p w14:paraId="4BD3EBF3">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（二）响应文件语言及有效期</w:t>
      </w:r>
    </w:p>
    <w:p w14:paraId="453711BA">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1、谈判活动的所有文件、资料、函电文均使用</w:t>
      </w:r>
      <w:r>
        <w:rPr>
          <w:rFonts w:hint="eastAsia" w:ascii="仿宋" w:hAnsi="仿宋" w:eastAsia="仿宋" w:cs="仿宋"/>
          <w:b/>
          <w:bCs/>
          <w:color w:val="auto"/>
          <w:highlight w:val="none"/>
        </w:rPr>
        <w:t>简体中文</w:t>
      </w:r>
      <w:r>
        <w:rPr>
          <w:rFonts w:hint="eastAsia" w:ascii="仿宋" w:hAnsi="仿宋" w:eastAsia="仿宋" w:cs="仿宋"/>
          <w:color w:val="auto"/>
          <w:highlight w:val="none"/>
        </w:rPr>
        <w:t>，确需提交用其他语言形成的资料，必须翻译成简体中文，如有差异，以简体中文为准。</w:t>
      </w:r>
    </w:p>
    <w:p w14:paraId="39572764">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2、响应文件有效期为</w:t>
      </w:r>
      <w:r>
        <w:rPr>
          <w:rFonts w:hint="eastAsia" w:ascii="仿宋" w:hAnsi="仿宋" w:eastAsia="仿宋" w:cs="仿宋"/>
          <w:b/>
          <w:bCs/>
          <w:color w:val="auto"/>
          <w:highlight w:val="none"/>
        </w:rPr>
        <w:t>自响应文件开启之日起90个日历日</w:t>
      </w:r>
      <w:r>
        <w:rPr>
          <w:rFonts w:hint="eastAsia" w:ascii="仿宋" w:hAnsi="仿宋" w:eastAsia="仿宋" w:cs="仿宋"/>
          <w:color w:val="auto"/>
          <w:highlight w:val="none"/>
        </w:rPr>
        <w:t>。如成交，延长至合同执行完毕时止。</w:t>
      </w:r>
    </w:p>
    <w:p w14:paraId="653EEE91">
      <w:pPr>
        <w:spacing w:line="500" w:lineRule="exact"/>
        <w:ind w:firstLine="566" w:firstLineChars="200"/>
        <w:rPr>
          <w:rFonts w:ascii="仿宋" w:hAnsi="仿宋" w:eastAsia="仿宋" w:cs="仿宋"/>
          <w:b/>
          <w:color w:val="auto"/>
          <w:highlight w:val="none"/>
        </w:rPr>
      </w:pPr>
      <w:r>
        <w:rPr>
          <w:rFonts w:hint="eastAsia" w:ascii="仿宋" w:hAnsi="仿宋" w:eastAsia="仿宋" w:cs="仿宋"/>
          <w:b/>
          <w:color w:val="auto"/>
          <w:highlight w:val="none"/>
        </w:rPr>
        <w:t>（三）响应文件的提交</w:t>
      </w:r>
    </w:p>
    <w:p w14:paraId="7E1D72C8">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电子响应文件可于提交响应文件截止时间前任意时段登录全国公共资源交易平台（陕西省）网站“电子交易平台&gt;企业端”进行提交，逾期系统将拒绝接收。提交时，供应商应登录全国公共资源交易中心平台（陕西省），选择“首页&gt;电子交易平台&gt;企业端&gt;我的项目”，点击“项目流程”，在打开的“项目管理”对话框中选择“上传响应文件”，上传加密的电子响应文件（*.SXSTF）。上传成功后，电子化平台将予以记录。</w:t>
      </w:r>
    </w:p>
    <w:p w14:paraId="77E7601A">
      <w:pPr>
        <w:spacing w:line="500" w:lineRule="exact"/>
        <w:ind w:firstLine="566" w:firstLineChars="200"/>
        <w:rPr>
          <w:rFonts w:ascii="仿宋" w:hAnsi="仿宋" w:eastAsia="仿宋" w:cs="仿宋"/>
          <w:b/>
          <w:bCs/>
          <w:color w:val="auto"/>
          <w:highlight w:val="none"/>
        </w:rPr>
      </w:pPr>
      <w:bookmarkStart w:id="103" w:name="_Toc19646"/>
      <w:bookmarkStart w:id="104" w:name="_Toc9816"/>
      <w:bookmarkStart w:id="105" w:name="_Toc22977"/>
      <w:r>
        <w:rPr>
          <w:rFonts w:hint="eastAsia" w:ascii="仿宋" w:hAnsi="仿宋" w:eastAsia="仿宋" w:cs="仿宋"/>
          <w:b/>
          <w:bCs/>
          <w:color w:val="auto"/>
          <w:highlight w:val="none"/>
        </w:rPr>
        <w:t>（四）响应文件的补充、修改和撤回</w:t>
      </w:r>
      <w:bookmarkEnd w:id="103"/>
      <w:bookmarkEnd w:id="104"/>
      <w:bookmarkEnd w:id="105"/>
    </w:p>
    <w:p w14:paraId="1E56B5F7">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1、供应商在递交响应文件后，且在提交响应文件截止时间前，可以对所提交的响应文件进行补充、修改或撤回。</w:t>
      </w:r>
    </w:p>
    <w:p w14:paraId="57D6E3AA">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2、对电子响应文件进行补充、修改的，应先从电子交易平台上撤回旧版，再重新提交新版。</w:t>
      </w:r>
    </w:p>
    <w:p w14:paraId="4E185DA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3、响应文件提交截止时间后，供应商不得对其响应文件做任何修改。</w:t>
      </w:r>
    </w:p>
    <w:p w14:paraId="001448B1">
      <w:pPr>
        <w:spacing w:line="500" w:lineRule="exact"/>
        <w:ind w:firstLine="566" w:firstLineChars="200"/>
        <w:rPr>
          <w:rFonts w:ascii="仿宋" w:hAnsi="仿宋" w:eastAsia="仿宋" w:cs="仿宋"/>
          <w:b/>
          <w:bCs/>
          <w:color w:val="auto"/>
          <w:highlight w:val="none"/>
        </w:rPr>
      </w:pPr>
      <w:bookmarkStart w:id="106" w:name="_Toc32098"/>
      <w:bookmarkStart w:id="107" w:name="_Toc30680"/>
      <w:bookmarkStart w:id="108" w:name="_Toc12732"/>
      <w:r>
        <w:rPr>
          <w:rFonts w:hint="eastAsia" w:ascii="仿宋" w:hAnsi="仿宋" w:eastAsia="仿宋" w:cs="仿宋"/>
          <w:b/>
          <w:bCs/>
          <w:color w:val="auto"/>
          <w:highlight w:val="none"/>
        </w:rPr>
        <w:t>（五）供应商提交响应文件时，出现下列情况之一的，其响应文件将被拒绝接收：</w:t>
      </w:r>
      <w:bookmarkEnd w:id="106"/>
      <w:bookmarkEnd w:id="107"/>
      <w:bookmarkEnd w:id="108"/>
    </w:p>
    <w:p w14:paraId="5E105CE6">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1、逾期提交响应文件的；</w:t>
      </w:r>
    </w:p>
    <w:p w14:paraId="3B91A98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2、提交的响应文件与本项目不相符的。</w:t>
      </w:r>
    </w:p>
    <w:p w14:paraId="4994612E">
      <w:pPr>
        <w:pStyle w:val="5"/>
        <w:spacing w:line="500" w:lineRule="exact"/>
        <w:ind w:firstLine="566" w:firstLineChars="200"/>
        <w:rPr>
          <w:rFonts w:ascii="仿宋" w:hAnsi="仿宋" w:eastAsia="仿宋" w:cs="仿宋"/>
          <w:color w:val="auto"/>
          <w:sz w:val="28"/>
          <w:szCs w:val="28"/>
          <w:highlight w:val="none"/>
        </w:rPr>
      </w:pPr>
      <w:bookmarkStart w:id="109" w:name="_Toc12874"/>
      <w:bookmarkStart w:id="110" w:name="_Toc5346"/>
      <w:bookmarkStart w:id="111" w:name="_Toc17833"/>
      <w:bookmarkStart w:id="112" w:name="_Toc27069"/>
      <w:bookmarkStart w:id="113" w:name="_Toc7578"/>
      <w:bookmarkStart w:id="114" w:name="_Toc14288"/>
      <w:bookmarkStart w:id="115" w:name="_Toc19496"/>
      <w:bookmarkStart w:id="116" w:name="_Toc6752"/>
      <w:bookmarkStart w:id="117" w:name="_Toc24276"/>
      <w:bookmarkStart w:id="118" w:name="_Toc2111"/>
      <w:bookmarkStart w:id="119" w:name="_Toc5107"/>
      <w:r>
        <w:rPr>
          <w:rStyle w:val="62"/>
          <w:rFonts w:hint="eastAsia" w:ascii="仿宋" w:hAnsi="仿宋" w:eastAsia="仿宋" w:cs="仿宋"/>
          <w:b/>
          <w:bCs/>
          <w:color w:val="auto"/>
          <w:kern w:val="2"/>
          <w:sz w:val="28"/>
          <w:szCs w:val="28"/>
          <w:highlight w:val="none"/>
        </w:rPr>
        <w:t>六、</w:t>
      </w:r>
      <w:r>
        <w:rPr>
          <w:rFonts w:hint="eastAsia" w:ascii="仿宋" w:hAnsi="仿宋" w:eastAsia="仿宋" w:cs="仿宋"/>
          <w:color w:val="auto"/>
          <w:sz w:val="28"/>
          <w:szCs w:val="28"/>
          <w:highlight w:val="none"/>
        </w:rPr>
        <w:t>开启响应文件</w:t>
      </w:r>
      <w:bookmarkEnd w:id="109"/>
      <w:bookmarkEnd w:id="110"/>
      <w:bookmarkEnd w:id="111"/>
      <w:bookmarkEnd w:id="112"/>
      <w:bookmarkEnd w:id="113"/>
      <w:bookmarkEnd w:id="114"/>
      <w:bookmarkEnd w:id="115"/>
      <w:bookmarkEnd w:id="116"/>
      <w:bookmarkEnd w:id="117"/>
      <w:bookmarkEnd w:id="118"/>
      <w:bookmarkEnd w:id="119"/>
    </w:p>
    <w:p w14:paraId="7D873743">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（一）陕西省省级单位政府采购中心组织响应文件的开启、评审工作，整个过程受政府采购监管机构的监督、管理。</w:t>
      </w:r>
    </w:p>
    <w:p w14:paraId="381019AB">
      <w:pPr>
        <w:wordWrap w:val="0"/>
        <w:spacing w:line="500" w:lineRule="exact"/>
        <w:ind w:firstLine="566" w:firstLineChars="200"/>
        <w:jc w:val="left"/>
        <w:rPr>
          <w:rFonts w:hint="eastAsia" w:ascii="仿宋" w:hAnsi="仿宋" w:eastAsia="仿宋" w:cs="仿宋"/>
          <w:color w:val="auto"/>
          <w:highlight w:val="none"/>
        </w:rPr>
      </w:pPr>
      <w:r>
        <w:rPr>
          <w:rFonts w:hint="eastAsia" w:ascii="仿宋" w:hAnsi="仿宋" w:eastAsia="仿宋" w:cs="仿宋"/>
          <w:b/>
          <w:bCs/>
          <w:color w:val="auto"/>
          <w:highlight w:val="none"/>
        </w:rPr>
        <w:t>（二）本项目采用不见面开标方式。供应商需在开启前最少一个小时登录全国公共资源交易平台（陕西省）首页选择“不见面开标-陕西省本级”自行调试，并按照工作人员要求进行投标文件解密，远程观看开启直播。及时加入网络开标大厅公布的腾讯QQ号，以便澄清等情况处理。如遇困难，请拨打系统平台技术支持电话：</w:t>
      </w:r>
      <w:r>
        <w:rPr>
          <w:rFonts w:hint="eastAsia" w:ascii="仿宋" w:hAnsi="仿宋" w:eastAsia="仿宋" w:cs="仿宋"/>
          <w:b/>
          <w:bCs/>
          <w:color w:val="auto"/>
          <w:highlight w:val="none"/>
          <w:lang w:eastAsia="zh-CN"/>
        </w:rPr>
        <w:t>0512-58188039</w:t>
      </w:r>
      <w:r>
        <w:rPr>
          <w:rFonts w:hint="eastAsia" w:ascii="仿宋" w:hAnsi="仿宋" w:eastAsia="仿宋" w:cs="仿宋"/>
          <w:b/>
          <w:bCs/>
          <w:color w:val="auto"/>
          <w:highlight w:val="none"/>
        </w:rPr>
        <w:t>。</w:t>
      </w:r>
    </w:p>
    <w:p w14:paraId="3541047D">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参加</w:t>
      </w:r>
      <w:r>
        <w:rPr>
          <w:rFonts w:hint="eastAsia" w:ascii="仿宋" w:hAnsi="仿宋" w:eastAsia="仿宋" w:cs="仿宋"/>
          <w:color w:val="auto"/>
          <w:highlight w:val="none"/>
          <w:lang w:eastAsia="zh-CN"/>
        </w:rPr>
        <w:t>谈判</w:t>
      </w:r>
      <w:r>
        <w:rPr>
          <w:rFonts w:hint="eastAsia" w:ascii="仿宋" w:hAnsi="仿宋" w:eastAsia="仿宋" w:cs="仿宋"/>
          <w:color w:val="auto"/>
          <w:highlight w:val="none"/>
        </w:rPr>
        <w:t>的供应商不足3家的，不得开启。</w:t>
      </w:r>
    </w:p>
    <w:p w14:paraId="41A02B68">
      <w:pPr>
        <w:spacing w:line="500" w:lineRule="exact"/>
        <w:ind w:firstLine="566"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 xml:space="preserve">（三）开启时，陕西省省级单位政府采购中心现场工作人员将根据项 </w:t>
      </w:r>
    </w:p>
    <w:p w14:paraId="5C0E01B5">
      <w:pPr>
        <w:spacing w:line="500" w:lineRule="exact"/>
        <w:ind w:firstLine="0" w:firstLineChars="0"/>
        <w:rPr>
          <w:rFonts w:hint="eastAsia" w:ascii="仿宋" w:hAnsi="仿宋" w:eastAsia="仿宋" w:cs="仿宋"/>
          <w:color w:val="auto"/>
          <w:highlight w:val="none"/>
        </w:rPr>
      </w:pPr>
      <w:r>
        <w:rPr>
          <w:rFonts w:hint="eastAsia" w:ascii="仿宋" w:hAnsi="仿宋" w:eastAsia="仿宋" w:cs="仿宋"/>
          <w:color w:val="auto"/>
          <w:highlight w:val="none"/>
        </w:rPr>
        <w:t>目供应商数约定解密时长，供应商应在规定时间内，使用电子响应文件加密时所用的数字认证证书（CA锁）自行解密电子响应文件。未在规定时间内解密的，视为响应无效。</w:t>
      </w:r>
    </w:p>
    <w:p w14:paraId="1801D7B6">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（四）供应商对开启过程有疑义，以及认为采购人、陕西省省级单位政府采购中心相关工作人员有需要回避情形的，应在开标</w:t>
      </w:r>
      <w:r>
        <w:rPr>
          <w:rFonts w:hint="eastAsia" w:ascii="仿宋" w:hAnsi="仿宋" w:eastAsia="仿宋" w:cs="仿宋"/>
          <w:color w:val="auto"/>
          <w:highlight w:val="none"/>
          <w:lang w:val="en-US" w:eastAsia="zh-CN"/>
        </w:rPr>
        <w:t>现场</w:t>
      </w:r>
      <w:r>
        <w:rPr>
          <w:rFonts w:hint="eastAsia" w:ascii="仿宋" w:hAnsi="仿宋" w:eastAsia="仿宋" w:cs="仿宋"/>
          <w:color w:val="auto"/>
          <w:highlight w:val="none"/>
        </w:rPr>
        <w:t>提出询问或回避申请，采购人、陕西省省级单位政府采购中心应当及时处理。</w:t>
      </w:r>
    </w:p>
    <w:p w14:paraId="03A6E1FB">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（五）供应商未参加开标的，视同认可开启结果。</w:t>
      </w:r>
    </w:p>
    <w:p w14:paraId="1E9E4FDF">
      <w:pPr>
        <w:spacing w:line="500" w:lineRule="exact"/>
        <w:ind w:firstLine="566" w:firstLineChars="200"/>
        <w:rPr>
          <w:rFonts w:ascii="仿宋" w:hAnsi="仿宋" w:eastAsia="仿宋" w:cs="仿宋"/>
          <w:color w:val="auto"/>
          <w:highlight w:val="none"/>
        </w:rPr>
      </w:pPr>
      <w:r>
        <w:rPr>
          <w:rFonts w:hint="eastAsia" w:ascii="仿宋" w:hAnsi="仿宋" w:eastAsia="仿宋" w:cs="仿宋"/>
          <w:b/>
          <w:bCs/>
          <w:color w:val="auto"/>
          <w:highlight w:val="none"/>
        </w:rPr>
        <w:t>（六）在开启环节出现下列情况之一的，其响应文件视为无效文件：</w:t>
      </w:r>
    </w:p>
    <w:p w14:paraId="24CF1BC9">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1、供应商拒绝对电子响应文件进行解密的；</w:t>
      </w:r>
    </w:p>
    <w:p w14:paraId="2ABC989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2、因供应商自身原因（如解密时使用的CA锁与制作电子响应文件使用的CA锁不一致、或沿用旧版谈判文件编制响应文件等情形），导致在规定时间内无法解密响应文件的；</w:t>
      </w:r>
    </w:p>
    <w:p w14:paraId="0235CB0A">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3、上传的电子响应文件无法打开的；</w:t>
      </w:r>
    </w:p>
    <w:p w14:paraId="1B9E9F9D">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4、政府采购法律法规规定的其他无效情形。</w:t>
      </w:r>
    </w:p>
    <w:p w14:paraId="14A1E81A">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（六）特殊情形下的应急处置</w:t>
      </w:r>
    </w:p>
    <w:p w14:paraId="20C7893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在开启、评审过程中，如因停电、断网、电子化系统故障等特殊原因导致电子化开、评审无法正常进行时，将视电子响应文件解密情况特殊处理。</w:t>
      </w:r>
    </w:p>
    <w:p w14:paraId="54847C90">
      <w:pPr>
        <w:pStyle w:val="2"/>
        <w:spacing w:afterLines="0" w:line="500" w:lineRule="exact"/>
        <w:ind w:firstLine="566" w:firstLineChars="200"/>
        <w:rPr>
          <w:rFonts w:ascii="仿宋" w:hAnsi="仿宋" w:eastAsia="仿宋" w:cs="仿宋"/>
          <w:color w:val="auto"/>
          <w:sz w:val="28"/>
          <w:highlight w:val="none"/>
        </w:rPr>
      </w:pPr>
      <w:r>
        <w:rPr>
          <w:rFonts w:hint="eastAsia" w:ascii="仿宋" w:hAnsi="仿宋" w:eastAsia="仿宋" w:cs="仿宋"/>
          <w:color w:val="auto"/>
          <w:sz w:val="28"/>
          <w:highlight w:val="none"/>
        </w:rPr>
        <w:t>1、开启时电子响应文件未解密的，将另行确定时间继续完成开启程序；</w:t>
      </w:r>
    </w:p>
    <w:p w14:paraId="3FD9EF7E">
      <w:pPr>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2、开启后电子响应文件已解密但评审结论未形成的，将发布废标公告，重新组织采购活动；</w:t>
      </w:r>
    </w:p>
    <w:p w14:paraId="1CE226B4">
      <w:pPr>
        <w:spacing w:line="500" w:lineRule="exact"/>
        <w:ind w:firstLine="566" w:firstLineChars="200"/>
        <w:rPr>
          <w:rFonts w:ascii="仿宋" w:hAnsi="仿宋" w:eastAsia="仿宋" w:cs="仿宋"/>
          <w:color w:val="auto"/>
          <w:sz w:val="28"/>
          <w:highlight w:val="none"/>
        </w:rPr>
      </w:pPr>
      <w:r>
        <w:rPr>
          <w:rFonts w:hint="eastAsia" w:ascii="仿宋" w:hAnsi="仿宋" w:eastAsia="仿宋" w:cs="仿宋"/>
          <w:color w:val="auto"/>
          <w:sz w:val="28"/>
          <w:highlight w:val="none"/>
        </w:rPr>
        <w:t>3、开启后电子响应文件已解密且评审结论已形成的，待特殊情况排除后，继续完成评审活动。</w:t>
      </w:r>
    </w:p>
    <w:p w14:paraId="5714D616">
      <w:pPr>
        <w:spacing w:line="500" w:lineRule="exact"/>
        <w:ind w:firstLine="566" w:firstLineChars="200"/>
        <w:contextualSpacing/>
        <w:outlineLvl w:val="1"/>
        <w:rPr>
          <w:rFonts w:ascii="仿宋" w:hAnsi="仿宋" w:eastAsia="仿宋" w:cs="仿宋"/>
          <w:b/>
          <w:color w:val="auto"/>
          <w:highlight w:val="none"/>
        </w:rPr>
      </w:pPr>
      <w:bookmarkStart w:id="120" w:name="_Toc21780"/>
      <w:bookmarkStart w:id="121" w:name="_Toc25131"/>
      <w:bookmarkStart w:id="122" w:name="_Toc25735"/>
      <w:bookmarkStart w:id="123" w:name="_Toc28035"/>
      <w:bookmarkStart w:id="124" w:name="_Toc20277"/>
      <w:bookmarkStart w:id="125" w:name="_Toc15996"/>
      <w:bookmarkStart w:id="126" w:name="_Toc29305"/>
      <w:bookmarkStart w:id="127" w:name="_Toc32102"/>
      <w:bookmarkStart w:id="128" w:name="_Toc7088"/>
      <w:r>
        <w:rPr>
          <w:rStyle w:val="62"/>
          <w:rFonts w:hint="eastAsia" w:ascii="仿宋" w:hAnsi="仿宋" w:eastAsia="仿宋" w:cs="仿宋"/>
          <w:color w:val="auto"/>
          <w:sz w:val="28"/>
          <w:szCs w:val="28"/>
          <w:highlight w:val="none"/>
        </w:rPr>
        <w:t>七、组织评审</w:t>
      </w:r>
      <w:bookmarkEnd w:id="120"/>
      <w:bookmarkEnd w:id="121"/>
      <w:bookmarkEnd w:id="122"/>
      <w:bookmarkEnd w:id="123"/>
      <w:bookmarkEnd w:id="124"/>
      <w:bookmarkEnd w:id="125"/>
      <w:bookmarkEnd w:id="126"/>
      <w:bookmarkEnd w:id="127"/>
      <w:bookmarkEnd w:id="128"/>
    </w:p>
    <w:p w14:paraId="7972F266">
      <w:pPr>
        <w:pStyle w:val="24"/>
        <w:spacing w:beforeAutospacing="0" w:afterAutospacing="0" w:line="500" w:lineRule="exact"/>
        <w:ind w:firstLine="420"/>
        <w:rPr>
          <w:rFonts w:ascii="仿宋" w:hAnsi="仿宋" w:eastAsia="仿宋" w:cs="仿宋"/>
          <w:b/>
          <w:bCs/>
          <w:color w:val="auto"/>
          <w:sz w:val="28"/>
          <w:highlight w:val="none"/>
        </w:rPr>
      </w:pPr>
      <w:r>
        <w:rPr>
          <w:rFonts w:hint="eastAsia" w:ascii="仿宋" w:hAnsi="仿宋" w:eastAsia="仿宋" w:cs="仿宋"/>
          <w:b/>
          <w:bCs/>
          <w:color w:val="auto"/>
          <w:sz w:val="28"/>
          <w:highlight w:val="none"/>
          <w:shd w:val="clear" w:color="auto" w:fill="FFFFFF"/>
        </w:rPr>
        <w:t>（一）采购代理机构负责组织评审工作，并履行下列职责：</w:t>
      </w:r>
    </w:p>
    <w:p w14:paraId="02FCB564">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1、核对评审专家身份和采购人代表授权函，对评审专家在政府采购活动中的职责履行情况予以记录，并及时将有关违法违规行为向财政部门报告;</w:t>
      </w:r>
    </w:p>
    <w:p w14:paraId="04527E3B">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2、宣布评审纪律;</w:t>
      </w:r>
    </w:p>
    <w:p w14:paraId="4156A6E9">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3、公布供应商名单，告知评审专家应当回避的情形;</w:t>
      </w:r>
    </w:p>
    <w:p w14:paraId="2489E784">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4、组织谈判小组推选评审组长，采购人代表不得担任组长;</w:t>
      </w:r>
    </w:p>
    <w:p w14:paraId="668CFD86">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5、在评审期间采取必要的通讯管理措施，保证评审活动不受外界干扰;</w:t>
      </w:r>
    </w:p>
    <w:p w14:paraId="3686429F">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6、根据谈判小组的要求介绍政府采购相关政策法规、谈判文件;</w:t>
      </w:r>
    </w:p>
    <w:p w14:paraId="5F449C4B">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7、维护评审秩序，监督谈判小组依照谈判文件规定的评审程序、方法和标准进行独立评审，及时制止和纠正采购人代表、评审专家的倾向性言论或者违法违规行为;</w:t>
      </w:r>
    </w:p>
    <w:p w14:paraId="466D8D05">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8、核对评审结果;</w:t>
      </w:r>
    </w:p>
    <w:p w14:paraId="2D77A185">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9、评审工作完成后，按照规定向评审专家支付劳务报酬和异地评审差旅费，不得向评审专家以外的其他人员支付评审劳务报酬;</w:t>
      </w:r>
    </w:p>
    <w:p w14:paraId="0C4623AC">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10、处理与评审有关的其他事项。</w:t>
      </w:r>
    </w:p>
    <w:p w14:paraId="1D69B815">
      <w:pPr>
        <w:pStyle w:val="24"/>
        <w:spacing w:beforeAutospacing="0" w:afterAutospacing="0" w:line="500" w:lineRule="exact"/>
        <w:ind w:firstLine="566" w:firstLineChars="200"/>
        <w:rPr>
          <w:rFonts w:ascii="仿宋" w:hAnsi="仿宋" w:eastAsia="仿宋" w:cs="仿宋"/>
          <w:color w:val="auto"/>
          <w:kern w:val="2"/>
          <w:sz w:val="28"/>
          <w:highlight w:val="none"/>
        </w:rPr>
      </w:pPr>
      <w:r>
        <w:rPr>
          <w:rFonts w:hint="eastAsia" w:ascii="仿宋" w:hAnsi="仿宋" w:eastAsia="仿宋" w:cs="仿宋"/>
          <w:color w:val="auto"/>
          <w:kern w:val="2"/>
          <w:sz w:val="28"/>
          <w:highlight w:val="none"/>
        </w:rPr>
        <w:t>采购人可以在评审前说明项目背景和采购需求，说明内容不得含有歧视性、倾向性意见，不得超出谈判文件所述范围。说明应当提交书面材料，并随谈判文件一并存档。</w:t>
      </w:r>
    </w:p>
    <w:p w14:paraId="039F65E3">
      <w:pPr>
        <w:pStyle w:val="24"/>
        <w:spacing w:beforeAutospacing="0" w:afterAutospacing="0" w:line="500" w:lineRule="exact"/>
        <w:ind w:firstLine="566" w:firstLineChars="200"/>
        <w:rPr>
          <w:rFonts w:ascii="仿宋" w:hAnsi="仿宋" w:eastAsia="仿宋" w:cs="仿宋"/>
          <w:b/>
          <w:bCs/>
          <w:color w:val="auto"/>
          <w:sz w:val="28"/>
          <w:highlight w:val="none"/>
        </w:rPr>
      </w:pPr>
      <w:r>
        <w:rPr>
          <w:rFonts w:hint="eastAsia" w:ascii="仿宋" w:hAnsi="仿宋" w:eastAsia="仿宋" w:cs="仿宋"/>
          <w:b/>
          <w:bCs/>
          <w:color w:val="auto"/>
          <w:sz w:val="28"/>
          <w:highlight w:val="none"/>
          <w:shd w:val="clear" w:color="auto" w:fill="FFFFFF"/>
        </w:rPr>
        <w:t>（二）谈判小组负责具体评审事务，并独立履行下列职责：</w:t>
      </w:r>
    </w:p>
    <w:p w14:paraId="0C5380D3">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1、严格遵守评审工作纪律，按照客观、公正、审慎的原则，根据谈判文件规定的评审程序、评审方法和评审标准进行独立评审；</w:t>
      </w:r>
    </w:p>
    <w:p w14:paraId="691611CC">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2、确认谈判文件；</w:t>
      </w:r>
    </w:p>
    <w:p w14:paraId="4B5EC98E">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3、从符合相应资格条件的供应商名单中确定不少于3家的供应商参加谈判；</w:t>
      </w:r>
    </w:p>
    <w:p w14:paraId="5C9ED91C">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4、审查供应商的响应文件并作出评价；</w:t>
      </w:r>
    </w:p>
    <w:p w14:paraId="199D93D7">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5、要求供应商解释或者澄清其响应文件；</w:t>
      </w:r>
    </w:p>
    <w:p w14:paraId="658C01A2">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6、与供应商分别进行谈判；</w:t>
      </w:r>
    </w:p>
    <w:p w14:paraId="194288DA">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7、编写评审报告；</w:t>
      </w:r>
    </w:p>
    <w:p w14:paraId="5BB5AFF4">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8、确定成交候选人名单，以及根据采购人委托直接确定成交供应商；</w:t>
      </w:r>
    </w:p>
    <w:p w14:paraId="3C61667A">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9、告知采购人、采购代理机构在评审过程中发现的供应商的违法违规行为。</w:t>
      </w:r>
    </w:p>
    <w:p w14:paraId="16DD1908">
      <w:pPr>
        <w:pStyle w:val="24"/>
        <w:spacing w:beforeAutospacing="0" w:afterAutospacing="0" w:line="500" w:lineRule="exact"/>
        <w:ind w:firstLine="566" w:firstLineChars="200"/>
        <w:rPr>
          <w:rFonts w:ascii="仿宋" w:hAnsi="仿宋" w:eastAsia="仿宋" w:cs="仿宋"/>
          <w:color w:val="auto"/>
          <w:sz w:val="28"/>
          <w:highlight w:val="none"/>
          <w:shd w:val="clear" w:color="auto" w:fill="FFFFFF"/>
        </w:rPr>
      </w:pPr>
      <w:r>
        <w:rPr>
          <w:rFonts w:hint="eastAsia" w:ascii="仿宋" w:hAnsi="仿宋" w:eastAsia="仿宋" w:cs="仿宋"/>
          <w:color w:val="auto"/>
          <w:sz w:val="28"/>
          <w:highlight w:val="none"/>
          <w:shd w:val="clear" w:color="auto" w:fill="FFFFFF"/>
        </w:rPr>
        <w:t>10、配合答复供应商的询问、质疑和投诉等事项，不得泄露评审文件、评审情况和在评审过程中获悉的商业秘密；</w:t>
      </w:r>
    </w:p>
    <w:p w14:paraId="0CC7E1AB">
      <w:pPr>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（三）成立谈判小组</w:t>
      </w:r>
    </w:p>
    <w:p w14:paraId="225B272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为了确保谈判工作的公平、公正，依据政府采购法和政府采购相关法规、规章，成立谈判小组，谈判小组由采购人代表和评审专家共3人以上单数组成。达到公开招标数额标准的货物或者服务采购项目，或者达到招标规模标准的政府采购工程，谈判小组应当由5人以上单数组成。其中评审专家人数不少于谈判小组成员总数的三分之二。</w:t>
      </w:r>
    </w:p>
    <w:p w14:paraId="1E641883">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评审专家对本单位的采购项目只能作为采购人代表参与评审。采购代理机构工作人员不得参加由本机构代理的政府采购项目的评标。</w:t>
      </w:r>
    </w:p>
    <w:p w14:paraId="5FFB29BF">
      <w:pPr>
        <w:tabs>
          <w:tab w:val="center" w:pos="4153"/>
          <w:tab w:val="right" w:pos="8306"/>
        </w:tabs>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谈判小组成员名单在评标结果公告前应当保密。</w:t>
      </w:r>
    </w:p>
    <w:p w14:paraId="3CFE22A8">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评审专家将从政府采购评审专家库内相关专业的专家名单中随机抽取。技术复杂、专业性强的采购项目，通过随机方式难以确定合适的评审专家的，经主管预算单位同意，采购人可以自行选定评审专家，评审专家中应当包含1名法律专家。</w:t>
      </w:r>
    </w:p>
    <w:p w14:paraId="3EC17B53">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评审中因谈判小组成员缺席、回避或者健康等特殊原因导致谈判小组组成不符合规定的，陕西省省级单位政府采购中心应当依法补足后继续评审。被更换的谈判小组成员所做出的评审意见无效。无法及时补足谈判小组成员的，陕西省省级单位政府采购中心应当停止评审活动，封存所有响应文件和开标、评审资料，依法重新组建谈判小组进行评审。原谈判小组所做出的评审意见无效。</w:t>
      </w:r>
    </w:p>
    <w:p w14:paraId="1DF11F0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陕西省省级单位政府采购中心应当将变更、重新组建谈判小组的情况予以记录，并随谈判文件一并存档。</w:t>
      </w:r>
    </w:p>
    <w:p w14:paraId="5F93C158">
      <w:pPr>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b/>
          <w:color w:val="auto"/>
          <w:highlight w:val="none"/>
        </w:rPr>
        <w:t>（四）评审方法：最低评标价法</w:t>
      </w:r>
    </w:p>
    <w:p w14:paraId="3BC90273">
      <w:pPr>
        <w:spacing w:line="500" w:lineRule="exact"/>
        <w:ind w:firstLine="566" w:firstLineChars="200"/>
        <w:rPr>
          <w:rFonts w:ascii="仿宋" w:hAnsi="仿宋" w:eastAsia="仿宋" w:cs="仿宋"/>
          <w:b/>
          <w:color w:val="auto"/>
          <w:highlight w:val="none"/>
        </w:rPr>
      </w:pPr>
      <w:r>
        <w:rPr>
          <w:rFonts w:hint="eastAsia" w:ascii="仿宋" w:hAnsi="仿宋" w:eastAsia="仿宋" w:cs="仿宋"/>
          <w:color w:val="auto"/>
          <w:highlight w:val="none"/>
        </w:rPr>
        <w:t>根据质量和服务均能满足谈判文件实质性响应要求且评审报价最低的原则确定成交供应商。</w:t>
      </w:r>
    </w:p>
    <w:p w14:paraId="527A6228">
      <w:pPr>
        <w:spacing w:line="500" w:lineRule="exact"/>
        <w:ind w:left="567"/>
        <w:rPr>
          <w:rFonts w:ascii="仿宋" w:hAnsi="仿宋" w:eastAsia="仿宋" w:cs="仿宋"/>
          <w:color w:val="auto"/>
          <w:highlight w:val="none"/>
        </w:rPr>
      </w:pPr>
      <w:r>
        <w:rPr>
          <w:rFonts w:hint="eastAsia" w:ascii="仿宋" w:hAnsi="仿宋" w:eastAsia="仿宋" w:cs="仿宋"/>
          <w:b/>
          <w:color w:val="auto"/>
          <w:highlight w:val="none"/>
        </w:rPr>
        <w:t>（五）评审程序</w:t>
      </w:r>
    </w:p>
    <w:p w14:paraId="6E1E2721">
      <w:pPr>
        <w:spacing w:line="500" w:lineRule="exact"/>
        <w:ind w:firstLine="566" w:firstLineChars="200"/>
        <w:contextualSpacing/>
        <w:rPr>
          <w:rFonts w:ascii="仿宋" w:hAnsi="仿宋" w:eastAsia="仿宋" w:cs="仿宋"/>
          <w:bCs/>
          <w:color w:val="auto"/>
          <w:highlight w:val="none"/>
        </w:rPr>
      </w:pPr>
      <w:r>
        <w:rPr>
          <w:rFonts w:hint="eastAsia" w:ascii="仿宋" w:hAnsi="仿宋" w:eastAsia="仿宋" w:cs="仿宋"/>
          <w:bCs/>
          <w:color w:val="auto"/>
          <w:highlight w:val="none"/>
        </w:rPr>
        <w:t>分步评审，每一步评审不符合谈判文件要求者，不得进入下一步评审。</w:t>
      </w:r>
    </w:p>
    <w:p w14:paraId="3CE23D90">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1、谈判小组确认或修改谈判文件</w:t>
      </w:r>
    </w:p>
    <w:p w14:paraId="194AA40C">
      <w:pPr>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2、资格审查</w:t>
      </w:r>
    </w:p>
    <w:p w14:paraId="699AE953">
      <w:pPr>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开启结束后，依据法律法规和谈判文件的规定，对响应文件中的供应商资格证明文件进行审查，以确定谈判供应商是否具备谈判资格。</w:t>
      </w:r>
    </w:p>
    <w:p w14:paraId="65D51782">
      <w:pPr>
        <w:spacing w:line="500" w:lineRule="exact"/>
        <w:jc w:val="center"/>
        <w:rPr>
          <w:rFonts w:hint="eastAsia" w:ascii="仿宋" w:hAnsi="仿宋" w:eastAsia="仿宋" w:cs="仿宋"/>
          <w:b/>
          <w:bCs/>
          <w:color w:val="auto"/>
          <w:highlight w:val="none"/>
        </w:rPr>
      </w:pPr>
    </w:p>
    <w:p w14:paraId="1BE5C062">
      <w:pPr>
        <w:spacing w:line="5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资格审查表</w:t>
      </w:r>
    </w:p>
    <w:tbl>
      <w:tblPr>
        <w:tblStyle w:val="28"/>
        <w:tblW w:w="90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742"/>
        <w:gridCol w:w="4898"/>
        <w:gridCol w:w="733"/>
        <w:gridCol w:w="965"/>
      </w:tblGrid>
      <w:tr w14:paraId="5B4A1F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3D950E2C">
            <w:pPr>
              <w:spacing w:line="420" w:lineRule="atLeas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742" w:type="dxa"/>
            <w:vAlign w:val="center"/>
          </w:tcPr>
          <w:p w14:paraId="726FE5C2">
            <w:pPr>
              <w:spacing w:line="420" w:lineRule="atLeast"/>
              <w:jc w:val="center"/>
              <w:rPr>
                <w:rFonts w:ascii="仿宋" w:hAnsi="仿宋" w:eastAsia="仿宋" w:cs="仿宋"/>
                <w:b/>
                <w:color w:val="auto"/>
                <w:kern w:val="28"/>
                <w:sz w:val="24"/>
                <w:szCs w:val="24"/>
                <w:highlight w:val="none"/>
              </w:rPr>
            </w:pPr>
            <w:r>
              <w:rPr>
                <w:rFonts w:hint="eastAsia" w:ascii="仿宋" w:hAnsi="仿宋" w:eastAsia="仿宋" w:cs="仿宋"/>
                <w:b/>
                <w:color w:val="auto"/>
                <w:kern w:val="28"/>
                <w:sz w:val="24"/>
                <w:szCs w:val="24"/>
                <w:highlight w:val="none"/>
              </w:rPr>
              <w:t>资格审查项</w:t>
            </w:r>
          </w:p>
        </w:tc>
        <w:tc>
          <w:tcPr>
            <w:tcW w:w="4898" w:type="dxa"/>
            <w:vAlign w:val="center"/>
          </w:tcPr>
          <w:p w14:paraId="7CDB8815">
            <w:pPr>
              <w:spacing w:line="420" w:lineRule="atLeast"/>
              <w:jc w:val="center"/>
              <w:rPr>
                <w:rFonts w:ascii="仿宋" w:hAnsi="仿宋" w:eastAsia="仿宋" w:cs="仿宋"/>
                <w:b/>
                <w:color w:val="auto"/>
                <w:kern w:val="28"/>
                <w:sz w:val="24"/>
                <w:szCs w:val="24"/>
                <w:highlight w:val="none"/>
              </w:rPr>
            </w:pPr>
            <w:r>
              <w:rPr>
                <w:rFonts w:hint="eastAsia" w:ascii="仿宋" w:hAnsi="仿宋" w:eastAsia="仿宋" w:cs="仿宋"/>
                <w:b/>
                <w:color w:val="auto"/>
                <w:kern w:val="28"/>
                <w:sz w:val="24"/>
                <w:szCs w:val="24"/>
                <w:highlight w:val="none"/>
              </w:rPr>
              <w:t>通过条件</w:t>
            </w:r>
          </w:p>
        </w:tc>
        <w:tc>
          <w:tcPr>
            <w:tcW w:w="733" w:type="dxa"/>
            <w:vAlign w:val="center"/>
          </w:tcPr>
          <w:p w14:paraId="12F1D7B8">
            <w:pPr>
              <w:spacing w:line="420" w:lineRule="atLeas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结论</w:t>
            </w:r>
          </w:p>
        </w:tc>
        <w:tc>
          <w:tcPr>
            <w:tcW w:w="965" w:type="dxa"/>
            <w:vAlign w:val="center"/>
          </w:tcPr>
          <w:p w14:paraId="1094C307">
            <w:pPr>
              <w:spacing w:line="420" w:lineRule="atLeast"/>
              <w:jc w:val="center"/>
              <w:rPr>
                <w:rFonts w:ascii="仿宋" w:hAnsi="仿宋" w:eastAsia="仿宋" w:cs="仿宋"/>
                <w:b/>
                <w:color w:val="auto"/>
                <w:sz w:val="24"/>
                <w:szCs w:val="24"/>
                <w:highlight w:val="none"/>
              </w:rPr>
            </w:pPr>
            <w:r>
              <w:rPr>
                <w:rFonts w:hint="eastAsia" w:ascii="仿宋" w:hAnsi="仿宋" w:eastAsia="仿宋" w:cs="仿宋"/>
                <w:b/>
                <w:color w:val="auto"/>
                <w:sz w:val="24"/>
                <w:szCs w:val="24"/>
                <w:highlight w:val="none"/>
              </w:rPr>
              <w:t>不通过原因</w:t>
            </w:r>
          </w:p>
        </w:tc>
      </w:tr>
      <w:tr w14:paraId="40921A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36B5E0D9">
            <w:pPr>
              <w:spacing w:line="420" w:lineRule="atLeast"/>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1</w:t>
            </w:r>
          </w:p>
        </w:tc>
        <w:tc>
          <w:tcPr>
            <w:tcW w:w="1742" w:type="dxa"/>
            <w:vAlign w:val="center"/>
          </w:tcPr>
          <w:p w14:paraId="70DB3F84">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营业执照等主体资格证明文件</w:t>
            </w:r>
          </w:p>
        </w:tc>
        <w:tc>
          <w:tcPr>
            <w:tcW w:w="4898" w:type="dxa"/>
            <w:vAlign w:val="center"/>
          </w:tcPr>
          <w:p w14:paraId="075A5457">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提供有效存续的企业营业执照（副本）</w:t>
            </w:r>
            <w:r>
              <w:rPr>
                <w:rFonts w:ascii="仿宋" w:hAnsi="仿宋" w:eastAsia="仿宋" w:cs="仿宋"/>
                <w:color w:val="auto"/>
                <w:kern w:val="28"/>
                <w:sz w:val="24"/>
                <w:szCs w:val="24"/>
                <w:highlight w:val="none"/>
              </w:rPr>
              <w:t>/事业单位法人证书/专业服务机构执业许可证/民办非企业单位登记证书。</w:t>
            </w:r>
          </w:p>
        </w:tc>
        <w:tc>
          <w:tcPr>
            <w:tcW w:w="733" w:type="dxa"/>
            <w:vAlign w:val="center"/>
          </w:tcPr>
          <w:p w14:paraId="672B4032">
            <w:pPr>
              <w:spacing w:line="420" w:lineRule="atLeast"/>
              <w:rPr>
                <w:rFonts w:ascii="仿宋" w:hAnsi="仿宋" w:eastAsia="仿宋" w:cs="仿宋"/>
                <w:b/>
                <w:color w:val="auto"/>
                <w:sz w:val="24"/>
                <w:szCs w:val="24"/>
                <w:highlight w:val="none"/>
              </w:rPr>
            </w:pPr>
          </w:p>
        </w:tc>
        <w:tc>
          <w:tcPr>
            <w:tcW w:w="965" w:type="dxa"/>
            <w:vAlign w:val="center"/>
          </w:tcPr>
          <w:p w14:paraId="39EF2F18">
            <w:pPr>
              <w:spacing w:line="420" w:lineRule="atLeast"/>
              <w:rPr>
                <w:rFonts w:ascii="仿宋" w:hAnsi="仿宋" w:eastAsia="仿宋" w:cs="仿宋"/>
                <w:b/>
                <w:color w:val="auto"/>
                <w:sz w:val="24"/>
                <w:szCs w:val="24"/>
                <w:highlight w:val="none"/>
              </w:rPr>
            </w:pPr>
          </w:p>
        </w:tc>
      </w:tr>
      <w:tr w14:paraId="731B1F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58622ED7">
            <w:pPr>
              <w:spacing w:line="420" w:lineRule="atLeast"/>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2</w:t>
            </w:r>
          </w:p>
        </w:tc>
        <w:tc>
          <w:tcPr>
            <w:tcW w:w="1742" w:type="dxa"/>
            <w:vAlign w:val="center"/>
          </w:tcPr>
          <w:p w14:paraId="35402E47">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财务状况报告</w:t>
            </w:r>
          </w:p>
        </w:tc>
        <w:tc>
          <w:tcPr>
            <w:tcW w:w="4898" w:type="dxa"/>
            <w:vAlign w:val="center"/>
          </w:tcPr>
          <w:p w14:paraId="6855BE7D">
            <w:pPr>
              <w:spacing w:line="420" w:lineRule="atLeast"/>
              <w:rPr>
                <w:rFonts w:hint="eastAsia" w:ascii="仿宋" w:hAnsi="仿宋" w:eastAsia="仿宋" w:cs="仿宋"/>
                <w:color w:val="auto"/>
                <w:kern w:val="28"/>
                <w:sz w:val="24"/>
                <w:szCs w:val="24"/>
                <w:highlight w:val="none"/>
                <w:lang w:eastAsia="zh-CN"/>
              </w:rPr>
            </w:pPr>
            <w:r>
              <w:rPr>
                <w:rFonts w:hint="eastAsia" w:ascii="仿宋" w:hAnsi="仿宋" w:eastAsia="仿宋" w:cs="仿宋"/>
                <w:color w:val="auto"/>
                <w:kern w:val="28"/>
                <w:sz w:val="24"/>
                <w:szCs w:val="24"/>
                <w:highlight w:val="none"/>
                <w:lang w:val="en-US" w:eastAsia="zh-CN"/>
              </w:rPr>
              <w:t>以下两种资料提供任意一种即可：</w:t>
            </w:r>
          </w:p>
          <w:p w14:paraId="1A9A14E0">
            <w:pPr>
              <w:spacing w:line="420" w:lineRule="atLeast"/>
              <w:rPr>
                <w:rFonts w:hint="eastAsia"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（1）提供递交</w:t>
            </w:r>
            <w:r>
              <w:rPr>
                <w:rFonts w:hint="eastAsia" w:ascii="仿宋" w:hAnsi="仿宋" w:eastAsia="仿宋" w:cs="仿宋"/>
                <w:color w:val="auto"/>
                <w:kern w:val="28"/>
                <w:sz w:val="24"/>
                <w:szCs w:val="24"/>
                <w:highlight w:val="none"/>
                <w:lang w:val="en-US" w:eastAsia="zh-CN"/>
              </w:rPr>
              <w:t>响应</w:t>
            </w:r>
            <w:r>
              <w:rPr>
                <w:rFonts w:hint="eastAsia" w:ascii="仿宋" w:hAnsi="仿宋" w:eastAsia="仿宋" w:cs="仿宋"/>
                <w:color w:val="auto"/>
                <w:kern w:val="28"/>
                <w:sz w:val="24"/>
                <w:szCs w:val="24"/>
                <w:highlight w:val="none"/>
              </w:rPr>
              <w:t>文件截止之日前两年内任意一个年度经审计的财务报告（包括“四表一注”，即资产负债表、利润表、现金流量表、所有者权益变动表及其附注，符合《</w:t>
            </w:r>
            <w:r>
              <w:rPr>
                <w:rFonts w:hint="eastAsia" w:ascii="仿宋" w:hAnsi="仿宋" w:eastAsia="仿宋" w:cs="仿宋"/>
                <w:color w:val="auto"/>
                <w:kern w:val="28"/>
                <w:sz w:val="24"/>
                <w:szCs w:val="24"/>
                <w:highlight w:val="none"/>
              </w:rPr>
              <w:fldChar w:fldCharType="begin"/>
            </w:r>
            <w:r>
              <w:rPr>
                <w:rFonts w:hint="eastAsia" w:ascii="仿宋" w:hAnsi="仿宋" w:eastAsia="仿宋" w:cs="仿宋"/>
                <w:color w:val="auto"/>
                <w:kern w:val="28"/>
                <w:sz w:val="24"/>
                <w:szCs w:val="24"/>
                <w:highlight w:val="none"/>
              </w:rPr>
              <w:instrText xml:space="preserve"> HYPERLINK "https://baike.baidu.com/item/%E4%B8%AD%E5%B0%8F%E4%BC%81%E4%B8%9A%E5%88%92%E5%9E%8B%E6%A0%87%E5%87%86%E8%A7%84%E5%AE%9A/0?fromModule=lemma_inlink" \t "https://baike.baidu.com/item/%E5%B0%8F%E4%BC%81%E4%B8%9A%E4%BC%9A%E8%AE%A1%E5%87%86%E5%88%99/_blank" </w:instrText>
            </w:r>
            <w:r>
              <w:rPr>
                <w:rFonts w:hint="eastAsia" w:ascii="仿宋" w:hAnsi="仿宋" w:eastAsia="仿宋" w:cs="仿宋"/>
                <w:color w:val="auto"/>
                <w:kern w:val="28"/>
                <w:sz w:val="24"/>
                <w:szCs w:val="24"/>
                <w:highlight w:val="none"/>
              </w:rPr>
              <w:fldChar w:fldCharType="separate"/>
            </w:r>
            <w:r>
              <w:rPr>
                <w:rFonts w:hint="eastAsia" w:ascii="仿宋" w:hAnsi="仿宋" w:eastAsia="仿宋" w:cs="仿宋"/>
                <w:color w:val="auto"/>
                <w:kern w:val="28"/>
                <w:sz w:val="24"/>
                <w:szCs w:val="24"/>
                <w:highlight w:val="none"/>
              </w:rPr>
              <w:t>中小企业划型标准规定</w:t>
            </w:r>
            <w:r>
              <w:rPr>
                <w:rFonts w:hint="eastAsia" w:ascii="仿宋" w:hAnsi="仿宋" w:eastAsia="仿宋" w:cs="仿宋"/>
                <w:color w:val="auto"/>
                <w:kern w:val="28"/>
                <w:sz w:val="24"/>
                <w:szCs w:val="24"/>
                <w:highlight w:val="none"/>
              </w:rPr>
              <w:fldChar w:fldCharType="end"/>
            </w:r>
            <w:r>
              <w:rPr>
                <w:rFonts w:hint="eastAsia" w:ascii="仿宋" w:hAnsi="仿宋" w:eastAsia="仿宋" w:cs="仿宋"/>
                <w:color w:val="auto"/>
                <w:kern w:val="28"/>
                <w:sz w:val="24"/>
                <w:szCs w:val="24"/>
                <w:highlight w:val="none"/>
              </w:rPr>
              <w:t>》的小型企业按照《小企业会计准则》执行。成立时间至提交</w:t>
            </w:r>
            <w:r>
              <w:rPr>
                <w:rFonts w:hint="eastAsia" w:ascii="仿宋" w:hAnsi="仿宋" w:eastAsia="仿宋" w:cs="仿宋"/>
                <w:color w:val="auto"/>
                <w:kern w:val="28"/>
                <w:sz w:val="24"/>
                <w:szCs w:val="24"/>
                <w:highlight w:val="none"/>
                <w:lang w:val="en-US" w:eastAsia="zh-CN"/>
              </w:rPr>
              <w:t>响应</w:t>
            </w:r>
            <w:r>
              <w:rPr>
                <w:rFonts w:hint="eastAsia" w:ascii="仿宋" w:hAnsi="仿宋" w:eastAsia="仿宋" w:cs="仿宋"/>
                <w:color w:val="auto"/>
                <w:kern w:val="28"/>
                <w:sz w:val="24"/>
                <w:szCs w:val="24"/>
                <w:highlight w:val="none"/>
              </w:rPr>
              <w:t>文件截止时间不足一年的可提供成立后任意时段的资产负债表）</w:t>
            </w:r>
            <w:r>
              <w:rPr>
                <w:rFonts w:hint="eastAsia" w:ascii="仿宋" w:hAnsi="仿宋" w:eastAsia="仿宋" w:cs="仿宋"/>
                <w:color w:val="auto"/>
                <w:kern w:val="28"/>
                <w:sz w:val="24"/>
                <w:szCs w:val="24"/>
                <w:highlight w:val="none"/>
                <w:lang w:eastAsia="zh-CN"/>
              </w:rPr>
              <w:t>，审计报告需具有注册会计师行业统一监管平台赋予的验证码</w:t>
            </w:r>
            <w:r>
              <w:rPr>
                <w:rFonts w:hint="eastAsia" w:ascii="仿宋" w:hAnsi="仿宋" w:eastAsia="仿宋" w:cs="仿宋"/>
                <w:color w:val="auto"/>
                <w:kern w:val="28"/>
                <w:sz w:val="24"/>
                <w:szCs w:val="24"/>
                <w:highlight w:val="none"/>
              </w:rPr>
              <w:t>；</w:t>
            </w:r>
          </w:p>
          <w:p w14:paraId="03B1C703">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（2）其开标前三个月内基本开户银行出具的资信证明。</w:t>
            </w:r>
          </w:p>
        </w:tc>
        <w:tc>
          <w:tcPr>
            <w:tcW w:w="733" w:type="dxa"/>
            <w:vAlign w:val="center"/>
          </w:tcPr>
          <w:p w14:paraId="31BA7D18">
            <w:pPr>
              <w:spacing w:line="420" w:lineRule="atLeast"/>
              <w:rPr>
                <w:rFonts w:ascii="仿宋" w:hAnsi="仿宋" w:eastAsia="仿宋" w:cs="仿宋"/>
                <w:b/>
                <w:color w:val="auto"/>
                <w:sz w:val="24"/>
                <w:szCs w:val="24"/>
                <w:highlight w:val="none"/>
              </w:rPr>
            </w:pPr>
          </w:p>
        </w:tc>
        <w:tc>
          <w:tcPr>
            <w:tcW w:w="965" w:type="dxa"/>
            <w:vAlign w:val="center"/>
          </w:tcPr>
          <w:p w14:paraId="42862F1C">
            <w:pPr>
              <w:spacing w:line="420" w:lineRule="atLeast"/>
              <w:rPr>
                <w:rFonts w:ascii="仿宋" w:hAnsi="仿宋" w:eastAsia="仿宋" w:cs="仿宋"/>
                <w:b/>
                <w:color w:val="auto"/>
                <w:sz w:val="24"/>
                <w:szCs w:val="24"/>
                <w:highlight w:val="none"/>
              </w:rPr>
            </w:pPr>
          </w:p>
        </w:tc>
      </w:tr>
      <w:tr w14:paraId="1DB046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094FB1F3">
            <w:pPr>
              <w:spacing w:line="420" w:lineRule="atLeast"/>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3</w:t>
            </w:r>
          </w:p>
        </w:tc>
        <w:tc>
          <w:tcPr>
            <w:tcW w:w="1742" w:type="dxa"/>
            <w:vAlign w:val="center"/>
          </w:tcPr>
          <w:p w14:paraId="09FD7444">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社保缴纳证明</w:t>
            </w:r>
          </w:p>
        </w:tc>
        <w:tc>
          <w:tcPr>
            <w:tcW w:w="4898" w:type="dxa"/>
            <w:vAlign w:val="center"/>
          </w:tcPr>
          <w:p w14:paraId="1D0D7E21">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提供递交响应文件截止之日前一年内任意一个月的社会保障资金缴存单据或社保机构开具的社会保险参保缴费情况证明。依法不需要缴纳社会保障资金的供应商应提供相关证明文件。</w:t>
            </w:r>
          </w:p>
        </w:tc>
        <w:tc>
          <w:tcPr>
            <w:tcW w:w="733" w:type="dxa"/>
            <w:vAlign w:val="center"/>
          </w:tcPr>
          <w:p w14:paraId="25512F59">
            <w:pPr>
              <w:spacing w:line="420" w:lineRule="atLeast"/>
              <w:rPr>
                <w:rFonts w:ascii="仿宋" w:hAnsi="仿宋" w:eastAsia="仿宋" w:cs="仿宋"/>
                <w:b/>
                <w:color w:val="auto"/>
                <w:sz w:val="24"/>
                <w:szCs w:val="24"/>
                <w:highlight w:val="none"/>
              </w:rPr>
            </w:pPr>
          </w:p>
        </w:tc>
        <w:tc>
          <w:tcPr>
            <w:tcW w:w="965" w:type="dxa"/>
            <w:vAlign w:val="center"/>
          </w:tcPr>
          <w:p w14:paraId="149E6763">
            <w:pPr>
              <w:spacing w:line="420" w:lineRule="atLeast"/>
              <w:rPr>
                <w:rFonts w:ascii="仿宋" w:hAnsi="仿宋" w:eastAsia="仿宋" w:cs="仿宋"/>
                <w:b/>
                <w:color w:val="auto"/>
                <w:sz w:val="24"/>
                <w:szCs w:val="24"/>
                <w:highlight w:val="none"/>
              </w:rPr>
            </w:pPr>
          </w:p>
        </w:tc>
      </w:tr>
      <w:tr w14:paraId="428C6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211172BB">
            <w:pPr>
              <w:spacing w:line="420" w:lineRule="atLeast"/>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4</w:t>
            </w:r>
          </w:p>
        </w:tc>
        <w:tc>
          <w:tcPr>
            <w:tcW w:w="1742" w:type="dxa"/>
            <w:vAlign w:val="center"/>
          </w:tcPr>
          <w:p w14:paraId="7CE2946D">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税收缴纳证明</w:t>
            </w:r>
          </w:p>
        </w:tc>
        <w:tc>
          <w:tcPr>
            <w:tcW w:w="4898" w:type="dxa"/>
            <w:vAlign w:val="center"/>
          </w:tcPr>
          <w:p w14:paraId="199A2463">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提供递交</w:t>
            </w:r>
            <w:r>
              <w:rPr>
                <w:rFonts w:hint="eastAsia" w:ascii="仿宋" w:hAnsi="仿宋" w:eastAsia="仿宋" w:cs="仿宋"/>
                <w:color w:val="auto"/>
                <w:kern w:val="28"/>
                <w:sz w:val="24"/>
                <w:szCs w:val="24"/>
                <w:highlight w:val="none"/>
                <w:lang w:eastAsia="zh-CN"/>
              </w:rPr>
              <w:t>响应文件</w:t>
            </w:r>
            <w:r>
              <w:rPr>
                <w:rFonts w:hint="eastAsia" w:ascii="仿宋" w:hAnsi="仿宋" w:eastAsia="仿宋" w:cs="仿宋"/>
                <w:color w:val="auto"/>
                <w:kern w:val="28"/>
                <w:sz w:val="24"/>
                <w:szCs w:val="24"/>
                <w:highlight w:val="none"/>
              </w:rPr>
              <w:t>截止之日前一年内任意一个月的依法缴纳税收的完税证明，完税证明应有税务机关或代收机关的公章或业务专用章。依法免税或无须缴纳税收的</w:t>
            </w:r>
            <w:r>
              <w:rPr>
                <w:rFonts w:hint="eastAsia" w:ascii="仿宋" w:hAnsi="仿宋" w:eastAsia="仿宋" w:cs="仿宋"/>
                <w:color w:val="auto"/>
                <w:kern w:val="28"/>
                <w:sz w:val="24"/>
                <w:szCs w:val="24"/>
                <w:highlight w:val="none"/>
                <w:lang w:eastAsia="zh-CN"/>
              </w:rPr>
              <w:t>供应商</w:t>
            </w:r>
            <w:r>
              <w:rPr>
                <w:rFonts w:hint="eastAsia" w:ascii="仿宋" w:hAnsi="仿宋" w:eastAsia="仿宋" w:cs="仿宋"/>
                <w:color w:val="auto"/>
                <w:kern w:val="28"/>
                <w:sz w:val="24"/>
                <w:szCs w:val="24"/>
                <w:highlight w:val="none"/>
              </w:rPr>
              <w:t>，应提供相应证明文件。</w:t>
            </w:r>
          </w:p>
        </w:tc>
        <w:tc>
          <w:tcPr>
            <w:tcW w:w="733" w:type="dxa"/>
            <w:vAlign w:val="center"/>
          </w:tcPr>
          <w:p w14:paraId="418A1C5B">
            <w:pPr>
              <w:spacing w:line="420" w:lineRule="atLeast"/>
              <w:rPr>
                <w:rFonts w:ascii="仿宋" w:hAnsi="仿宋" w:eastAsia="仿宋" w:cs="仿宋"/>
                <w:b/>
                <w:color w:val="auto"/>
                <w:sz w:val="24"/>
                <w:szCs w:val="24"/>
                <w:highlight w:val="none"/>
              </w:rPr>
            </w:pPr>
          </w:p>
        </w:tc>
        <w:tc>
          <w:tcPr>
            <w:tcW w:w="965" w:type="dxa"/>
            <w:vAlign w:val="center"/>
          </w:tcPr>
          <w:p w14:paraId="1D845B5E">
            <w:pPr>
              <w:spacing w:line="420" w:lineRule="atLeast"/>
              <w:rPr>
                <w:rFonts w:ascii="仿宋" w:hAnsi="仿宋" w:eastAsia="仿宋" w:cs="仿宋"/>
                <w:b/>
                <w:color w:val="auto"/>
                <w:sz w:val="24"/>
                <w:szCs w:val="24"/>
                <w:highlight w:val="none"/>
              </w:rPr>
            </w:pPr>
          </w:p>
        </w:tc>
      </w:tr>
      <w:tr w14:paraId="3249D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77C976AA">
            <w:pPr>
              <w:spacing w:line="420" w:lineRule="atLeast"/>
              <w:jc w:val="center"/>
              <w:rPr>
                <w:rFonts w:ascii="仿宋" w:hAnsi="仿宋" w:eastAsia="仿宋" w:cs="仿宋"/>
                <w:bCs/>
                <w:color w:val="auto"/>
                <w:sz w:val="24"/>
                <w:szCs w:val="24"/>
                <w:highlight w:val="none"/>
              </w:rPr>
            </w:pPr>
            <w:r>
              <w:rPr>
                <w:rFonts w:ascii="仿宋" w:hAnsi="仿宋" w:eastAsia="仿宋" w:cs="仿宋"/>
                <w:bCs/>
                <w:color w:val="auto"/>
                <w:sz w:val="24"/>
                <w:szCs w:val="24"/>
                <w:highlight w:val="none"/>
              </w:rPr>
              <w:t>5</w:t>
            </w:r>
          </w:p>
        </w:tc>
        <w:tc>
          <w:tcPr>
            <w:tcW w:w="1742" w:type="dxa"/>
            <w:vAlign w:val="center"/>
          </w:tcPr>
          <w:p w14:paraId="36E83E94">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信用记录</w:t>
            </w:r>
          </w:p>
        </w:tc>
        <w:tc>
          <w:tcPr>
            <w:tcW w:w="4898" w:type="dxa"/>
            <w:vAlign w:val="center"/>
          </w:tcPr>
          <w:p w14:paraId="5FA3E713">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供应商信用记录书面声明函》。经查，供应商未被列入“信用中国”网站记录的“失信被执行人”或“重大税收违法案件当事人”名单；不处于“中国政府采购网”记录的“政府采购严重违法失信行为信息记录名单”中的禁止参加政府采购活动期间。</w:t>
            </w:r>
          </w:p>
        </w:tc>
        <w:tc>
          <w:tcPr>
            <w:tcW w:w="733" w:type="dxa"/>
            <w:vAlign w:val="center"/>
          </w:tcPr>
          <w:p w14:paraId="709BA171">
            <w:pPr>
              <w:spacing w:line="420" w:lineRule="atLeast"/>
              <w:rPr>
                <w:rFonts w:ascii="仿宋" w:hAnsi="仿宋" w:eastAsia="仿宋" w:cs="仿宋"/>
                <w:b/>
                <w:color w:val="auto"/>
                <w:sz w:val="24"/>
                <w:szCs w:val="24"/>
                <w:highlight w:val="none"/>
              </w:rPr>
            </w:pPr>
          </w:p>
        </w:tc>
        <w:tc>
          <w:tcPr>
            <w:tcW w:w="965" w:type="dxa"/>
            <w:vAlign w:val="center"/>
          </w:tcPr>
          <w:p w14:paraId="5020639A">
            <w:pPr>
              <w:spacing w:line="420" w:lineRule="atLeast"/>
              <w:rPr>
                <w:rFonts w:ascii="仿宋" w:hAnsi="仿宋" w:eastAsia="仿宋" w:cs="仿宋"/>
                <w:b/>
                <w:color w:val="auto"/>
                <w:sz w:val="24"/>
                <w:szCs w:val="24"/>
                <w:highlight w:val="none"/>
              </w:rPr>
            </w:pPr>
          </w:p>
        </w:tc>
      </w:tr>
      <w:tr w14:paraId="11F78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4B666F39">
            <w:pPr>
              <w:spacing w:line="420" w:lineRule="atLeast"/>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6</w:t>
            </w:r>
          </w:p>
        </w:tc>
        <w:tc>
          <w:tcPr>
            <w:tcW w:w="1742" w:type="dxa"/>
            <w:vAlign w:val="center"/>
          </w:tcPr>
          <w:p w14:paraId="16C0B0A8">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控股管理关系</w:t>
            </w:r>
          </w:p>
        </w:tc>
        <w:tc>
          <w:tcPr>
            <w:tcW w:w="4898" w:type="dxa"/>
            <w:vAlign w:val="center"/>
          </w:tcPr>
          <w:p w14:paraId="5B247489">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提供直接控股和管理关系清单。若与其他供应商存在单位负责人为同一人或者存在直接控股、管理关系的，则响应无效。</w:t>
            </w:r>
          </w:p>
        </w:tc>
        <w:tc>
          <w:tcPr>
            <w:tcW w:w="733" w:type="dxa"/>
            <w:vAlign w:val="center"/>
          </w:tcPr>
          <w:p w14:paraId="4E234005">
            <w:pPr>
              <w:spacing w:line="420" w:lineRule="atLeast"/>
              <w:rPr>
                <w:rFonts w:ascii="仿宋" w:hAnsi="仿宋" w:eastAsia="仿宋" w:cs="仿宋"/>
                <w:b/>
                <w:color w:val="auto"/>
                <w:sz w:val="24"/>
                <w:szCs w:val="24"/>
                <w:highlight w:val="none"/>
              </w:rPr>
            </w:pPr>
          </w:p>
        </w:tc>
        <w:tc>
          <w:tcPr>
            <w:tcW w:w="965" w:type="dxa"/>
            <w:vAlign w:val="center"/>
          </w:tcPr>
          <w:p w14:paraId="7A9B6FA9">
            <w:pPr>
              <w:spacing w:line="420" w:lineRule="atLeast"/>
              <w:rPr>
                <w:rFonts w:ascii="仿宋" w:hAnsi="仿宋" w:eastAsia="仿宋" w:cs="仿宋"/>
                <w:b/>
                <w:color w:val="auto"/>
                <w:sz w:val="24"/>
                <w:szCs w:val="24"/>
                <w:highlight w:val="none"/>
              </w:rPr>
            </w:pPr>
          </w:p>
        </w:tc>
      </w:tr>
      <w:tr w14:paraId="1650D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5CD23564">
            <w:pPr>
              <w:spacing w:line="420" w:lineRule="atLeast"/>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7</w:t>
            </w:r>
          </w:p>
        </w:tc>
        <w:tc>
          <w:tcPr>
            <w:tcW w:w="1742" w:type="dxa"/>
            <w:vAlign w:val="center"/>
          </w:tcPr>
          <w:p w14:paraId="198D25FE">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书面声明</w:t>
            </w:r>
          </w:p>
        </w:tc>
        <w:tc>
          <w:tcPr>
            <w:tcW w:w="4898" w:type="dxa"/>
            <w:vAlign w:val="center"/>
          </w:tcPr>
          <w:p w14:paraId="5D4A2A48">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提供书面声明，包括声明具有履行合同所必需的设备和专业技术能力；未为本项目提供整体设计、规范编制或者项目管理、监理、检测等服务。</w:t>
            </w:r>
          </w:p>
        </w:tc>
        <w:tc>
          <w:tcPr>
            <w:tcW w:w="733" w:type="dxa"/>
            <w:vAlign w:val="center"/>
          </w:tcPr>
          <w:p w14:paraId="40C4FA93">
            <w:pPr>
              <w:spacing w:line="420" w:lineRule="atLeast"/>
              <w:rPr>
                <w:rFonts w:ascii="仿宋" w:hAnsi="仿宋" w:eastAsia="仿宋" w:cs="仿宋"/>
                <w:b/>
                <w:color w:val="auto"/>
                <w:sz w:val="24"/>
                <w:szCs w:val="24"/>
                <w:highlight w:val="none"/>
              </w:rPr>
            </w:pPr>
          </w:p>
        </w:tc>
        <w:tc>
          <w:tcPr>
            <w:tcW w:w="965" w:type="dxa"/>
            <w:vAlign w:val="center"/>
          </w:tcPr>
          <w:p w14:paraId="4A662C30">
            <w:pPr>
              <w:spacing w:line="420" w:lineRule="atLeast"/>
              <w:rPr>
                <w:rFonts w:ascii="仿宋" w:hAnsi="仿宋" w:eastAsia="仿宋" w:cs="仿宋"/>
                <w:b/>
                <w:color w:val="auto"/>
                <w:sz w:val="24"/>
                <w:szCs w:val="24"/>
                <w:highlight w:val="none"/>
              </w:rPr>
            </w:pPr>
          </w:p>
        </w:tc>
      </w:tr>
      <w:tr w14:paraId="506CC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vAlign w:val="center"/>
          </w:tcPr>
          <w:p w14:paraId="1902579B">
            <w:pPr>
              <w:spacing w:line="420" w:lineRule="atLeast"/>
              <w:jc w:val="center"/>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8</w:t>
            </w:r>
          </w:p>
        </w:tc>
        <w:tc>
          <w:tcPr>
            <w:tcW w:w="1742" w:type="dxa"/>
            <w:vAlign w:val="center"/>
          </w:tcPr>
          <w:p w14:paraId="5168E6B9">
            <w:pPr>
              <w:spacing w:line="420" w:lineRule="atLeast"/>
              <w:jc w:val="center"/>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法定代表人授权委托书</w:t>
            </w:r>
          </w:p>
        </w:tc>
        <w:tc>
          <w:tcPr>
            <w:tcW w:w="4898" w:type="dxa"/>
            <w:vAlign w:val="center"/>
          </w:tcPr>
          <w:p w14:paraId="39552741">
            <w:pPr>
              <w:spacing w:line="240" w:lineRule="auto"/>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法定代表人参加</w:t>
            </w:r>
            <w:r>
              <w:rPr>
                <w:rFonts w:hint="eastAsia" w:ascii="仿宋" w:hAnsi="仿宋" w:eastAsia="仿宋" w:cs="仿宋"/>
                <w:color w:val="auto"/>
                <w:kern w:val="28"/>
                <w:sz w:val="24"/>
                <w:szCs w:val="24"/>
                <w:highlight w:val="none"/>
                <w:lang w:val="en-US" w:eastAsia="zh-CN"/>
              </w:rPr>
              <w:t>谈判</w:t>
            </w:r>
            <w:r>
              <w:rPr>
                <w:rFonts w:hint="eastAsia" w:ascii="仿宋" w:hAnsi="仿宋" w:eastAsia="仿宋" w:cs="仿宋"/>
                <w:color w:val="auto"/>
                <w:kern w:val="28"/>
                <w:sz w:val="24"/>
                <w:szCs w:val="24"/>
                <w:highlight w:val="none"/>
              </w:rPr>
              <w:t>的，须提供本人身份证复印件（附在资格证明文件中）；法定代表人授权他人参加</w:t>
            </w:r>
            <w:r>
              <w:rPr>
                <w:rFonts w:hint="eastAsia" w:ascii="仿宋" w:hAnsi="仿宋" w:eastAsia="仿宋" w:cs="仿宋"/>
                <w:color w:val="auto"/>
                <w:kern w:val="28"/>
                <w:sz w:val="24"/>
                <w:szCs w:val="24"/>
                <w:highlight w:val="none"/>
                <w:lang w:val="en-US" w:eastAsia="zh-CN"/>
              </w:rPr>
              <w:t>谈判</w:t>
            </w:r>
            <w:r>
              <w:rPr>
                <w:rFonts w:hint="eastAsia" w:ascii="仿宋" w:hAnsi="仿宋" w:eastAsia="仿宋" w:cs="仿宋"/>
                <w:color w:val="auto"/>
                <w:kern w:val="28"/>
                <w:sz w:val="24"/>
                <w:szCs w:val="24"/>
                <w:highlight w:val="none"/>
              </w:rPr>
              <w:t>的，须提供法定代表人授权委托书。</w:t>
            </w:r>
            <w:r>
              <w:rPr>
                <w:rFonts w:hint="eastAsia" w:ascii="仿宋" w:hAnsi="仿宋" w:eastAsia="仿宋" w:cs="仿宋"/>
                <w:color w:val="auto"/>
                <w:kern w:val="28"/>
                <w:sz w:val="24"/>
                <w:szCs w:val="24"/>
                <w:highlight w:val="none"/>
                <w:lang w:val="en-US" w:eastAsia="zh-CN"/>
              </w:rPr>
              <w:t>谈判</w:t>
            </w:r>
            <w:r>
              <w:rPr>
                <w:rFonts w:hint="eastAsia" w:ascii="仿宋" w:hAnsi="仿宋" w:eastAsia="仿宋" w:cs="仿宋"/>
                <w:color w:val="auto"/>
                <w:kern w:val="28"/>
                <w:sz w:val="24"/>
                <w:szCs w:val="24"/>
                <w:highlight w:val="none"/>
              </w:rPr>
              <w:t>文件中凡是需要法定代表人盖章之处，非法人单位的负责人均参照执行。</w:t>
            </w:r>
          </w:p>
          <w:p w14:paraId="0F2379FE">
            <w:pPr>
              <w:spacing w:line="420" w:lineRule="atLeast"/>
              <w:rPr>
                <w:rFonts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法人的分支机构参与</w:t>
            </w:r>
            <w:r>
              <w:rPr>
                <w:rFonts w:hint="eastAsia" w:ascii="仿宋" w:hAnsi="仿宋" w:eastAsia="仿宋" w:cs="仿宋"/>
                <w:color w:val="auto"/>
                <w:kern w:val="28"/>
                <w:sz w:val="24"/>
                <w:szCs w:val="24"/>
                <w:highlight w:val="none"/>
                <w:lang w:val="en-US" w:eastAsia="zh-CN"/>
              </w:rPr>
              <w:t>谈判</w:t>
            </w:r>
            <w:r>
              <w:rPr>
                <w:rFonts w:hint="eastAsia" w:ascii="仿宋" w:hAnsi="仿宋" w:eastAsia="仿宋" w:cs="仿宋"/>
                <w:color w:val="auto"/>
                <w:kern w:val="28"/>
                <w:sz w:val="24"/>
                <w:szCs w:val="24"/>
                <w:highlight w:val="none"/>
              </w:rPr>
              <w:t>时，除提供《法定代表人授权委托书》外，还须同时提供法人给分支机构出具的授权书。</w:t>
            </w:r>
          </w:p>
        </w:tc>
        <w:tc>
          <w:tcPr>
            <w:tcW w:w="733" w:type="dxa"/>
            <w:vAlign w:val="center"/>
          </w:tcPr>
          <w:p w14:paraId="550B08B0">
            <w:pPr>
              <w:spacing w:line="420" w:lineRule="atLeast"/>
              <w:rPr>
                <w:rFonts w:ascii="仿宋" w:hAnsi="仿宋" w:eastAsia="仿宋" w:cs="仿宋"/>
                <w:b/>
                <w:color w:val="auto"/>
                <w:sz w:val="24"/>
                <w:szCs w:val="24"/>
                <w:highlight w:val="none"/>
              </w:rPr>
            </w:pPr>
          </w:p>
        </w:tc>
        <w:tc>
          <w:tcPr>
            <w:tcW w:w="965" w:type="dxa"/>
            <w:vAlign w:val="center"/>
          </w:tcPr>
          <w:p w14:paraId="0B174B4A">
            <w:pPr>
              <w:spacing w:line="420" w:lineRule="atLeast"/>
              <w:rPr>
                <w:rFonts w:ascii="仿宋" w:hAnsi="仿宋" w:eastAsia="仿宋" w:cs="仿宋"/>
                <w:b/>
                <w:color w:val="auto"/>
                <w:sz w:val="24"/>
                <w:szCs w:val="24"/>
                <w:highlight w:val="none"/>
              </w:rPr>
            </w:pPr>
          </w:p>
        </w:tc>
      </w:tr>
      <w:tr w14:paraId="34FAAE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32" w:type="dxa"/>
            <w:shd w:val="clear" w:color="auto" w:fill="auto"/>
            <w:vAlign w:val="center"/>
          </w:tcPr>
          <w:p w14:paraId="72666468">
            <w:pPr>
              <w:widowControl w:val="0"/>
              <w:spacing w:line="360" w:lineRule="exact"/>
              <w:jc w:val="center"/>
              <w:rPr>
                <w:rFonts w:hint="eastAsia" w:ascii="仿宋" w:hAnsi="仿宋" w:eastAsia="仿宋" w:cs="仿宋"/>
                <w:color w:val="000000" w:themeColor="text1"/>
                <w:kern w:val="2"/>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9</w:t>
            </w:r>
          </w:p>
        </w:tc>
        <w:tc>
          <w:tcPr>
            <w:tcW w:w="1742" w:type="dxa"/>
            <w:shd w:val="clear" w:color="auto" w:fill="auto"/>
            <w:vAlign w:val="center"/>
          </w:tcPr>
          <w:p w14:paraId="381995E3">
            <w:pPr>
              <w:widowControl w:val="0"/>
              <w:spacing w:line="360" w:lineRule="exact"/>
              <w:jc w:val="center"/>
              <w:rPr>
                <w:rFonts w:hint="eastAsia" w:ascii="仿宋" w:hAnsi="仿宋" w:eastAsia="仿宋" w:cs="仿宋"/>
                <w:color w:val="000000" w:themeColor="text1"/>
                <w:kern w:val="28"/>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8"/>
                <w:sz w:val="24"/>
                <w:szCs w:val="24"/>
                <w:highlight w:val="none"/>
                <w14:textFill>
                  <w14:solidFill>
                    <w14:schemeClr w14:val="tx1"/>
                  </w14:solidFill>
                </w14:textFill>
              </w:rPr>
              <w:t>落实政府采购政策须满足的资格要求</w:t>
            </w:r>
          </w:p>
        </w:tc>
        <w:tc>
          <w:tcPr>
            <w:tcW w:w="4898" w:type="dxa"/>
            <w:shd w:val="clear" w:color="auto" w:fill="auto"/>
            <w:vAlign w:val="center"/>
          </w:tcPr>
          <w:p w14:paraId="5861395F">
            <w:pPr>
              <w:widowControl w:val="0"/>
              <w:spacing w:line="360" w:lineRule="exact"/>
              <w:rPr>
                <w:rFonts w:hint="eastAsia" w:ascii="仿宋" w:hAnsi="仿宋" w:eastAsia="仿宋" w:cs="仿宋"/>
                <w:color w:val="000000" w:themeColor="text1"/>
                <w:kern w:val="28"/>
                <w:sz w:val="24"/>
                <w:szCs w:val="24"/>
                <w:highlight w:val="none"/>
                <w:lang w:val="en-US" w:eastAsia="zh-CN" w:bidi="ar-SA"/>
                <w14:textFill>
                  <w14:solidFill>
                    <w14:schemeClr w14:val="tx1"/>
                  </w14:solidFill>
                </w14:textFill>
              </w:rPr>
            </w:pPr>
            <w:r>
              <w:rPr>
                <w:rFonts w:hint="eastAsia" w:ascii="仿宋" w:hAnsi="仿宋" w:eastAsia="仿宋" w:cs="仿宋"/>
                <w:color w:val="000000" w:themeColor="text1"/>
                <w:kern w:val="28"/>
                <w:sz w:val="24"/>
                <w:szCs w:val="24"/>
                <w:highlight w:val="none"/>
                <w14:textFill>
                  <w14:solidFill>
                    <w14:schemeClr w14:val="tx1"/>
                  </w14:solidFill>
                </w14:textFill>
              </w:rPr>
              <w:t>本项目为专门面向中小企业项目，投标人所投产品的制造商应为中型企业、小型企业、微型企业或监狱企业或残疾人福利性单位。投标人所投产品的制造商为中小企业的，提供《中小企业声明函》，且中小企业的划分标准所属行业为工业；投标人所投产品的制造商为监狱企业的，应提供监狱企业的证明文件；投标人所投产品的制造商为残疾人福利性单位的，应提供《残疾人福利性单位声明函》（监狱企业或残疾人福利性单位视同小型、微型企业）。</w:t>
            </w:r>
          </w:p>
        </w:tc>
        <w:tc>
          <w:tcPr>
            <w:tcW w:w="733" w:type="dxa"/>
            <w:shd w:val="clear" w:color="auto" w:fill="auto"/>
            <w:vAlign w:val="center"/>
          </w:tcPr>
          <w:p w14:paraId="31AF44EC">
            <w:pPr>
              <w:spacing w:before="40" w:after="40" w:line="360" w:lineRule="exact"/>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p>
        </w:tc>
        <w:tc>
          <w:tcPr>
            <w:tcW w:w="965" w:type="dxa"/>
            <w:shd w:val="clear" w:color="auto" w:fill="auto"/>
            <w:vAlign w:val="center"/>
          </w:tcPr>
          <w:p w14:paraId="3768706C">
            <w:pPr>
              <w:spacing w:before="40" w:after="40" w:line="360" w:lineRule="exact"/>
              <w:rPr>
                <w:rFonts w:hint="eastAsia" w:ascii="仿宋" w:hAnsi="仿宋" w:eastAsia="仿宋" w:cs="仿宋"/>
                <w:b/>
                <w:bCs/>
                <w:color w:val="000000" w:themeColor="text1"/>
                <w:kern w:val="2"/>
                <w:sz w:val="24"/>
                <w:szCs w:val="24"/>
                <w:highlight w:val="none"/>
                <w:lang w:val="en-US" w:eastAsia="zh-CN" w:bidi="ar-SA"/>
                <w14:textFill>
                  <w14:solidFill>
                    <w14:schemeClr w14:val="tx1"/>
                  </w14:solidFill>
                </w14:textFill>
              </w:rPr>
            </w:pPr>
          </w:p>
        </w:tc>
      </w:tr>
      <w:tr w14:paraId="2B386C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atLeast"/>
          <w:jc w:val="center"/>
        </w:trPr>
        <w:tc>
          <w:tcPr>
            <w:tcW w:w="732" w:type="dxa"/>
            <w:vAlign w:val="center"/>
          </w:tcPr>
          <w:p w14:paraId="5A8D6884">
            <w:pPr>
              <w:spacing w:line="420" w:lineRule="atLeast"/>
              <w:jc w:val="center"/>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742" w:type="dxa"/>
            <w:vAlign w:val="center"/>
          </w:tcPr>
          <w:p w14:paraId="467E7302">
            <w:pPr>
              <w:spacing w:line="420" w:lineRule="atLeast"/>
              <w:jc w:val="center"/>
              <w:rPr>
                <w:rFonts w:hint="eastAsia"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本项目不接受联合体响应，不允许分包</w:t>
            </w:r>
          </w:p>
        </w:tc>
        <w:tc>
          <w:tcPr>
            <w:tcW w:w="4898" w:type="dxa"/>
            <w:vAlign w:val="center"/>
          </w:tcPr>
          <w:p w14:paraId="056231A5">
            <w:pPr>
              <w:spacing w:line="420" w:lineRule="atLeast"/>
              <w:rPr>
                <w:rFonts w:hint="eastAsia" w:ascii="仿宋" w:hAnsi="仿宋" w:eastAsia="仿宋" w:cs="仿宋"/>
                <w:color w:val="auto"/>
                <w:kern w:val="28"/>
                <w:sz w:val="24"/>
                <w:szCs w:val="24"/>
                <w:highlight w:val="none"/>
              </w:rPr>
            </w:pPr>
            <w:r>
              <w:rPr>
                <w:rFonts w:hint="eastAsia" w:ascii="仿宋" w:hAnsi="仿宋" w:eastAsia="仿宋" w:cs="仿宋"/>
                <w:color w:val="auto"/>
                <w:kern w:val="28"/>
                <w:sz w:val="24"/>
                <w:szCs w:val="24"/>
                <w:highlight w:val="none"/>
              </w:rPr>
              <w:t>供应商应提供《非联合体不分包投标声明》，视为独立响应，不分包。</w:t>
            </w:r>
          </w:p>
        </w:tc>
        <w:tc>
          <w:tcPr>
            <w:tcW w:w="733" w:type="dxa"/>
            <w:vAlign w:val="center"/>
          </w:tcPr>
          <w:p w14:paraId="0AD13CAB">
            <w:pPr>
              <w:spacing w:line="420" w:lineRule="atLeast"/>
              <w:rPr>
                <w:rFonts w:ascii="仿宋" w:hAnsi="仿宋" w:eastAsia="仿宋" w:cs="仿宋"/>
                <w:b/>
                <w:color w:val="auto"/>
                <w:sz w:val="24"/>
                <w:szCs w:val="24"/>
                <w:highlight w:val="none"/>
              </w:rPr>
            </w:pPr>
          </w:p>
        </w:tc>
        <w:tc>
          <w:tcPr>
            <w:tcW w:w="965" w:type="dxa"/>
            <w:vAlign w:val="center"/>
          </w:tcPr>
          <w:p w14:paraId="2EAFDD27">
            <w:pPr>
              <w:spacing w:line="420" w:lineRule="atLeast"/>
              <w:rPr>
                <w:rFonts w:ascii="仿宋" w:hAnsi="仿宋" w:eastAsia="仿宋" w:cs="仿宋"/>
                <w:b/>
                <w:color w:val="auto"/>
                <w:sz w:val="24"/>
                <w:szCs w:val="24"/>
                <w:highlight w:val="none"/>
              </w:rPr>
            </w:pPr>
          </w:p>
        </w:tc>
      </w:tr>
      <w:tr w14:paraId="154E3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jc w:val="center"/>
        </w:trPr>
        <w:tc>
          <w:tcPr>
            <w:tcW w:w="9070" w:type="dxa"/>
            <w:gridSpan w:val="5"/>
            <w:vAlign w:val="center"/>
          </w:tcPr>
          <w:p w14:paraId="6407CAA7">
            <w:pPr>
              <w:spacing w:line="420" w:lineRule="atLeast"/>
              <w:jc w:val="left"/>
              <w:rPr>
                <w:rFonts w:hint="eastAsia"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谈判小组成员：（签字或盖章）</w:t>
            </w:r>
          </w:p>
        </w:tc>
      </w:tr>
    </w:tbl>
    <w:p w14:paraId="2C70D405">
      <w:pPr>
        <w:widowControl w:val="0"/>
        <w:spacing w:line="500" w:lineRule="exact"/>
        <w:ind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出现下列情形的，响应文件将被视为无效：</w:t>
      </w:r>
    </w:p>
    <w:p w14:paraId="1FDE0CB5">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（1）不具备谈判文件中规定的资格要求的；</w:t>
      </w:r>
    </w:p>
    <w:p w14:paraId="7F00699B">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（2）未按谈判文件要求提供资格证明文件，或未按谈判文件要求加盖公章的；</w:t>
      </w:r>
    </w:p>
    <w:p w14:paraId="14244537">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3）谈判小组认为供应商的资格证明文件存在疑点，要求供应商通过公共资源电子交易平台（以下简称“平台”）或电子邮件（在平台无法支持的情况下）等形式提供更清晰有效的证明文件，供应商不能在规定时限内提供符合谈判文件要求的证明文件的。</w:t>
      </w:r>
    </w:p>
    <w:p w14:paraId="74502E67">
      <w:pPr>
        <w:pStyle w:val="8"/>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资格审查结束后，谈判小组成员应当对审查结果进行签字确认，并告知有关供应商未通过审查的原因。</w:t>
      </w:r>
    </w:p>
    <w:p w14:paraId="3D29E521">
      <w:pPr>
        <w:pStyle w:val="8"/>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通过资格审查的供应商不足3家的，不得进行符合性审查。应予以废标。</w:t>
      </w:r>
    </w:p>
    <w:p w14:paraId="22395901">
      <w:pPr>
        <w:widowControl w:val="0"/>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3、响应文件的符合性审查</w:t>
      </w:r>
    </w:p>
    <w:p w14:paraId="1F6E1B24">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谈判小组依据谈判文件的规定，对响应文件的有效性、完整性和对谈判文件的响应程度进行审查，以确定是否对谈判文件的全部实质性要求做出响应。</w:t>
      </w:r>
    </w:p>
    <w:p w14:paraId="455C8089">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谈判小组要审查每份响应文件是否实质上响应了谈判文件的要求。实质上没有响应谈判文件要求的响应文件作</w:t>
      </w:r>
      <w:r>
        <w:rPr>
          <w:rFonts w:hint="eastAsia" w:ascii="仿宋" w:hAnsi="仿宋" w:eastAsia="仿宋" w:cs="仿宋"/>
          <w:b/>
          <w:bCs/>
          <w:color w:val="auto"/>
          <w:highlight w:val="none"/>
        </w:rPr>
        <w:t>无效响应处理</w:t>
      </w:r>
      <w:r>
        <w:rPr>
          <w:rFonts w:hint="eastAsia" w:ascii="仿宋" w:hAnsi="仿宋" w:eastAsia="仿宋" w:cs="仿宋"/>
          <w:color w:val="auto"/>
          <w:highlight w:val="none"/>
        </w:rPr>
        <w:t>，谈判小组要告知有关供应商未通过审查的原因。供应商不得通过修正或撤销不符之处而使其成为实质上响应。</w:t>
      </w:r>
    </w:p>
    <w:p w14:paraId="48F08C67">
      <w:pPr>
        <w:spacing w:line="500" w:lineRule="exact"/>
        <w:jc w:val="center"/>
        <w:rPr>
          <w:rFonts w:hint="eastAsia" w:ascii="仿宋" w:hAnsi="仿宋" w:eastAsia="仿宋" w:cs="仿宋"/>
          <w:b/>
          <w:bCs/>
          <w:color w:val="auto"/>
          <w:highlight w:val="none"/>
        </w:rPr>
      </w:pPr>
      <w:r>
        <w:rPr>
          <w:rFonts w:hint="eastAsia" w:ascii="仿宋" w:hAnsi="仿宋" w:eastAsia="仿宋" w:cs="仿宋"/>
          <w:b/>
          <w:bCs/>
          <w:color w:val="auto"/>
          <w:highlight w:val="none"/>
        </w:rPr>
        <w:t>符合性审查</w:t>
      </w:r>
      <w:r>
        <w:rPr>
          <w:rFonts w:hint="eastAsia" w:ascii="仿宋" w:hAnsi="仿宋" w:eastAsia="仿宋" w:cs="仿宋"/>
          <w:b/>
          <w:bCs/>
          <w:color w:val="auto"/>
          <w:highlight w:val="none"/>
          <w:lang w:val="en-US" w:eastAsia="zh-CN"/>
        </w:rPr>
        <w:t>表</w:t>
      </w:r>
    </w:p>
    <w:tbl>
      <w:tblPr>
        <w:tblStyle w:val="28"/>
        <w:tblW w:w="891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0"/>
        <w:gridCol w:w="2392"/>
        <w:gridCol w:w="4344"/>
        <w:gridCol w:w="724"/>
        <w:gridCol w:w="965"/>
      </w:tblGrid>
      <w:tr w14:paraId="4770C8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0" w:type="dxa"/>
            <w:vAlign w:val="center"/>
          </w:tcPr>
          <w:p w14:paraId="54B83530">
            <w:pPr>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序号</w:t>
            </w:r>
          </w:p>
        </w:tc>
        <w:tc>
          <w:tcPr>
            <w:tcW w:w="2392" w:type="dxa"/>
            <w:vAlign w:val="center"/>
          </w:tcPr>
          <w:p w14:paraId="3D793E1D">
            <w:pPr>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符合性审查项</w:t>
            </w:r>
          </w:p>
        </w:tc>
        <w:tc>
          <w:tcPr>
            <w:tcW w:w="4344" w:type="dxa"/>
            <w:vAlign w:val="center"/>
          </w:tcPr>
          <w:p w14:paraId="123465B5">
            <w:pPr>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通过条件</w:t>
            </w:r>
          </w:p>
        </w:tc>
        <w:tc>
          <w:tcPr>
            <w:tcW w:w="724" w:type="dxa"/>
            <w:vAlign w:val="center"/>
          </w:tcPr>
          <w:p w14:paraId="1636A337">
            <w:pPr>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结论</w:t>
            </w:r>
          </w:p>
        </w:tc>
        <w:tc>
          <w:tcPr>
            <w:tcW w:w="965" w:type="dxa"/>
            <w:vAlign w:val="center"/>
          </w:tcPr>
          <w:p w14:paraId="12B4B8D0">
            <w:pPr>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未通过原因</w:t>
            </w:r>
          </w:p>
        </w:tc>
      </w:tr>
      <w:tr w14:paraId="70AA6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90" w:type="dxa"/>
            <w:vAlign w:val="center"/>
          </w:tcPr>
          <w:p w14:paraId="0062590F">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w:t>
            </w:r>
          </w:p>
        </w:tc>
        <w:tc>
          <w:tcPr>
            <w:tcW w:w="2392" w:type="dxa"/>
            <w:vAlign w:val="center"/>
          </w:tcPr>
          <w:p w14:paraId="5AF52AE5">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响应文件语言</w:t>
            </w:r>
            <w:r>
              <w:rPr>
                <w:rFonts w:hint="eastAsia" w:ascii="仿宋" w:hAnsi="仿宋" w:eastAsia="仿宋" w:cs="仿宋"/>
                <w:bCs/>
                <w:color w:val="auto"/>
                <w:kern w:val="0"/>
                <w:sz w:val="24"/>
                <w:szCs w:val="24"/>
                <w:highlight w:val="none"/>
                <w:lang w:val="en-US" w:eastAsia="zh-CN"/>
              </w:rPr>
              <w:t>及</w:t>
            </w:r>
            <w:r>
              <w:rPr>
                <w:rFonts w:hint="eastAsia" w:ascii="仿宋" w:hAnsi="仿宋" w:eastAsia="仿宋" w:cs="仿宋"/>
                <w:bCs/>
                <w:color w:val="auto"/>
                <w:kern w:val="0"/>
                <w:sz w:val="24"/>
                <w:szCs w:val="24"/>
                <w:highlight w:val="none"/>
              </w:rPr>
              <w:t>有效期</w:t>
            </w:r>
          </w:p>
        </w:tc>
        <w:tc>
          <w:tcPr>
            <w:tcW w:w="4344" w:type="dxa"/>
            <w:vAlign w:val="center"/>
          </w:tcPr>
          <w:p w14:paraId="14339077">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响应文件语言</w:t>
            </w:r>
            <w:r>
              <w:rPr>
                <w:rFonts w:hint="eastAsia" w:ascii="仿宋" w:hAnsi="仿宋" w:eastAsia="仿宋" w:cs="仿宋"/>
                <w:color w:val="auto"/>
                <w:sz w:val="24"/>
                <w:szCs w:val="24"/>
                <w:highlight w:val="none"/>
                <w:lang w:val="en-US" w:eastAsia="zh-CN"/>
              </w:rPr>
              <w:t>及</w:t>
            </w:r>
            <w:r>
              <w:rPr>
                <w:rFonts w:hint="eastAsia" w:ascii="仿宋" w:hAnsi="仿宋" w:eastAsia="仿宋" w:cs="仿宋"/>
                <w:color w:val="auto"/>
                <w:sz w:val="24"/>
                <w:szCs w:val="24"/>
                <w:highlight w:val="none"/>
              </w:rPr>
              <w:t>有效期符合</w:t>
            </w:r>
            <w:r>
              <w:rPr>
                <w:rFonts w:hint="eastAsia" w:ascii="仿宋" w:hAnsi="仿宋" w:eastAsia="仿宋" w:cs="仿宋"/>
                <w:bCs/>
                <w:color w:val="auto"/>
                <w:kern w:val="0"/>
                <w:sz w:val="24"/>
                <w:szCs w:val="24"/>
                <w:highlight w:val="none"/>
              </w:rPr>
              <w:t>谈判</w:t>
            </w:r>
            <w:r>
              <w:rPr>
                <w:rFonts w:hint="eastAsia" w:ascii="仿宋" w:hAnsi="仿宋" w:eastAsia="仿宋" w:cs="仿宋"/>
                <w:color w:val="auto"/>
                <w:sz w:val="24"/>
                <w:szCs w:val="24"/>
                <w:highlight w:val="none"/>
              </w:rPr>
              <w:t>文件的要求。</w:t>
            </w:r>
          </w:p>
        </w:tc>
        <w:tc>
          <w:tcPr>
            <w:tcW w:w="724" w:type="dxa"/>
            <w:vAlign w:val="center"/>
          </w:tcPr>
          <w:p w14:paraId="297466B0">
            <w:pPr>
              <w:jc w:val="center"/>
              <w:rPr>
                <w:rFonts w:ascii="仿宋" w:hAnsi="仿宋" w:eastAsia="仿宋" w:cs="仿宋"/>
                <w:b/>
                <w:bCs/>
                <w:color w:val="auto"/>
                <w:kern w:val="0"/>
                <w:sz w:val="24"/>
                <w:szCs w:val="24"/>
                <w:highlight w:val="none"/>
              </w:rPr>
            </w:pPr>
          </w:p>
        </w:tc>
        <w:tc>
          <w:tcPr>
            <w:tcW w:w="965" w:type="dxa"/>
            <w:vAlign w:val="center"/>
          </w:tcPr>
          <w:p w14:paraId="127ADAA0">
            <w:pPr>
              <w:jc w:val="center"/>
              <w:rPr>
                <w:rFonts w:ascii="仿宋" w:hAnsi="仿宋" w:eastAsia="仿宋" w:cs="仿宋"/>
                <w:b/>
                <w:bCs/>
                <w:color w:val="auto"/>
                <w:kern w:val="0"/>
                <w:sz w:val="24"/>
                <w:szCs w:val="24"/>
                <w:highlight w:val="none"/>
              </w:rPr>
            </w:pPr>
          </w:p>
        </w:tc>
      </w:tr>
      <w:tr w14:paraId="056D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490" w:type="dxa"/>
            <w:vAlign w:val="center"/>
          </w:tcPr>
          <w:p w14:paraId="3F115CFD">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w:t>
            </w:r>
          </w:p>
        </w:tc>
        <w:tc>
          <w:tcPr>
            <w:tcW w:w="2392" w:type="dxa"/>
            <w:vAlign w:val="center"/>
          </w:tcPr>
          <w:p w14:paraId="2A812AD5">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响应文件封面、响应函、法定代表人授权委托书三处的项目名称、项目编号、标段（如有）</w:t>
            </w:r>
          </w:p>
        </w:tc>
        <w:tc>
          <w:tcPr>
            <w:tcW w:w="4344" w:type="dxa"/>
            <w:vAlign w:val="center"/>
          </w:tcPr>
          <w:p w14:paraId="1D92D927">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三处均无遗漏，且与所投项目名称、项目编号、标段（如有）完全一致。</w:t>
            </w:r>
          </w:p>
        </w:tc>
        <w:tc>
          <w:tcPr>
            <w:tcW w:w="724" w:type="dxa"/>
            <w:vAlign w:val="center"/>
          </w:tcPr>
          <w:p w14:paraId="0FEF72FD">
            <w:pPr>
              <w:jc w:val="center"/>
              <w:rPr>
                <w:rFonts w:ascii="仿宋" w:hAnsi="仿宋" w:eastAsia="仿宋" w:cs="仿宋"/>
                <w:b/>
                <w:bCs/>
                <w:color w:val="auto"/>
                <w:kern w:val="0"/>
                <w:sz w:val="24"/>
                <w:szCs w:val="24"/>
                <w:highlight w:val="none"/>
              </w:rPr>
            </w:pPr>
          </w:p>
        </w:tc>
        <w:tc>
          <w:tcPr>
            <w:tcW w:w="965" w:type="dxa"/>
            <w:vAlign w:val="center"/>
          </w:tcPr>
          <w:p w14:paraId="545E1FD1">
            <w:pPr>
              <w:jc w:val="center"/>
              <w:rPr>
                <w:rFonts w:ascii="仿宋" w:hAnsi="仿宋" w:eastAsia="仿宋" w:cs="仿宋"/>
                <w:b/>
                <w:bCs/>
                <w:color w:val="auto"/>
                <w:kern w:val="0"/>
                <w:sz w:val="24"/>
                <w:szCs w:val="24"/>
                <w:highlight w:val="none"/>
              </w:rPr>
            </w:pPr>
          </w:p>
        </w:tc>
      </w:tr>
      <w:tr w14:paraId="7FD8B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490" w:type="dxa"/>
            <w:vAlign w:val="center"/>
          </w:tcPr>
          <w:p w14:paraId="62900D75">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3</w:t>
            </w:r>
          </w:p>
        </w:tc>
        <w:tc>
          <w:tcPr>
            <w:tcW w:w="2392" w:type="dxa"/>
            <w:vAlign w:val="center"/>
          </w:tcPr>
          <w:p w14:paraId="6398F70E">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响应文件签署、盖章</w:t>
            </w:r>
          </w:p>
        </w:tc>
        <w:tc>
          <w:tcPr>
            <w:tcW w:w="4344" w:type="dxa"/>
            <w:vAlign w:val="center"/>
          </w:tcPr>
          <w:p w14:paraId="4E51167B">
            <w:pPr>
              <w:jc w:val="left"/>
              <w:rPr>
                <w:rFonts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rPr>
              <w:t>均按</w:t>
            </w:r>
            <w:r>
              <w:rPr>
                <w:rFonts w:hint="eastAsia" w:ascii="仿宋" w:hAnsi="仿宋" w:eastAsia="仿宋" w:cs="仿宋"/>
                <w:bCs/>
                <w:color w:val="auto"/>
                <w:kern w:val="0"/>
                <w:sz w:val="24"/>
                <w:szCs w:val="24"/>
                <w:highlight w:val="none"/>
              </w:rPr>
              <w:t>谈判</w:t>
            </w:r>
            <w:r>
              <w:rPr>
                <w:rFonts w:hint="eastAsia" w:ascii="仿宋" w:hAnsi="仿宋" w:eastAsia="仿宋" w:cs="仿宋"/>
                <w:color w:val="auto"/>
                <w:sz w:val="24"/>
                <w:szCs w:val="24"/>
                <w:highlight w:val="none"/>
              </w:rPr>
              <w:t>文件要求签字、盖章。</w:t>
            </w:r>
          </w:p>
        </w:tc>
        <w:tc>
          <w:tcPr>
            <w:tcW w:w="724" w:type="dxa"/>
            <w:vAlign w:val="center"/>
          </w:tcPr>
          <w:p w14:paraId="23D71EDB">
            <w:pPr>
              <w:jc w:val="center"/>
              <w:rPr>
                <w:rFonts w:ascii="仿宋" w:hAnsi="仿宋" w:eastAsia="仿宋" w:cs="仿宋"/>
                <w:b/>
                <w:bCs/>
                <w:color w:val="auto"/>
                <w:kern w:val="0"/>
                <w:sz w:val="24"/>
                <w:szCs w:val="24"/>
                <w:highlight w:val="none"/>
              </w:rPr>
            </w:pPr>
          </w:p>
        </w:tc>
        <w:tc>
          <w:tcPr>
            <w:tcW w:w="965" w:type="dxa"/>
            <w:vAlign w:val="center"/>
          </w:tcPr>
          <w:p w14:paraId="3235C022">
            <w:pPr>
              <w:jc w:val="center"/>
              <w:rPr>
                <w:rFonts w:ascii="仿宋" w:hAnsi="仿宋" w:eastAsia="仿宋" w:cs="仿宋"/>
                <w:b/>
                <w:bCs/>
                <w:color w:val="auto"/>
                <w:kern w:val="0"/>
                <w:sz w:val="24"/>
                <w:szCs w:val="24"/>
                <w:highlight w:val="none"/>
              </w:rPr>
            </w:pPr>
          </w:p>
        </w:tc>
      </w:tr>
      <w:tr w14:paraId="162F2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0" w:type="dxa"/>
            <w:vAlign w:val="center"/>
          </w:tcPr>
          <w:p w14:paraId="1BC7A610">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4</w:t>
            </w:r>
          </w:p>
        </w:tc>
        <w:tc>
          <w:tcPr>
            <w:tcW w:w="2392" w:type="dxa"/>
            <w:vAlign w:val="center"/>
          </w:tcPr>
          <w:p w14:paraId="76CBF950">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第一次谈判报价表</w:t>
            </w:r>
          </w:p>
        </w:tc>
        <w:tc>
          <w:tcPr>
            <w:tcW w:w="4344" w:type="dxa"/>
            <w:vAlign w:val="center"/>
          </w:tcPr>
          <w:p w14:paraId="0EE60034">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（1）第一次谈判报价表填写符合要求；</w:t>
            </w:r>
          </w:p>
          <w:p w14:paraId="0FA8599D">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（2）计量单位、报价货币均符合谈判文件要求；</w:t>
            </w:r>
          </w:p>
          <w:p w14:paraId="0CCF3423">
            <w:pPr>
              <w:jc w:val="left"/>
              <w:rPr>
                <w:rFonts w:ascii="仿宋" w:hAnsi="仿宋" w:eastAsia="仿宋" w:cs="仿宋"/>
                <w:color w:val="auto"/>
                <w:sz w:val="24"/>
                <w:szCs w:val="24"/>
                <w:highlight w:val="none"/>
              </w:rPr>
            </w:pPr>
            <w:r>
              <w:rPr>
                <w:rFonts w:hint="eastAsia" w:ascii="仿宋" w:hAnsi="仿宋" w:eastAsia="仿宋" w:cs="仿宋"/>
                <w:bCs/>
                <w:color w:val="auto"/>
                <w:kern w:val="0"/>
                <w:sz w:val="24"/>
                <w:szCs w:val="24"/>
                <w:highlight w:val="none"/>
              </w:rPr>
              <w:t>（3）第一次谈判报价未超出采购预算或谈判文件规定的最高限价。</w:t>
            </w:r>
          </w:p>
        </w:tc>
        <w:tc>
          <w:tcPr>
            <w:tcW w:w="724" w:type="dxa"/>
            <w:vAlign w:val="center"/>
          </w:tcPr>
          <w:p w14:paraId="6B07A2FD">
            <w:pPr>
              <w:jc w:val="center"/>
              <w:rPr>
                <w:rFonts w:ascii="仿宋" w:hAnsi="仿宋" w:eastAsia="仿宋" w:cs="仿宋"/>
                <w:b/>
                <w:bCs/>
                <w:color w:val="auto"/>
                <w:kern w:val="0"/>
                <w:sz w:val="24"/>
                <w:szCs w:val="24"/>
                <w:highlight w:val="none"/>
              </w:rPr>
            </w:pPr>
          </w:p>
        </w:tc>
        <w:tc>
          <w:tcPr>
            <w:tcW w:w="965" w:type="dxa"/>
            <w:vAlign w:val="center"/>
          </w:tcPr>
          <w:p w14:paraId="49C22ACE">
            <w:pPr>
              <w:jc w:val="center"/>
              <w:rPr>
                <w:rFonts w:ascii="仿宋" w:hAnsi="仿宋" w:eastAsia="仿宋" w:cs="仿宋"/>
                <w:b/>
                <w:bCs/>
                <w:color w:val="auto"/>
                <w:kern w:val="0"/>
                <w:sz w:val="24"/>
                <w:szCs w:val="24"/>
                <w:highlight w:val="none"/>
              </w:rPr>
            </w:pPr>
          </w:p>
        </w:tc>
      </w:tr>
      <w:tr w14:paraId="16A8F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0" w:type="dxa"/>
            <w:vAlign w:val="center"/>
          </w:tcPr>
          <w:p w14:paraId="17DE8C81">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5</w:t>
            </w:r>
          </w:p>
        </w:tc>
        <w:tc>
          <w:tcPr>
            <w:tcW w:w="2392" w:type="dxa"/>
            <w:vAlign w:val="center"/>
          </w:tcPr>
          <w:p w14:paraId="0760D14F">
            <w:pPr>
              <w:jc w:val="center"/>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供应商承诺书</w:t>
            </w:r>
          </w:p>
        </w:tc>
        <w:tc>
          <w:tcPr>
            <w:tcW w:w="4344" w:type="dxa"/>
            <w:vAlign w:val="center"/>
          </w:tcPr>
          <w:p w14:paraId="5E3FA805">
            <w:pPr>
              <w:jc w:val="left"/>
              <w:rPr>
                <w:rFonts w:ascii="仿宋" w:hAnsi="仿宋" w:eastAsia="仿宋" w:cs="仿宋"/>
                <w:color w:val="auto"/>
                <w:sz w:val="24"/>
                <w:szCs w:val="24"/>
                <w:highlight w:val="none"/>
              </w:rPr>
            </w:pPr>
            <w:r>
              <w:rPr>
                <w:rFonts w:hint="eastAsia" w:ascii="仿宋" w:hAnsi="仿宋" w:eastAsia="仿宋" w:cs="仿宋"/>
                <w:color w:val="auto"/>
                <w:kern w:val="0"/>
                <w:sz w:val="24"/>
                <w:szCs w:val="24"/>
                <w:highlight w:val="none"/>
              </w:rPr>
              <w:t>完全理解并接受《质量安全责任承诺书》、《拒绝政府采购领域商业贿赂承诺书》。</w:t>
            </w:r>
          </w:p>
        </w:tc>
        <w:tc>
          <w:tcPr>
            <w:tcW w:w="724" w:type="dxa"/>
            <w:vAlign w:val="center"/>
          </w:tcPr>
          <w:p w14:paraId="3B5D974F">
            <w:pPr>
              <w:jc w:val="center"/>
              <w:rPr>
                <w:rFonts w:ascii="仿宋" w:hAnsi="仿宋" w:eastAsia="仿宋" w:cs="仿宋"/>
                <w:b/>
                <w:bCs/>
                <w:color w:val="auto"/>
                <w:kern w:val="0"/>
                <w:sz w:val="24"/>
                <w:szCs w:val="24"/>
                <w:highlight w:val="none"/>
              </w:rPr>
            </w:pPr>
          </w:p>
        </w:tc>
        <w:tc>
          <w:tcPr>
            <w:tcW w:w="965" w:type="dxa"/>
            <w:vAlign w:val="center"/>
          </w:tcPr>
          <w:p w14:paraId="65717EE8">
            <w:pPr>
              <w:jc w:val="center"/>
              <w:rPr>
                <w:rFonts w:ascii="仿宋" w:hAnsi="仿宋" w:eastAsia="仿宋" w:cs="仿宋"/>
                <w:b/>
                <w:bCs/>
                <w:color w:val="auto"/>
                <w:kern w:val="0"/>
                <w:sz w:val="24"/>
                <w:szCs w:val="24"/>
                <w:highlight w:val="none"/>
              </w:rPr>
            </w:pPr>
          </w:p>
        </w:tc>
      </w:tr>
      <w:tr w14:paraId="6FA50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6" w:hRule="atLeast"/>
          <w:jc w:val="center"/>
        </w:trPr>
        <w:tc>
          <w:tcPr>
            <w:tcW w:w="490" w:type="dxa"/>
            <w:vAlign w:val="center"/>
          </w:tcPr>
          <w:p w14:paraId="6A98DA42">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6</w:t>
            </w:r>
          </w:p>
        </w:tc>
        <w:tc>
          <w:tcPr>
            <w:tcW w:w="2392" w:type="dxa"/>
            <w:vAlign w:val="center"/>
          </w:tcPr>
          <w:p w14:paraId="5F4A04D6">
            <w:pPr>
              <w:jc w:val="center"/>
              <w:rPr>
                <w:rFonts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rPr>
              <w:t>技术服务要求</w:t>
            </w:r>
          </w:p>
        </w:tc>
        <w:tc>
          <w:tcPr>
            <w:tcW w:w="4344" w:type="dxa"/>
            <w:vAlign w:val="center"/>
          </w:tcPr>
          <w:p w14:paraId="2AC18126">
            <w:pPr>
              <w:jc w:val="left"/>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lang w:val="en-US" w:eastAsia="zh-CN"/>
              </w:rPr>
              <w:t>供应商响应</w:t>
            </w:r>
            <w:r>
              <w:rPr>
                <w:rFonts w:hint="eastAsia" w:ascii="仿宋" w:hAnsi="仿宋" w:eastAsia="仿宋" w:cs="仿宋"/>
                <w:bCs/>
                <w:color w:val="auto"/>
                <w:kern w:val="0"/>
                <w:sz w:val="24"/>
                <w:szCs w:val="24"/>
                <w:highlight w:val="none"/>
              </w:rPr>
              <w:t>文件</w:t>
            </w:r>
            <w:r>
              <w:rPr>
                <w:rFonts w:hint="eastAsia" w:ascii="仿宋" w:hAnsi="仿宋" w:eastAsia="仿宋" w:cs="仿宋"/>
                <w:bCs/>
                <w:color w:val="auto"/>
                <w:kern w:val="0"/>
                <w:sz w:val="24"/>
                <w:szCs w:val="24"/>
                <w:highlight w:val="none"/>
                <w:lang w:val="en-US" w:eastAsia="zh-CN"/>
              </w:rPr>
              <w:t>中的</w:t>
            </w:r>
            <w:r>
              <w:rPr>
                <w:rFonts w:hint="eastAsia" w:ascii="仿宋" w:hAnsi="仿宋" w:eastAsia="仿宋" w:cs="仿宋"/>
                <w:bCs/>
                <w:color w:val="auto"/>
                <w:kern w:val="0"/>
                <w:sz w:val="24"/>
                <w:szCs w:val="24"/>
                <w:highlight w:val="none"/>
              </w:rPr>
              <w:t>《实质性条款响应》符合</w:t>
            </w:r>
            <w:r>
              <w:rPr>
                <w:rFonts w:hint="eastAsia" w:ascii="仿宋" w:hAnsi="仿宋" w:eastAsia="仿宋" w:cs="仿宋"/>
                <w:bCs/>
                <w:color w:val="auto"/>
                <w:kern w:val="0"/>
                <w:sz w:val="24"/>
                <w:szCs w:val="24"/>
                <w:highlight w:val="none"/>
                <w:lang w:val="en-US" w:eastAsia="zh-CN"/>
              </w:rPr>
              <w:t>谈判</w:t>
            </w:r>
            <w:r>
              <w:rPr>
                <w:rFonts w:hint="eastAsia" w:ascii="仿宋" w:hAnsi="仿宋" w:eastAsia="仿宋" w:cs="仿宋"/>
                <w:bCs/>
                <w:color w:val="auto"/>
                <w:kern w:val="0"/>
                <w:sz w:val="24"/>
                <w:szCs w:val="24"/>
                <w:highlight w:val="none"/>
              </w:rPr>
              <w:t>文件第</w:t>
            </w:r>
            <w:r>
              <w:rPr>
                <w:rFonts w:hint="eastAsia" w:ascii="仿宋" w:hAnsi="仿宋" w:eastAsia="仿宋" w:cs="仿宋"/>
                <w:bCs/>
                <w:color w:val="auto"/>
                <w:kern w:val="0"/>
                <w:sz w:val="24"/>
                <w:szCs w:val="24"/>
                <w:highlight w:val="none"/>
                <w:lang w:val="en-US" w:eastAsia="zh-CN"/>
              </w:rPr>
              <w:t>三</w:t>
            </w:r>
            <w:r>
              <w:rPr>
                <w:rFonts w:hint="eastAsia" w:ascii="仿宋" w:hAnsi="仿宋" w:eastAsia="仿宋" w:cs="仿宋"/>
                <w:bCs/>
                <w:color w:val="auto"/>
                <w:kern w:val="0"/>
                <w:sz w:val="24"/>
                <w:szCs w:val="24"/>
                <w:highlight w:val="none"/>
              </w:rPr>
              <w:t>章“★”标识的实质性要求。</w:t>
            </w:r>
          </w:p>
        </w:tc>
        <w:tc>
          <w:tcPr>
            <w:tcW w:w="724" w:type="dxa"/>
            <w:vAlign w:val="center"/>
          </w:tcPr>
          <w:p w14:paraId="6531FCED">
            <w:pPr>
              <w:jc w:val="center"/>
              <w:rPr>
                <w:rFonts w:ascii="仿宋" w:hAnsi="仿宋" w:eastAsia="仿宋" w:cs="仿宋"/>
                <w:b/>
                <w:bCs/>
                <w:color w:val="auto"/>
                <w:kern w:val="0"/>
                <w:sz w:val="24"/>
                <w:szCs w:val="24"/>
                <w:highlight w:val="none"/>
              </w:rPr>
            </w:pPr>
          </w:p>
        </w:tc>
        <w:tc>
          <w:tcPr>
            <w:tcW w:w="965" w:type="dxa"/>
            <w:vAlign w:val="center"/>
          </w:tcPr>
          <w:p w14:paraId="075ED0F4">
            <w:pPr>
              <w:jc w:val="center"/>
              <w:rPr>
                <w:rFonts w:ascii="仿宋" w:hAnsi="仿宋" w:eastAsia="仿宋" w:cs="仿宋"/>
                <w:b/>
                <w:bCs/>
                <w:color w:val="auto"/>
                <w:kern w:val="0"/>
                <w:sz w:val="24"/>
                <w:szCs w:val="24"/>
                <w:highlight w:val="none"/>
              </w:rPr>
            </w:pPr>
          </w:p>
        </w:tc>
      </w:tr>
      <w:tr w14:paraId="4A86B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0" w:type="dxa"/>
            <w:vAlign w:val="center"/>
          </w:tcPr>
          <w:p w14:paraId="3A5B5526">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7</w:t>
            </w:r>
          </w:p>
        </w:tc>
        <w:tc>
          <w:tcPr>
            <w:tcW w:w="2392" w:type="dxa"/>
            <w:vAlign w:val="center"/>
          </w:tcPr>
          <w:p w14:paraId="540C9C8C">
            <w:pP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合同草案条款响应</w:t>
            </w:r>
          </w:p>
        </w:tc>
        <w:tc>
          <w:tcPr>
            <w:tcW w:w="4344" w:type="dxa"/>
            <w:vAlign w:val="center"/>
          </w:tcPr>
          <w:p w14:paraId="3723204E">
            <w:pPr>
              <w:rPr>
                <w:rFonts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rPr>
              <w:t>有完全理解并接受谈判文件合同草案条款要求的描述。</w:t>
            </w:r>
          </w:p>
        </w:tc>
        <w:tc>
          <w:tcPr>
            <w:tcW w:w="724" w:type="dxa"/>
            <w:vAlign w:val="center"/>
          </w:tcPr>
          <w:p w14:paraId="0E285740">
            <w:pPr>
              <w:jc w:val="center"/>
              <w:rPr>
                <w:rFonts w:ascii="仿宋" w:hAnsi="仿宋" w:eastAsia="仿宋" w:cs="仿宋"/>
                <w:b/>
                <w:bCs/>
                <w:color w:val="auto"/>
                <w:kern w:val="0"/>
                <w:sz w:val="24"/>
                <w:szCs w:val="24"/>
                <w:highlight w:val="none"/>
              </w:rPr>
            </w:pPr>
          </w:p>
        </w:tc>
        <w:tc>
          <w:tcPr>
            <w:tcW w:w="965" w:type="dxa"/>
            <w:vAlign w:val="center"/>
          </w:tcPr>
          <w:p w14:paraId="21ED5B0E">
            <w:pPr>
              <w:jc w:val="center"/>
              <w:rPr>
                <w:rFonts w:ascii="仿宋" w:hAnsi="仿宋" w:eastAsia="仿宋" w:cs="仿宋"/>
                <w:b/>
                <w:bCs/>
                <w:color w:val="auto"/>
                <w:kern w:val="0"/>
                <w:sz w:val="24"/>
                <w:szCs w:val="24"/>
                <w:highlight w:val="none"/>
              </w:rPr>
            </w:pPr>
          </w:p>
        </w:tc>
      </w:tr>
      <w:tr w14:paraId="03575A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90" w:type="dxa"/>
            <w:vAlign w:val="center"/>
          </w:tcPr>
          <w:p w14:paraId="5C95110B">
            <w:pPr>
              <w:jc w:val="center"/>
              <w:rPr>
                <w:rFonts w:ascii="仿宋" w:hAnsi="仿宋" w:eastAsia="仿宋" w:cs="仿宋"/>
                <w:bCs/>
                <w:color w:val="auto"/>
                <w:kern w:val="0"/>
                <w:sz w:val="24"/>
                <w:szCs w:val="24"/>
                <w:highlight w:val="none"/>
              </w:rPr>
            </w:pPr>
            <w:r>
              <w:rPr>
                <w:rFonts w:hint="eastAsia" w:ascii="仿宋" w:hAnsi="仿宋" w:eastAsia="仿宋" w:cs="仿宋"/>
                <w:bCs/>
                <w:color w:val="auto"/>
                <w:kern w:val="0"/>
                <w:sz w:val="24"/>
                <w:szCs w:val="24"/>
                <w:highlight w:val="none"/>
              </w:rPr>
              <w:t>8</w:t>
            </w:r>
          </w:p>
        </w:tc>
        <w:tc>
          <w:tcPr>
            <w:tcW w:w="2392" w:type="dxa"/>
            <w:vAlign w:val="center"/>
          </w:tcPr>
          <w:p w14:paraId="4EEFEC77">
            <w:pPr>
              <w:rPr>
                <w:rFonts w:ascii="仿宋" w:hAnsi="仿宋" w:eastAsia="仿宋" w:cs="仿宋"/>
                <w:bCs/>
                <w:color w:val="auto"/>
                <w:kern w:val="0"/>
                <w:sz w:val="24"/>
                <w:szCs w:val="24"/>
                <w:highlight w:val="none"/>
              </w:rPr>
            </w:pPr>
            <w:r>
              <w:rPr>
                <w:rFonts w:hint="eastAsia" w:ascii="仿宋" w:hAnsi="仿宋" w:eastAsia="仿宋" w:cs="仿宋"/>
                <w:color w:val="auto"/>
                <w:sz w:val="24"/>
                <w:szCs w:val="24"/>
                <w:highlight w:val="none"/>
              </w:rPr>
              <w:t>无其他</w:t>
            </w:r>
            <w:r>
              <w:rPr>
                <w:rFonts w:hint="eastAsia" w:ascii="仿宋" w:hAnsi="仿宋" w:eastAsia="仿宋" w:cs="仿宋"/>
                <w:bCs/>
                <w:color w:val="auto"/>
                <w:kern w:val="0"/>
                <w:sz w:val="24"/>
                <w:szCs w:val="24"/>
                <w:highlight w:val="none"/>
              </w:rPr>
              <w:t>谈判</w:t>
            </w:r>
            <w:r>
              <w:rPr>
                <w:rFonts w:hint="eastAsia" w:ascii="仿宋" w:hAnsi="仿宋" w:eastAsia="仿宋" w:cs="仿宋"/>
                <w:color w:val="auto"/>
                <w:sz w:val="24"/>
                <w:szCs w:val="24"/>
                <w:highlight w:val="none"/>
              </w:rPr>
              <w:t>文件或法规明确规定响应无效的事项</w:t>
            </w:r>
          </w:p>
        </w:tc>
        <w:tc>
          <w:tcPr>
            <w:tcW w:w="4344" w:type="dxa"/>
            <w:vAlign w:val="center"/>
          </w:tcPr>
          <w:p w14:paraId="2BE9673B">
            <w:pPr>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没有不符合谈判文件规定的被视为无效响应的其他条款。</w:t>
            </w:r>
          </w:p>
        </w:tc>
        <w:tc>
          <w:tcPr>
            <w:tcW w:w="724" w:type="dxa"/>
            <w:vAlign w:val="center"/>
          </w:tcPr>
          <w:p w14:paraId="27FF6F65">
            <w:pPr>
              <w:jc w:val="center"/>
              <w:rPr>
                <w:rFonts w:ascii="仿宋" w:hAnsi="仿宋" w:eastAsia="仿宋" w:cs="仿宋"/>
                <w:b/>
                <w:bCs/>
                <w:color w:val="auto"/>
                <w:kern w:val="0"/>
                <w:sz w:val="24"/>
                <w:szCs w:val="24"/>
                <w:highlight w:val="none"/>
              </w:rPr>
            </w:pPr>
          </w:p>
        </w:tc>
        <w:tc>
          <w:tcPr>
            <w:tcW w:w="965" w:type="dxa"/>
            <w:vAlign w:val="center"/>
          </w:tcPr>
          <w:p w14:paraId="01556FF2">
            <w:pPr>
              <w:jc w:val="center"/>
              <w:rPr>
                <w:rFonts w:ascii="仿宋" w:hAnsi="仿宋" w:eastAsia="仿宋" w:cs="仿宋"/>
                <w:b/>
                <w:bCs/>
                <w:color w:val="auto"/>
                <w:kern w:val="0"/>
                <w:sz w:val="24"/>
                <w:szCs w:val="24"/>
                <w:highlight w:val="none"/>
              </w:rPr>
            </w:pPr>
          </w:p>
        </w:tc>
      </w:tr>
      <w:tr w14:paraId="18EC4C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3" w:hRule="atLeast"/>
          <w:jc w:val="center"/>
        </w:trPr>
        <w:tc>
          <w:tcPr>
            <w:tcW w:w="8915" w:type="dxa"/>
            <w:gridSpan w:val="5"/>
            <w:vAlign w:val="center"/>
          </w:tcPr>
          <w:p w14:paraId="5ACDED4C">
            <w:pP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谈判小组成员：（签字或盖章）</w:t>
            </w:r>
          </w:p>
        </w:tc>
      </w:tr>
    </w:tbl>
    <w:p w14:paraId="31C77A7C">
      <w:pPr>
        <w:widowControl w:val="0"/>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4、响应文件的澄清</w:t>
      </w:r>
    </w:p>
    <w:p w14:paraId="67710341">
      <w:pPr>
        <w:widowControl w:val="0"/>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（1）谈判小组在对响应文件的有效性、完整性和响应程度进行审查时，可以要求供应商对响应文件中含义不明确、同类问题表述不一致或者有明显文字和计算错误的内容等做出必要的澄清、说明或者更正。</w:t>
      </w:r>
    </w:p>
    <w:p w14:paraId="0F607282">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（2）依照《中华人民共和国民法典》中的过失责任原则，澄清、说明或更正前谈判小组将按最不利于参与本次谈判供应商的原则对响应文件做出评判。</w:t>
      </w:r>
    </w:p>
    <w:p w14:paraId="55876EAC">
      <w:pPr>
        <w:widowControl w:val="0"/>
        <w:spacing w:line="500" w:lineRule="exact"/>
        <w:ind w:firstLine="566" w:firstLineChars="200"/>
        <w:contextualSpacing/>
        <w:rPr>
          <w:rFonts w:ascii="仿宋" w:hAnsi="仿宋" w:eastAsia="仿宋" w:cs="仿宋"/>
          <w:color w:val="auto"/>
          <w:highlight w:val="none"/>
        </w:rPr>
      </w:pPr>
      <w:r>
        <w:rPr>
          <w:rFonts w:hint="eastAsia" w:ascii="仿宋" w:hAnsi="仿宋" w:eastAsia="仿宋" w:cs="仿宋"/>
          <w:color w:val="auto"/>
          <w:highlight w:val="none"/>
        </w:rPr>
        <w:t>（3）谈判小组要求供应商澄清、说明或者更正响应文件将以书面形式做出。供应商应当在规定的澄清时限内以书面形式提交，供应商的澄清、说明或者更正应当由法定代表人或其授权代表签字或者加盖公章。</w:t>
      </w:r>
    </w:p>
    <w:p w14:paraId="57A62A57">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（4）澄清时供应商只作说明和解释，不得借此对报价、优惠条件、售后服务等实质性内容作任何修改。谈判文件、响应文件及澄清内容将作为评审的依据。</w:t>
      </w:r>
    </w:p>
    <w:p w14:paraId="30D4F3B4">
      <w:pPr>
        <w:pStyle w:val="2"/>
        <w:spacing w:afterLines="0" w:line="500" w:lineRule="exact"/>
        <w:ind w:firstLine="566" w:firstLineChars="200"/>
        <w:rPr>
          <w:rFonts w:hint="eastAsia" w:ascii="仿宋" w:hAnsi="仿宋" w:eastAsia="仿宋" w:cs="仿宋"/>
          <w:color w:val="auto"/>
          <w:sz w:val="28"/>
          <w:highlight w:val="none"/>
        </w:rPr>
      </w:pPr>
      <w:r>
        <w:rPr>
          <w:rFonts w:hint="eastAsia" w:ascii="仿宋" w:hAnsi="仿宋" w:eastAsia="仿宋" w:cs="仿宋"/>
          <w:color w:val="auto"/>
          <w:sz w:val="28"/>
          <w:highlight w:val="none"/>
        </w:rPr>
        <w:t>（5）谈判小组对</w:t>
      </w:r>
      <w:r>
        <w:rPr>
          <w:rFonts w:hint="eastAsia" w:ascii="仿宋" w:hAnsi="仿宋" w:eastAsia="仿宋" w:cs="仿宋"/>
          <w:color w:val="auto"/>
          <w:sz w:val="28"/>
          <w:highlight w:val="none"/>
          <w:lang w:val="en-US" w:eastAsia="zh-CN"/>
        </w:rPr>
        <w:t>供应商</w:t>
      </w:r>
      <w:r>
        <w:rPr>
          <w:rFonts w:hint="eastAsia" w:ascii="仿宋" w:hAnsi="仿宋" w:eastAsia="仿宋" w:cs="仿宋"/>
          <w:color w:val="auto"/>
          <w:sz w:val="28"/>
          <w:highlight w:val="none"/>
        </w:rPr>
        <w:t>所出具的《关于符合本国产品标准的声明函》的完整性、准确性进行审查，评审中发现《关于符合本国产品标准的声明函》内容含义不明确、同类事项与</w:t>
      </w:r>
      <w:r>
        <w:rPr>
          <w:rFonts w:hint="eastAsia" w:ascii="仿宋" w:hAnsi="仿宋" w:eastAsia="仿宋" w:cs="仿宋"/>
          <w:color w:val="auto"/>
          <w:sz w:val="28"/>
          <w:highlight w:val="none"/>
          <w:lang w:eastAsia="zh-CN"/>
        </w:rPr>
        <w:t>响应</w:t>
      </w:r>
      <w:r>
        <w:rPr>
          <w:rFonts w:hint="eastAsia" w:ascii="仿宋" w:hAnsi="仿宋" w:eastAsia="仿宋" w:cs="仿宋"/>
          <w:color w:val="auto"/>
          <w:sz w:val="28"/>
          <w:highlight w:val="none"/>
        </w:rPr>
        <w:t>文件表述不一致或者有明显文字错误等情况的，应当以书面形式要求</w:t>
      </w:r>
      <w:r>
        <w:rPr>
          <w:rFonts w:hint="eastAsia" w:ascii="仿宋" w:hAnsi="仿宋" w:eastAsia="仿宋" w:cs="仿宋"/>
          <w:color w:val="auto"/>
          <w:sz w:val="28"/>
          <w:highlight w:val="none"/>
          <w:lang w:val="en-US" w:eastAsia="zh-CN"/>
        </w:rPr>
        <w:t>供应商</w:t>
      </w:r>
      <w:r>
        <w:rPr>
          <w:rFonts w:hint="eastAsia" w:ascii="仿宋" w:hAnsi="仿宋" w:eastAsia="仿宋" w:cs="仿宋"/>
          <w:color w:val="auto"/>
          <w:sz w:val="28"/>
          <w:highlight w:val="none"/>
        </w:rPr>
        <w:t>作出必要的澄清、说明或者补正。经澄清、说明或者补正的《关于符合本国产品标准的声明函》仍然不符合要求的，</w:t>
      </w:r>
      <w:r>
        <w:rPr>
          <w:rFonts w:hint="eastAsia" w:ascii="仿宋" w:hAnsi="仿宋" w:eastAsia="仿宋" w:cs="仿宋"/>
          <w:color w:val="auto"/>
          <w:sz w:val="28"/>
          <w:highlight w:val="none"/>
          <w:lang w:val="en-US" w:eastAsia="zh-CN"/>
        </w:rPr>
        <w:t>供应商</w:t>
      </w:r>
      <w:r>
        <w:rPr>
          <w:rFonts w:hint="eastAsia" w:ascii="仿宋" w:hAnsi="仿宋" w:eastAsia="仿宋" w:cs="仿宋"/>
          <w:color w:val="auto"/>
          <w:sz w:val="28"/>
          <w:highlight w:val="none"/>
        </w:rPr>
        <w:t>提供的相关产品视为不符合本国产品标准。</w:t>
      </w:r>
    </w:p>
    <w:p w14:paraId="60BF91F8">
      <w:pPr>
        <w:widowControl w:val="0"/>
        <w:spacing w:line="500" w:lineRule="exact"/>
        <w:ind w:firstLine="566" w:firstLineChars="200"/>
        <w:contextualSpacing/>
        <w:rPr>
          <w:rFonts w:ascii="仿宋" w:hAnsi="仿宋" w:eastAsia="仿宋" w:cs="仿宋"/>
          <w:b/>
          <w:color w:val="auto"/>
          <w:highlight w:val="none"/>
        </w:rPr>
      </w:pPr>
      <w:r>
        <w:rPr>
          <w:rFonts w:hint="eastAsia" w:ascii="仿宋" w:hAnsi="仿宋" w:eastAsia="仿宋" w:cs="仿宋"/>
          <w:b/>
          <w:color w:val="auto"/>
          <w:highlight w:val="none"/>
        </w:rPr>
        <w:t>5、进行谈判</w:t>
      </w:r>
    </w:p>
    <w:p w14:paraId="75A10788">
      <w:pPr>
        <w:widowControl w:val="0"/>
        <w:spacing w:line="500" w:lineRule="exact"/>
        <w:ind w:firstLine="566" w:firstLineChars="200"/>
        <w:contextualSpacing/>
        <w:rPr>
          <w:rFonts w:hint="eastAsia" w:ascii="仿宋" w:hAnsi="仿宋" w:eastAsia="仿宋" w:cs="仿宋"/>
          <w:bCs/>
          <w:color w:val="auto"/>
          <w:highlight w:val="none"/>
        </w:rPr>
      </w:pPr>
      <w:r>
        <w:rPr>
          <w:rFonts w:hint="eastAsia" w:ascii="仿宋" w:hAnsi="仿宋" w:eastAsia="仿宋" w:cs="仿宋"/>
          <w:bCs/>
          <w:color w:val="auto"/>
          <w:highlight w:val="none"/>
        </w:rPr>
        <w:t>谈判小组所有成员应当集中与单一供应商进行谈判，并给予所有参加谈判的供应商平等的谈判机会。需要供应商书面答复谈判内容的，供应商应当按照谈判小组的要求，在谈判小组规定的时限内通过电子交易平台或电子邮件等书面形式答复谈判的内容。并由法定代表人或其授权代表签字或者加盖公章。</w:t>
      </w:r>
    </w:p>
    <w:p w14:paraId="2BB8C0C7">
      <w:pPr>
        <w:widowControl w:val="0"/>
        <w:spacing w:line="500" w:lineRule="exact"/>
        <w:ind w:firstLine="566" w:firstLineChars="200"/>
        <w:contextualSpacing/>
        <w:rPr>
          <w:rFonts w:hint="eastAsia" w:ascii="仿宋" w:hAnsi="仿宋" w:eastAsia="仿宋" w:cs="仿宋"/>
          <w:b/>
          <w:color w:val="auto"/>
          <w:highlight w:val="none"/>
        </w:rPr>
      </w:pPr>
      <w:r>
        <w:rPr>
          <w:rFonts w:hint="eastAsia" w:ascii="仿宋" w:hAnsi="仿宋" w:eastAsia="仿宋" w:cs="仿宋"/>
          <w:b/>
          <w:color w:val="auto"/>
          <w:highlight w:val="none"/>
        </w:rPr>
        <w:t>6、谈判文件的实质性变更</w:t>
      </w:r>
    </w:p>
    <w:p w14:paraId="6304D9F0">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（1）在谈判过程中，谈判小组可以根据谈判文件和谈判情况实质性变动采购需求中的技术、服务要求以及合同草案条款，但不得变动谈判文件中的其他内容。实质性变动的内容，须经采购人代表确认。</w:t>
      </w:r>
    </w:p>
    <w:p w14:paraId="505F4923">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（2）对谈判文件作出的实质性变动是谈判文件的有效组成部分，谈判小组将通过公共资源交易平台（以下简称“平台”）或电子邮件（在平台无法支持的情况下）等书面形式通知所有参加谈判的供应商。</w:t>
      </w:r>
    </w:p>
    <w:p w14:paraId="0EB2ACEB">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（3）供应商应当按照谈判文件的变动情况和谈判小组的要求，在谈判小组规定的时限内重新提交响应文件，并用数字认证证书（CA锁）签章或由法定代表人或其授权代表签字或者加盖公章。</w:t>
      </w:r>
    </w:p>
    <w:p w14:paraId="13298BA5">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（4）供应商未能在规定的时间内按照谈判小组的要求通过公共资源交易平台（以下简称“平台”）或电子邮件（在平台无法支持的情况下）等书面形式提交实质性变更响应文件的，视作未实质性响应。</w:t>
      </w:r>
    </w:p>
    <w:p w14:paraId="51A3AF2D">
      <w:pPr>
        <w:widowControl w:val="0"/>
        <w:spacing w:line="500" w:lineRule="exact"/>
        <w:ind w:firstLine="566" w:firstLineChars="200"/>
        <w:contextualSpacing/>
        <w:rPr>
          <w:rFonts w:hint="eastAsia" w:ascii="仿宋" w:hAnsi="仿宋" w:eastAsia="仿宋" w:cs="仿宋"/>
          <w:b/>
          <w:color w:val="auto"/>
          <w:highlight w:val="none"/>
        </w:rPr>
      </w:pPr>
      <w:r>
        <w:rPr>
          <w:rFonts w:hint="eastAsia" w:ascii="仿宋" w:hAnsi="仿宋" w:eastAsia="仿宋" w:cs="仿宋"/>
          <w:b/>
          <w:color w:val="auto"/>
          <w:highlight w:val="none"/>
        </w:rPr>
        <w:t>7、最后报价</w:t>
      </w:r>
    </w:p>
    <w:p w14:paraId="543983E7">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（1）谈判文件能够详细列明采购标的的技术、服务要求的，谈判结束后，谈判小组应当要求所有继续参加谈判的供应商在规定时间内提交最后报价，提交最后报价的供应商不得少于3家。</w:t>
      </w:r>
    </w:p>
    <w:p w14:paraId="70AE2357">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2）谈判文件不能详细列明采购标的的技术、服务要求，需经谈判由供应商提供最终设计方案或解决方案的，谈判结束后，谈判小组应当按照少数服从多数的原则投票推荐3家以上供应商的设计方案或者解决方案，并要求其在规定时间内提交最后报价。</w:t>
      </w:r>
    </w:p>
    <w:p w14:paraId="28735D5D">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（3）最后报价是供应商响应文件的有效组成部分。</w:t>
      </w:r>
    </w:p>
    <w:p w14:paraId="0D586E1D">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4）供应商要在电子交易平台中提交最后报价，并用数字认证证书（CA锁）签章。平台系统无法使用时，供应商要按照谈判小组要求，通过电子邮件等书面形式方式提交最后报价表。最后报价表应由其法定代表人或被授权代表签字或者加盖公章。最后报价将作为评审的依据。</w:t>
      </w:r>
    </w:p>
    <w:p w14:paraId="30A44C4D">
      <w:pPr>
        <w:widowControl w:val="0"/>
        <w:spacing w:line="500" w:lineRule="exact"/>
        <w:ind w:firstLine="566" w:firstLineChars="200"/>
        <w:contextualSpacing/>
        <w:rPr>
          <w:rFonts w:hint="eastAsia" w:ascii="仿宋" w:hAnsi="仿宋" w:eastAsia="仿宋" w:cs="仿宋"/>
          <w:color w:val="auto"/>
          <w:highlight w:val="none"/>
        </w:rPr>
      </w:pPr>
      <w:r>
        <w:rPr>
          <w:rFonts w:hint="eastAsia" w:ascii="仿宋" w:hAnsi="仿宋" w:eastAsia="仿宋" w:cs="仿宋"/>
          <w:color w:val="auto"/>
          <w:highlight w:val="none"/>
        </w:rPr>
        <w:t>（5）已提交响应文件的供应商，在提交最后报价之前，可以根据谈判情况书面形式退出谈判，书面申请应由其法定代表人或被授权代表签字或者加盖公章。陕西省省级单位政府采购中心将退还其所交纳的谈判保证金。</w:t>
      </w:r>
    </w:p>
    <w:p w14:paraId="31332C7E">
      <w:pPr>
        <w:pStyle w:val="18"/>
        <w:spacing w:line="500" w:lineRule="exact"/>
        <w:ind w:firstLine="566"/>
        <w:rPr>
          <w:rFonts w:hint="eastAsia" w:ascii="仿宋" w:hAnsi="仿宋" w:eastAsia="仿宋" w:cs="仿宋"/>
          <w:color w:val="auto"/>
          <w:sz w:val="28"/>
          <w:szCs w:val="28"/>
          <w:highlight w:val="none"/>
        </w:rPr>
      </w:pPr>
      <w:r>
        <w:rPr>
          <w:rFonts w:hint="eastAsia" w:ascii="仿宋" w:hAnsi="仿宋" w:eastAsia="仿宋" w:cs="仿宋"/>
          <w:bCs/>
          <w:color w:val="auto"/>
          <w:kern w:val="2"/>
          <w:sz w:val="28"/>
          <w:szCs w:val="28"/>
          <w:highlight w:val="none"/>
        </w:rPr>
        <w:t>（6）最低报价不是成交的唯一依据。谈判小组认为供应商的报价明显低于其他通过符合性审查供应商的报价，有可能影响产品质量或者不能诚信履约的，要求供应商在规定时间内通过公共资源交易平台（以下简称“平台”）或电子邮件（在平台无法支持的情况下）等书面形式提供说明（必要时提交相关证明材料）供应商不能证明其报价合理性的，谈判小组应当按其响应无效处理。</w:t>
      </w:r>
    </w:p>
    <w:p w14:paraId="4206D5A2">
      <w:pPr>
        <w:widowControl w:val="0"/>
        <w:spacing w:line="500" w:lineRule="exact"/>
        <w:ind w:firstLine="566" w:firstLineChars="200"/>
        <w:rPr>
          <w:rFonts w:hint="eastAsia" w:ascii="仿宋" w:hAnsi="仿宋" w:eastAsia="仿宋" w:cs="仿宋"/>
          <w:b/>
          <w:color w:val="auto"/>
          <w:highlight w:val="none"/>
        </w:rPr>
      </w:pPr>
      <w:r>
        <w:rPr>
          <w:rFonts w:hint="eastAsia" w:ascii="仿宋" w:hAnsi="仿宋" w:eastAsia="仿宋" w:cs="仿宋"/>
          <w:b/>
          <w:color w:val="auto"/>
          <w:highlight w:val="none"/>
        </w:rPr>
        <w:t>8、最后报价的价格扣除原则</w:t>
      </w:r>
    </w:p>
    <w:p w14:paraId="44BD0944">
      <w:pPr>
        <w:widowControl w:val="0"/>
        <w:snapToGrid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采用最低评标价法的，评标委员会对通过符合性审查的响应文件的投标报价由低到高顺序排列。</w:t>
      </w:r>
    </w:p>
    <w:p w14:paraId="1573CA63">
      <w:pPr>
        <w:widowControl w:val="0"/>
        <w:snapToGrid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出现下列情形的，供应商响应无效：</w:t>
      </w:r>
    </w:p>
    <w:p w14:paraId="4E643E8F">
      <w:pPr>
        <w:widowControl w:val="0"/>
        <w:snapToGrid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（1）响应文件报价出现本章“</w:t>
      </w:r>
      <w:r>
        <w:rPr>
          <w:rFonts w:hint="eastAsia" w:ascii="仿宋" w:hAnsi="仿宋" w:eastAsia="仿宋" w:cs="仿宋"/>
          <w:bCs/>
          <w:color w:val="auto"/>
          <w:highlight w:val="none"/>
          <w:lang w:val="en-US" w:eastAsia="zh-CN"/>
        </w:rPr>
        <w:t>四</w:t>
      </w:r>
      <w:r>
        <w:rPr>
          <w:rFonts w:hint="eastAsia" w:ascii="仿宋" w:hAnsi="仿宋" w:eastAsia="仿宋" w:cs="仿宋"/>
          <w:bCs/>
          <w:color w:val="auto"/>
          <w:highlight w:val="none"/>
        </w:rPr>
        <w:t>、</w:t>
      </w:r>
      <w:r>
        <w:rPr>
          <w:rFonts w:hint="eastAsia" w:ascii="仿宋" w:hAnsi="仿宋" w:eastAsia="仿宋" w:cs="仿宋"/>
          <w:bCs/>
          <w:color w:val="auto"/>
          <w:highlight w:val="none"/>
          <w:lang w:val="en-US" w:eastAsia="zh-CN"/>
        </w:rPr>
        <w:t>谈判报价</w:t>
      </w:r>
      <w:r>
        <w:rPr>
          <w:rFonts w:hint="eastAsia" w:ascii="仿宋" w:hAnsi="仿宋" w:eastAsia="仿宋" w:cs="仿宋"/>
          <w:bCs/>
          <w:color w:val="auto"/>
          <w:highlight w:val="none"/>
        </w:rPr>
        <w:t>”所列需要修正情形，但供应商对修正后的报价不予确认的；</w:t>
      </w:r>
    </w:p>
    <w:p w14:paraId="23F2120C">
      <w:pPr>
        <w:widowControl w:val="0"/>
        <w:snapToGrid w:val="0"/>
        <w:spacing w:line="500" w:lineRule="exact"/>
        <w:ind w:firstLine="566"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2）评标委员会认为供应商的报价明显低于其他通过符合性审查供应商的报价，有可能影响产品质量或者不能诚信履约的，要求供应商通过电子交易平台或电子邮件等书面形式做出说明（必要时提交相关证明材料），供应商不能证明其报价合理性的。</w:t>
      </w:r>
    </w:p>
    <w:p w14:paraId="46CFCCE1">
      <w:pPr>
        <w:pStyle w:val="2"/>
        <w:spacing w:afterLines="0" w:line="500" w:lineRule="exact"/>
        <w:ind w:firstLine="566" w:firstLineChars="200"/>
        <w:rPr>
          <w:rFonts w:hint="eastAsia" w:ascii="仿宋" w:hAnsi="仿宋" w:eastAsia="仿宋" w:cs="仿宋"/>
          <w:color w:val="000000" w:themeColor="text1"/>
          <w:sz w:val="28"/>
          <w:szCs w:val="28"/>
          <w:highlight w:val="none"/>
          <w:lang w:eastAsia="zh-CN"/>
          <w14:textFill>
            <w14:solidFill>
              <w14:schemeClr w14:val="tx1"/>
            </w14:solidFill>
          </w14:textFill>
        </w:rPr>
      </w:pPr>
      <w:r>
        <w:rPr>
          <w:rFonts w:hint="eastAsia" w:ascii="仿宋" w:hAnsi="仿宋" w:eastAsia="仿宋" w:cs="仿宋"/>
          <w:b/>
          <w:bCs/>
          <w:color w:val="000000" w:themeColor="text1"/>
          <w:sz w:val="28"/>
          <w:szCs w:val="28"/>
          <w:highlight w:val="none"/>
          <w:lang w:val="en-US" w:eastAsia="zh-CN"/>
          <w14:textFill>
            <w14:solidFill>
              <w14:schemeClr w14:val="tx1"/>
            </w14:solidFill>
          </w14:textFill>
        </w:rPr>
        <w:t>9</w:t>
      </w:r>
      <w:r>
        <w:rPr>
          <w:rFonts w:hint="eastAsia" w:ascii="仿宋" w:hAnsi="仿宋" w:eastAsia="仿宋" w:cs="仿宋"/>
          <w:b/>
          <w:bCs/>
          <w:color w:val="000000" w:themeColor="text1"/>
          <w:sz w:val="28"/>
          <w:szCs w:val="28"/>
          <w:highlight w:val="none"/>
          <w14:textFill>
            <w14:solidFill>
              <w14:schemeClr w14:val="tx1"/>
            </w14:solidFill>
          </w14:textFill>
        </w:rPr>
        <w:t>、</w:t>
      </w:r>
      <w:r>
        <w:rPr>
          <w:rFonts w:hint="eastAsia" w:ascii="仿宋" w:hAnsi="仿宋" w:eastAsia="仿宋" w:cs="仿宋"/>
          <w:b/>
          <w:bCs/>
          <w:color w:val="000000" w:themeColor="text1"/>
          <w:sz w:val="28"/>
          <w:szCs w:val="28"/>
          <w:highlight w:val="none"/>
          <w:lang w:eastAsia="zh-CN"/>
          <w14:textFill>
            <w14:solidFill>
              <w14:schemeClr w14:val="tx1"/>
            </w14:solidFill>
          </w14:textFill>
        </w:rPr>
        <w:t>异常低价审查</w:t>
      </w:r>
    </w:p>
    <w:p w14:paraId="1435385B">
      <w:pPr>
        <w:pStyle w:val="2"/>
        <w:spacing w:afterLines="0" w:line="50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政府采购评审中出现下列情形之一的，</w:t>
      </w: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sz w:val="28"/>
          <w:szCs w:val="28"/>
          <w:highlight w:val="none"/>
          <w:lang w:val="en-US" w:eastAsia="zh-CN"/>
          <w14:textFill>
            <w14:solidFill>
              <w14:schemeClr w14:val="tx1"/>
            </w14:solidFill>
          </w14:textFill>
        </w:rPr>
        <w:t>小组应当启动异常低价响应审查程序：</w:t>
      </w:r>
    </w:p>
    <w:p w14:paraId="1E850664">
      <w:pPr>
        <w:pStyle w:val="2"/>
        <w:spacing w:afterLines="0" w:line="50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（1）响应报价低于全部通过符合性审查供应商响应报价平均值50%的，即响应报价&lt;全部通过符合性审查供应商响应报价平均值×50%；</w:t>
      </w:r>
    </w:p>
    <w:p w14:paraId="493F8F93">
      <w:pPr>
        <w:pStyle w:val="2"/>
        <w:spacing w:afterLines="0" w:line="50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（2）响应报价低于通过符合性审查的次低报价供应商响应报价50%的，即响应报价&lt;通过符合性审查的次低报价供应商响应报价×50%；</w:t>
      </w:r>
    </w:p>
    <w:p w14:paraId="322CCD18">
      <w:pPr>
        <w:pStyle w:val="2"/>
        <w:spacing w:afterLines="0" w:line="50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（3）响应报价低于采购项目最高限价45%的，即响应报价&lt;采购项目最高限价×45%（未设定最高限价的采购项目，以采购项目预算金额作为最高限价）；</w:t>
      </w:r>
    </w:p>
    <w:p w14:paraId="567833AE">
      <w:pPr>
        <w:pStyle w:val="2"/>
        <w:spacing w:afterLines="0" w:line="50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lang w:val="en-US" w:eastAsia="zh-CN"/>
          <w14:textFill>
            <w14:solidFill>
              <w14:schemeClr w14:val="tx1"/>
            </w14:solidFill>
          </w14:textFill>
        </w:rPr>
        <w:t>（4）</w:t>
      </w: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sz w:val="28"/>
          <w:szCs w:val="28"/>
          <w:highlight w:val="none"/>
          <w:lang w:val="en-US" w:eastAsia="zh-CN"/>
          <w14:textFill>
            <w14:solidFill>
              <w14:schemeClr w14:val="tx1"/>
            </w14:solidFill>
          </w14:textFill>
        </w:rPr>
        <w:t>小组基于专业判断，认为供应商报价过低，有可能影响产品质量或者不能诚信履约的其他情形。</w:t>
      </w:r>
    </w:p>
    <w:p w14:paraId="26484A6E">
      <w:pPr>
        <w:pStyle w:val="2"/>
        <w:spacing w:afterLines="0" w:line="500" w:lineRule="exact"/>
        <w:ind w:firstLine="48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sz w:val="28"/>
          <w:szCs w:val="28"/>
          <w:highlight w:val="none"/>
          <w:lang w:eastAsia="zh-CN"/>
          <w14:textFill>
            <w14:solidFill>
              <w14:schemeClr w14:val="tx1"/>
            </w14:solidFill>
          </w14:textFill>
        </w:rPr>
        <w:t>小组</w:t>
      </w:r>
      <w:r>
        <w:rPr>
          <w:rFonts w:hint="eastAsia" w:ascii="仿宋" w:hAnsi="仿宋" w:eastAsia="仿宋" w:cs="仿宋"/>
          <w:color w:val="000000" w:themeColor="text1"/>
          <w:sz w:val="28"/>
          <w:szCs w:val="28"/>
          <w:highlight w:val="none"/>
          <w14:textFill>
            <w14:solidFill>
              <w14:schemeClr w14:val="tx1"/>
            </w14:solidFill>
          </w14:textFill>
        </w:rPr>
        <w:t>依据专业经验，参考同类项目成交价格、类似产品市场价格水平、行业人工费用标准、国家有关部门指导行业协会发布的行业平均成本等情况，对报价合理性进行判断。</w:t>
      </w:r>
    </w:p>
    <w:p w14:paraId="31B39950">
      <w:pPr>
        <w:spacing w:afterLines="0" w:line="500" w:lineRule="exact"/>
        <w:ind w:firstLine="566" w:firstLineChars="200"/>
        <w:contextualSpacing/>
        <w:rPr>
          <w:rFonts w:hint="eastAsia" w:ascii="仿宋" w:hAnsi="仿宋" w:eastAsia="仿宋" w:cs="仿宋"/>
          <w:lang w:val="en-US" w:eastAsia="zh-CN"/>
        </w:rPr>
      </w:pP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5</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highlight w:val="none"/>
          <w:lang w:eastAsia="zh-CN"/>
          <w14:textFill>
            <w14:solidFill>
              <w14:schemeClr w14:val="tx1"/>
            </w14:solidFill>
          </w14:textFill>
        </w:rPr>
        <w:t>小组</w:t>
      </w:r>
      <w:r>
        <w:rPr>
          <w:rFonts w:hint="eastAsia" w:ascii="仿宋" w:hAnsi="仿宋" w:eastAsia="仿宋" w:cs="仿宋"/>
          <w:color w:val="000000" w:themeColor="text1"/>
          <w:highlight w:val="none"/>
          <w14:textFill>
            <w14:solidFill>
              <w14:schemeClr w14:val="tx1"/>
            </w14:solidFill>
          </w14:textFill>
        </w:rPr>
        <w:t>启动异常低价</w:t>
      </w:r>
      <w:r>
        <w:rPr>
          <w:rFonts w:hint="eastAsia" w:ascii="仿宋" w:hAnsi="仿宋" w:eastAsia="仿宋" w:cs="仿宋"/>
          <w:color w:val="000000" w:themeColor="text1"/>
          <w:highlight w:val="none"/>
          <w:lang w:eastAsia="zh-CN"/>
          <w14:textFill>
            <w14:solidFill>
              <w14:schemeClr w14:val="tx1"/>
            </w14:solidFill>
          </w14:textFill>
        </w:rPr>
        <w:t>响应</w:t>
      </w:r>
      <w:r>
        <w:rPr>
          <w:rFonts w:hint="eastAsia" w:ascii="仿宋" w:hAnsi="仿宋" w:eastAsia="仿宋" w:cs="仿宋"/>
          <w:color w:val="000000" w:themeColor="text1"/>
          <w:highlight w:val="none"/>
          <w14:textFill>
            <w14:solidFill>
              <w14:schemeClr w14:val="tx1"/>
            </w14:solidFill>
          </w14:textFill>
        </w:rPr>
        <w:t>审查后，要求相关</w:t>
      </w:r>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eastAsia="仿宋" w:cs="仿宋"/>
          <w:color w:val="000000" w:themeColor="text1"/>
          <w:highlight w:val="none"/>
          <w14:textFill>
            <w14:solidFill>
              <w14:schemeClr w14:val="tx1"/>
            </w14:solidFill>
          </w14:textFill>
        </w:rPr>
        <w:t>在评</w:t>
      </w:r>
      <w:r>
        <w:rPr>
          <w:rFonts w:hint="eastAsia" w:ascii="仿宋" w:hAnsi="仿宋" w:eastAsia="仿宋" w:cs="仿宋"/>
          <w:color w:val="000000" w:themeColor="text1"/>
          <w:highlight w:val="none"/>
          <w:lang w:eastAsia="zh-CN"/>
          <w14:textFill>
            <w14:solidFill>
              <w14:schemeClr w14:val="tx1"/>
            </w14:solidFill>
          </w14:textFill>
        </w:rPr>
        <w:t>审</w:t>
      </w:r>
      <w:r>
        <w:rPr>
          <w:rFonts w:hint="eastAsia" w:ascii="仿宋" w:hAnsi="仿宋" w:eastAsia="仿宋" w:cs="仿宋"/>
          <w:color w:val="000000" w:themeColor="text1"/>
          <w:highlight w:val="none"/>
          <w14:textFill>
            <w14:solidFill>
              <w14:schemeClr w14:val="tx1"/>
            </w14:solidFill>
          </w14:textFill>
        </w:rPr>
        <w:t>现场</w:t>
      </w:r>
      <w:r>
        <w:rPr>
          <w:rFonts w:hint="eastAsia" w:ascii="仿宋" w:hAnsi="仿宋" w:eastAsia="仿宋" w:cs="仿宋"/>
          <w:color w:val="000000" w:themeColor="text1"/>
          <w:highlight w:val="none"/>
          <w:lang w:eastAsia="zh-CN"/>
          <w14:textFill>
            <w14:solidFill>
              <w14:schemeClr w14:val="tx1"/>
            </w14:solidFill>
          </w14:textFill>
        </w:rPr>
        <w:t>规定</w:t>
      </w:r>
      <w:r>
        <w:rPr>
          <w:rFonts w:hint="eastAsia" w:ascii="仿宋" w:hAnsi="仿宋" w:eastAsia="仿宋" w:cs="仿宋"/>
          <w:color w:val="000000" w:themeColor="text1"/>
          <w:highlight w:val="none"/>
          <w14:textFill>
            <w14:solidFill>
              <w14:schemeClr w14:val="tx1"/>
            </w14:solidFill>
          </w14:textFill>
        </w:rPr>
        <w:t>的时间内</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一般不少于30分钟</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对</w:t>
      </w:r>
      <w:r>
        <w:rPr>
          <w:rFonts w:hint="eastAsia" w:ascii="仿宋" w:hAnsi="仿宋" w:eastAsia="仿宋" w:cs="仿宋"/>
          <w:color w:val="000000" w:themeColor="text1"/>
          <w:highlight w:val="none"/>
          <w:lang w:val="en-US" w:eastAsia="zh-CN"/>
          <w14:textFill>
            <w14:solidFill>
              <w14:schemeClr w14:val="tx1"/>
            </w14:solidFill>
          </w14:textFill>
        </w:rPr>
        <w:t>响应</w:t>
      </w:r>
      <w:r>
        <w:rPr>
          <w:rFonts w:hint="eastAsia" w:ascii="仿宋" w:hAnsi="仿宋" w:eastAsia="仿宋" w:cs="仿宋"/>
          <w:color w:val="000000" w:themeColor="text1"/>
          <w:highlight w:val="none"/>
          <w14:textFill>
            <w14:solidFill>
              <w14:schemeClr w14:val="tx1"/>
            </w14:solidFill>
          </w14:textFill>
        </w:rPr>
        <w:t>价格作出解释，提供项目具体成本测算等与报价合理性相关的书面说明及必要的证明材料</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包括但不限于原材料成本、人工成本、制造费用等</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eastAsia="仿宋" w:cs="仿宋"/>
          <w:color w:val="000000" w:themeColor="text1"/>
          <w:highlight w:val="none"/>
          <w:lang w:eastAsia="zh-CN"/>
          <w14:textFill>
            <w14:solidFill>
              <w14:schemeClr w14:val="tx1"/>
            </w14:solidFill>
          </w14:textFill>
        </w:rPr>
        <w:t>不能在规定时间内提供书面说明、证明材料，或者提供的书面说明、证明材料不能证明其报价合理性的，</w:t>
      </w:r>
      <w:r>
        <w:rPr>
          <w:rFonts w:hint="eastAsia" w:ascii="仿宋" w:hAnsi="仿宋" w:eastAsia="仿宋" w:cs="仿宋"/>
          <w:color w:val="000000" w:themeColor="text1"/>
          <w:highlight w:val="none"/>
          <w:lang w:val="en-US" w:eastAsia="zh-CN"/>
          <w14:textFill>
            <w14:solidFill>
              <w14:schemeClr w14:val="tx1"/>
            </w14:solidFill>
          </w14:textFill>
        </w:rPr>
        <w:t>谈判小组应当将其作为无效响应处理</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“规定时间”由</w:t>
      </w: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highlight w:val="none"/>
          <w:lang w:eastAsia="zh-CN"/>
          <w14:textFill>
            <w14:solidFill>
              <w14:schemeClr w14:val="tx1"/>
            </w14:solidFill>
          </w14:textFill>
        </w:rPr>
        <w:t>小组</w:t>
      </w:r>
      <w:r>
        <w:rPr>
          <w:rFonts w:hint="eastAsia" w:ascii="仿宋" w:hAnsi="仿宋" w:eastAsia="仿宋" w:cs="仿宋"/>
          <w:color w:val="000000" w:themeColor="text1"/>
          <w:highlight w:val="none"/>
          <w14:textFill>
            <w14:solidFill>
              <w14:schemeClr w14:val="tx1"/>
            </w14:solidFill>
          </w14:textFill>
        </w:rPr>
        <w:t>具体确定</w:t>
      </w:r>
      <w:r>
        <w:rPr>
          <w:rFonts w:hint="eastAsia" w:ascii="仿宋" w:hAnsi="仿宋" w:eastAsia="仿宋" w:cs="仿宋"/>
          <w:color w:val="000000" w:themeColor="text1"/>
          <w:highlight w:val="none"/>
          <w:lang w:eastAsia="zh-CN"/>
          <w14:textFill>
            <w14:solidFill>
              <w14:schemeClr w14:val="tx1"/>
            </w14:solidFill>
          </w14:textFill>
        </w:rPr>
        <w:t>）</w:t>
      </w:r>
      <w:r>
        <w:rPr>
          <w:rFonts w:hint="eastAsia" w:ascii="仿宋" w:hAnsi="仿宋" w:eastAsia="仿宋" w:cs="仿宋"/>
          <w:color w:val="000000" w:themeColor="text1"/>
          <w:highlight w:val="none"/>
          <w14:textFill>
            <w14:solidFill>
              <w14:schemeClr w14:val="tx1"/>
            </w14:solidFill>
          </w14:textFill>
        </w:rPr>
        <w:t>。</w:t>
      </w:r>
    </w:p>
    <w:p w14:paraId="4F5EBCAC">
      <w:pPr>
        <w:widowControl w:val="0"/>
        <w:snapToGrid w:val="0"/>
        <w:spacing w:line="500" w:lineRule="exact"/>
        <w:ind w:firstLine="566" w:firstLineChars="200"/>
        <w:rPr>
          <w:rFonts w:hint="eastAsia" w:ascii="仿宋" w:hAnsi="仿宋" w:eastAsia="仿宋" w:cs="仿宋"/>
          <w:b/>
          <w:color w:val="auto"/>
          <w:highlight w:val="none"/>
        </w:rPr>
      </w:pPr>
      <w:r>
        <w:rPr>
          <w:rFonts w:hint="eastAsia" w:ascii="仿宋" w:hAnsi="仿宋" w:eastAsia="仿宋" w:cs="仿宋"/>
          <w:b/>
          <w:color w:val="auto"/>
          <w:highlight w:val="none"/>
          <w:lang w:val="en-US" w:eastAsia="zh-CN"/>
        </w:rPr>
        <w:t>10</w:t>
      </w:r>
      <w:r>
        <w:rPr>
          <w:rFonts w:hint="eastAsia" w:ascii="仿宋" w:hAnsi="仿宋" w:eastAsia="仿宋" w:cs="仿宋"/>
          <w:b/>
          <w:color w:val="auto"/>
          <w:highlight w:val="none"/>
        </w:rPr>
        <w:t>、推荐成交候选供应商</w:t>
      </w:r>
    </w:p>
    <w:p w14:paraId="19463B7A">
      <w:pPr>
        <w:widowControl w:val="0"/>
        <w:snapToGrid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bCs/>
          <w:color w:val="auto"/>
          <w:highlight w:val="none"/>
        </w:rPr>
        <w:t>最后报价后，谈判小组根据上述价格扣除原则对供应商的最后报价进行评审，形成评审报价，按照评审报价由低到高的排序，推荐</w:t>
      </w:r>
      <w:bookmarkStart w:id="129" w:name="■Finalists_CH2_A■"/>
      <w:r>
        <w:rPr>
          <w:rFonts w:hint="eastAsia" w:ascii="仿宋" w:hAnsi="仿宋" w:eastAsia="仿宋" w:cs="仿宋"/>
          <w:b/>
          <w:color w:val="auto"/>
          <w:highlight w:val="none"/>
        </w:rPr>
        <w:t>3名以上</w:t>
      </w:r>
      <w:bookmarkEnd w:id="129"/>
      <w:r>
        <w:rPr>
          <w:rFonts w:hint="eastAsia" w:ascii="仿宋" w:hAnsi="仿宋" w:eastAsia="仿宋" w:cs="仿宋"/>
          <w:bCs/>
          <w:color w:val="auto"/>
          <w:highlight w:val="none"/>
        </w:rPr>
        <w:t>成交候选供应商。</w:t>
      </w:r>
      <w:r>
        <w:rPr>
          <w:rFonts w:hint="eastAsia" w:ascii="仿宋" w:hAnsi="仿宋" w:eastAsia="仿宋" w:cs="仿宋"/>
          <w:bCs/>
          <w:color w:val="auto"/>
          <w:highlight w:val="none"/>
          <w:lang w:eastAsia="zh-CN"/>
        </w:rPr>
        <w:t>货物类项目</w:t>
      </w:r>
      <w:r>
        <w:rPr>
          <w:rFonts w:hint="eastAsia" w:ascii="仿宋" w:hAnsi="仿宋" w:eastAsia="仿宋" w:cs="仿宋"/>
          <w:bCs/>
          <w:color w:val="auto"/>
          <w:highlight w:val="none"/>
        </w:rPr>
        <w:t>最终评审报价相同的，谈判小组优先推荐节能清单(非强制类)、环保清单内的产品（</w:t>
      </w:r>
      <w:r>
        <w:rPr>
          <w:rFonts w:hint="eastAsia" w:ascii="仿宋" w:hAnsi="仿宋" w:eastAsia="仿宋" w:cs="仿宋"/>
          <w:color w:val="auto"/>
          <w:highlight w:val="none"/>
        </w:rPr>
        <w:t>供应商所投产品属于节能或环境标志产品政府采购品目清单范围内优先采购的产品，</w:t>
      </w:r>
      <w:r>
        <w:rPr>
          <w:rFonts w:hint="eastAsia" w:ascii="仿宋" w:hAnsi="仿宋" w:eastAsia="仿宋" w:cs="仿宋"/>
          <w:b/>
          <w:bCs/>
          <w:color w:val="auto"/>
          <w:highlight w:val="none"/>
        </w:rPr>
        <w:t>以出具有效期内的节能产品、环境标准产品认证证书较多的，排名优先</w:t>
      </w:r>
      <w:r>
        <w:rPr>
          <w:rFonts w:hint="eastAsia" w:ascii="仿宋" w:hAnsi="仿宋" w:eastAsia="仿宋" w:cs="仿宋"/>
          <w:bCs/>
          <w:color w:val="auto"/>
          <w:highlight w:val="none"/>
        </w:rPr>
        <w:t>），再按照综合技术指标优劣顺序推荐。</w:t>
      </w:r>
    </w:p>
    <w:p w14:paraId="3826EE4F">
      <w:pPr>
        <w:widowControl w:val="0"/>
        <w:spacing w:line="500" w:lineRule="exact"/>
        <w:ind w:firstLine="566" w:firstLineChars="200"/>
        <w:rPr>
          <w:rFonts w:hint="eastAsia" w:ascii="仿宋" w:hAnsi="仿宋" w:eastAsia="仿宋" w:cs="仿宋"/>
          <w:b/>
          <w:color w:val="auto"/>
          <w:highlight w:val="none"/>
        </w:rPr>
      </w:pPr>
      <w:r>
        <w:rPr>
          <w:rFonts w:hint="eastAsia" w:ascii="仿宋" w:hAnsi="仿宋" w:eastAsia="仿宋" w:cs="仿宋"/>
          <w:b/>
          <w:color w:val="auto"/>
          <w:highlight w:val="none"/>
        </w:rPr>
        <w:t>1</w:t>
      </w:r>
      <w:r>
        <w:rPr>
          <w:rFonts w:hint="eastAsia" w:ascii="仿宋" w:hAnsi="仿宋" w:eastAsia="仿宋" w:cs="仿宋"/>
          <w:b/>
          <w:color w:val="auto"/>
          <w:highlight w:val="none"/>
          <w:lang w:val="en-US" w:eastAsia="zh-CN"/>
        </w:rPr>
        <w:t>1</w:t>
      </w:r>
      <w:r>
        <w:rPr>
          <w:rFonts w:hint="eastAsia" w:ascii="仿宋" w:hAnsi="仿宋" w:eastAsia="仿宋" w:cs="仿宋"/>
          <w:b/>
          <w:color w:val="auto"/>
          <w:highlight w:val="none"/>
        </w:rPr>
        <w:t>、编写评审报告</w:t>
      </w:r>
    </w:p>
    <w:p w14:paraId="30F57773">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谈判小组应当根据评审记录和评审结果编写评审报告，其主要内容包括：</w:t>
      </w:r>
    </w:p>
    <w:p w14:paraId="2D0FB26C">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（1）邀请供应商参加采购活动的具体方式和相关情况，以及参加采购活动的供应商名单；</w:t>
      </w:r>
    </w:p>
    <w:p w14:paraId="0AE143C9">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（2）评审日期和地点，谈判小组成员名单；</w:t>
      </w:r>
    </w:p>
    <w:p w14:paraId="7C2A9297">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（3）评审情况记录和说明，包括对供应商的资格审查情况、供应商响应文件评审情况、谈判情况、报价情况等；</w:t>
      </w:r>
    </w:p>
    <w:p w14:paraId="7761F08A">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（4）提出的成交候选人的名单及理由。</w:t>
      </w:r>
    </w:p>
    <w:p w14:paraId="198355DC">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评审报告应当由谈判小组全体人员签字认可。谈判小组成员对评审报告有异议的，谈判小组按照少数服从多数的原则推荐成交候选人，采购程序继续进行。对评审报告有异议的谈判小组成员，应当在报告上签署不同意见并说明理由，由谈判小组书面记录相关情况。谈判小组成员拒绝在报告上签字又不书面说明其不同意见和理由的，视为同意评审报告。</w:t>
      </w:r>
    </w:p>
    <w:p w14:paraId="2CA0D137">
      <w:pPr>
        <w:widowControl w:val="0"/>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采购人书面授权谈判小组直接确定成交供应商的，谈判小组应在评审报告中明确成交供应商及成交金额。</w:t>
      </w:r>
    </w:p>
    <w:p w14:paraId="49A8A438">
      <w:pPr>
        <w:widowControl w:val="0"/>
        <w:spacing w:line="500" w:lineRule="exact"/>
        <w:ind w:firstLine="566" w:firstLineChars="200"/>
        <w:rPr>
          <w:rFonts w:hint="eastAsia" w:ascii="仿宋" w:hAnsi="仿宋" w:eastAsia="仿宋" w:cs="仿宋"/>
          <w:b/>
          <w:color w:val="auto"/>
          <w:highlight w:val="none"/>
        </w:rPr>
      </w:pPr>
      <w:r>
        <w:rPr>
          <w:rFonts w:hint="eastAsia" w:ascii="仿宋" w:hAnsi="仿宋" w:eastAsia="仿宋" w:cs="仿宋"/>
          <w:b/>
          <w:color w:val="auto"/>
          <w:highlight w:val="none"/>
        </w:rPr>
        <w:t>（六）有下列情形之一的，视为供应商串通投标，其响应无效：</w:t>
      </w:r>
    </w:p>
    <w:p w14:paraId="0225B946">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1、不同供应商的响应文件由同一单位或者个人编制；</w:t>
      </w:r>
    </w:p>
    <w:p w14:paraId="37A39352">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2、不同供应商的响应文件由同一台电脑编制；</w:t>
      </w:r>
    </w:p>
    <w:p w14:paraId="43B9D285">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3、不同供应商委托同一单位或者个人办理投标事宜；</w:t>
      </w:r>
    </w:p>
    <w:p w14:paraId="4476AFC0">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4、不同供应商的响应文件载明的项目管理成员或者联系人员为同一人；</w:t>
      </w:r>
    </w:p>
    <w:p w14:paraId="690F85A7">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5、不同供应商的响应文件异常一致或者谈判报价呈规律性差异；</w:t>
      </w:r>
    </w:p>
    <w:p w14:paraId="51FD1A75">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6、政府采购法律法规及谈判文件规定的其他情形。</w:t>
      </w:r>
    </w:p>
    <w:p w14:paraId="4383E558">
      <w:pPr>
        <w:widowControl w:val="0"/>
        <w:spacing w:line="500" w:lineRule="exact"/>
        <w:ind w:firstLine="566" w:firstLineChars="200"/>
        <w:outlineLvl w:val="1"/>
        <w:rPr>
          <w:rFonts w:hint="eastAsia" w:ascii="仿宋" w:hAnsi="仿宋" w:eastAsia="仿宋" w:cs="仿宋"/>
          <w:b/>
          <w:color w:val="auto"/>
          <w:highlight w:val="none"/>
        </w:rPr>
      </w:pPr>
      <w:bookmarkStart w:id="130" w:name="_Toc6474"/>
      <w:bookmarkStart w:id="131" w:name="_Toc4082"/>
      <w:bookmarkStart w:id="132" w:name="_Toc26415"/>
      <w:bookmarkStart w:id="133" w:name="_Toc30827"/>
      <w:bookmarkStart w:id="134" w:name="_Toc7661"/>
      <w:bookmarkStart w:id="135" w:name="_Toc2810"/>
      <w:bookmarkStart w:id="136" w:name="_Toc11074"/>
      <w:bookmarkStart w:id="137" w:name="_Toc4723"/>
      <w:bookmarkStart w:id="138" w:name="_Toc23975"/>
      <w:r>
        <w:rPr>
          <w:rStyle w:val="62"/>
          <w:rFonts w:hint="eastAsia" w:ascii="仿宋" w:hAnsi="仿宋" w:eastAsia="仿宋" w:cs="仿宋"/>
          <w:color w:val="auto"/>
          <w:sz w:val="28"/>
          <w:szCs w:val="28"/>
          <w:highlight w:val="none"/>
        </w:rPr>
        <w:t>八、成交</w:t>
      </w:r>
      <w:bookmarkEnd w:id="130"/>
      <w:bookmarkEnd w:id="131"/>
      <w:bookmarkEnd w:id="132"/>
      <w:bookmarkEnd w:id="133"/>
      <w:bookmarkEnd w:id="134"/>
      <w:bookmarkEnd w:id="135"/>
      <w:bookmarkEnd w:id="136"/>
      <w:bookmarkEnd w:id="137"/>
      <w:bookmarkEnd w:id="138"/>
    </w:p>
    <w:p w14:paraId="25E46874">
      <w:pPr>
        <w:widowControl w:val="0"/>
        <w:spacing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（一）本项目采用第</w:t>
      </w:r>
      <w:r>
        <w:rPr>
          <w:rFonts w:hint="eastAsia" w:ascii="仿宋" w:hAnsi="仿宋" w:eastAsia="仿宋" w:cs="仿宋"/>
          <w:b/>
          <w:bCs/>
          <w:color w:val="auto"/>
          <w:highlight w:val="none"/>
          <w:u w:val="single"/>
        </w:rPr>
        <w:t xml:space="preserve">  </w:t>
      </w:r>
      <w:r>
        <w:rPr>
          <w:rFonts w:hint="eastAsia" w:ascii="仿宋" w:hAnsi="仿宋" w:eastAsia="仿宋" w:cs="仿宋"/>
          <w:b/>
          <w:bCs/>
          <w:color w:val="auto"/>
          <w:highlight w:val="none"/>
          <w:u w:val="single"/>
          <w:lang w:val="en-US" w:eastAsia="zh-CN"/>
        </w:rPr>
        <w:t>1</w:t>
      </w:r>
      <w:r>
        <w:rPr>
          <w:rFonts w:hint="eastAsia" w:ascii="仿宋" w:hAnsi="仿宋" w:eastAsia="仿宋" w:cs="仿宋"/>
          <w:b/>
          <w:bCs/>
          <w:color w:val="auto"/>
          <w:highlight w:val="none"/>
          <w:u w:val="single"/>
        </w:rPr>
        <w:t xml:space="preserve">  </w:t>
      </w:r>
      <w:r>
        <w:rPr>
          <w:rFonts w:hint="eastAsia" w:ascii="仿宋" w:hAnsi="仿宋" w:eastAsia="仿宋" w:cs="仿宋"/>
          <w:b/>
          <w:bCs/>
          <w:color w:val="auto"/>
          <w:highlight w:val="none"/>
        </w:rPr>
        <w:t>种方式确定成交供应商。</w:t>
      </w:r>
    </w:p>
    <w:p w14:paraId="67ABF7FC">
      <w:pPr>
        <w:widowControl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1、陕西省省级单位政府采购中心在评审结束后2个工作日内将评审报告送采购人确认。采购人在收到评审报告之日起5个工作日内，在评审报告确定的成交候选人名单中按顺序确定成交供应商。采购人在收到评审报告5个工作日内未按评审报告推荐的成交候选人顺序确定成交供应商，又不能说明合法理由的，视同按评审报告推荐的顺序确定排名第一的成交候选人为成交供应商。</w:t>
      </w:r>
    </w:p>
    <w:p w14:paraId="4C59AF69">
      <w:pPr>
        <w:pStyle w:val="8"/>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2、采购人可以书面授权谈判小组直接确定成交供应商。</w:t>
      </w:r>
    </w:p>
    <w:p w14:paraId="4FBDCDF6">
      <w:pPr>
        <w:pStyle w:val="21"/>
        <w:spacing w:line="500" w:lineRule="exact"/>
        <w:ind w:left="0" w:leftChars="0" w:firstLine="566" w:firstLineChars="200"/>
        <w:rPr>
          <w:rFonts w:ascii="仿宋" w:hAnsi="仿宋" w:eastAsia="仿宋" w:cs="仿宋"/>
          <w:b/>
          <w:bCs/>
          <w:color w:val="auto"/>
          <w:highlight w:val="none"/>
        </w:rPr>
      </w:pPr>
      <w:r>
        <w:rPr>
          <w:rFonts w:hint="eastAsia" w:ascii="仿宋" w:hAnsi="仿宋" w:eastAsia="仿宋" w:cs="仿宋"/>
          <w:b/>
          <w:bCs/>
          <w:color w:val="auto"/>
          <w:highlight w:val="none"/>
        </w:rPr>
        <w:t>采购人在评审前提供《委托评审小组定标授权书》，谈判小组将根据采购人授权直接确定成交供应商。</w:t>
      </w:r>
    </w:p>
    <w:p w14:paraId="6F7FE0B0">
      <w:pPr>
        <w:widowControl w:val="0"/>
        <w:wordWrap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（二）陕西省省级单位政府采购中心将在成交供应商确定后2个工作日内，在【</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"http://www.ccgp-shaanxi.gov.cn/" </w:instrText>
      </w:r>
      <w:r>
        <w:rPr>
          <w:rFonts w:hint="eastAsia" w:ascii="仿宋" w:hAnsi="仿宋" w:eastAsia="仿宋" w:cs="仿宋"/>
          <w:color w:val="auto"/>
          <w:highlight w:val="none"/>
        </w:rPr>
        <w:fldChar w:fldCharType="separate"/>
      </w:r>
      <w:r>
        <w:rPr>
          <w:rFonts w:hint="eastAsia" w:ascii="仿宋" w:hAnsi="仿宋" w:eastAsia="仿宋" w:cs="仿宋"/>
          <w:bCs/>
          <w:color w:val="auto"/>
          <w:highlight w:val="none"/>
        </w:rPr>
        <w:t>陕西省政府采购网</w:t>
      </w:r>
      <w:r>
        <w:rPr>
          <w:rFonts w:hint="eastAsia" w:ascii="仿宋" w:hAnsi="仿宋" w:eastAsia="仿宋" w:cs="仿宋"/>
          <w:bCs/>
          <w:color w:val="auto"/>
          <w:highlight w:val="none"/>
        </w:rPr>
        <w:fldChar w:fldCharType="end"/>
      </w:r>
      <w:r>
        <w:rPr>
          <w:rFonts w:hint="eastAsia" w:ascii="仿宋" w:hAnsi="仿宋" w:eastAsia="仿宋" w:cs="仿宋"/>
          <w:bCs/>
          <w:color w:val="auto"/>
          <w:highlight w:val="none"/>
        </w:rPr>
        <w:t>（www.ccgp-shaanxi.gov.cn）】、</w:t>
      </w:r>
      <w:r>
        <w:rPr>
          <w:rFonts w:hint="eastAsia" w:ascii="仿宋" w:hAnsi="仿宋" w:eastAsia="仿宋" w:cs="仿宋"/>
          <w:color w:val="auto"/>
          <w:highlight w:val="none"/>
        </w:rPr>
        <w:t>【全国</w:t>
      </w:r>
      <w:r>
        <w:rPr>
          <w:rFonts w:hint="eastAsia" w:ascii="仿宋" w:hAnsi="仿宋" w:eastAsia="仿宋" w:cs="仿宋"/>
          <w:bCs/>
          <w:color w:val="auto"/>
          <w:highlight w:val="none"/>
        </w:rPr>
        <w:t>公共资源交易平台（陕西省）（http://www.sxggzyjy.cn/）</w:t>
      </w:r>
      <w:r>
        <w:rPr>
          <w:rStyle w:val="39"/>
          <w:rFonts w:hint="eastAsia" w:ascii="仿宋" w:hAnsi="仿宋" w:eastAsia="仿宋" w:cs="仿宋"/>
          <w:color w:val="auto"/>
          <w:sz w:val="28"/>
          <w:szCs w:val="28"/>
          <w:highlight w:val="none"/>
        </w:rPr>
        <w:t>】媒体</w:t>
      </w:r>
      <w:r>
        <w:rPr>
          <w:rFonts w:hint="eastAsia" w:ascii="仿宋" w:hAnsi="仿宋" w:eastAsia="仿宋" w:cs="仿宋"/>
          <w:color w:val="auto"/>
          <w:highlight w:val="none"/>
        </w:rPr>
        <w:t>上公告成交结果，成交公告期限为1个工作日。同时，陕西省省级单位政府采购中心向成交供应商发出“成交通知书”，并将谈判文件随成交结果同时公告。成交结果公告应当包括以下内容：</w:t>
      </w:r>
    </w:p>
    <w:p w14:paraId="345A5C8D">
      <w:pPr>
        <w:widowControl w:val="0"/>
        <w:wordWrap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1、采购人和采购代理机构的名称、地址和联系方式；</w:t>
      </w:r>
    </w:p>
    <w:p w14:paraId="4E879D28">
      <w:pPr>
        <w:widowControl w:val="0"/>
        <w:wordWrap w:val="0"/>
        <w:spacing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rPr>
        <w:t>2、项目名称和项目编号；</w:t>
      </w:r>
    </w:p>
    <w:p w14:paraId="42E5D7A8">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3、成交供应商名称、地址和成交金额；</w:t>
      </w:r>
    </w:p>
    <w:p w14:paraId="1F72CB7D">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4、主要成交标的的名称、规格型号、数量、单价、服务要求；</w:t>
      </w:r>
    </w:p>
    <w:p w14:paraId="289F2B86">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5、谈判小组成员名单。</w:t>
      </w:r>
    </w:p>
    <w:p w14:paraId="1F29D5EE">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采用书面推荐供应商参加采购活动的，还应当公告采购人和评审专家的推荐意见。</w:t>
      </w:r>
    </w:p>
    <w:p w14:paraId="09594678">
      <w:pPr>
        <w:pageBreakBefore w:val="0"/>
        <w:widowControl w:val="0"/>
        <w:kinsoku/>
        <w:overflowPunct/>
        <w:topLinePunct w:val="0"/>
        <w:autoSpaceDE/>
        <w:autoSpaceDN/>
        <w:bidi w:val="0"/>
        <w:adjustRightInd/>
        <w:snapToGrid/>
        <w:spacing w:line="480" w:lineRule="exact"/>
        <w:ind w:firstLine="566" w:firstLineChars="200"/>
        <w:textAlignment w:val="auto"/>
        <w:outlineLvl w:val="1"/>
        <w:rPr>
          <w:rFonts w:hint="eastAsia" w:ascii="仿宋" w:hAnsi="仿宋" w:eastAsia="仿宋" w:cs="仿宋"/>
          <w:b/>
          <w:color w:val="auto"/>
          <w:highlight w:val="none"/>
        </w:rPr>
      </w:pPr>
      <w:bookmarkStart w:id="139" w:name="_Toc15369"/>
      <w:bookmarkStart w:id="140" w:name="_Toc11606"/>
      <w:bookmarkStart w:id="141" w:name="_Toc10475"/>
      <w:bookmarkStart w:id="142" w:name="_Toc27292"/>
      <w:bookmarkStart w:id="143" w:name="_Toc14864"/>
      <w:bookmarkStart w:id="144" w:name="_Toc5590"/>
      <w:bookmarkStart w:id="145" w:name="_Toc28062"/>
      <w:bookmarkStart w:id="146" w:name="_Toc26941"/>
      <w:bookmarkStart w:id="147" w:name="_Toc1829"/>
      <w:r>
        <w:rPr>
          <w:rStyle w:val="62"/>
          <w:rFonts w:hint="eastAsia" w:ascii="仿宋" w:hAnsi="仿宋" w:eastAsia="仿宋" w:cs="仿宋"/>
          <w:color w:val="auto"/>
          <w:sz w:val="28"/>
          <w:szCs w:val="28"/>
          <w:highlight w:val="none"/>
        </w:rPr>
        <w:t>九、签订政府采购合同</w:t>
      </w:r>
      <w:bookmarkEnd w:id="139"/>
      <w:bookmarkEnd w:id="140"/>
      <w:bookmarkEnd w:id="141"/>
      <w:bookmarkEnd w:id="142"/>
      <w:bookmarkEnd w:id="143"/>
      <w:bookmarkEnd w:id="144"/>
      <w:bookmarkEnd w:id="145"/>
      <w:bookmarkEnd w:id="146"/>
      <w:bookmarkEnd w:id="147"/>
    </w:p>
    <w:p w14:paraId="517BB997">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（一）采购人与成交供应商应当在成交通知书发出之日起25日内，按照谈判文件确定的合同文本以及采购标的、规格型号、采购金额、采购数量、技术和服务要求等事项签订政府采购合同。</w:t>
      </w:r>
    </w:p>
    <w:p w14:paraId="6F990116">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二）采购人不得向成交供应商提出超出谈判文件以外的任何要求作为签订合同的条件，不得与成交供应商订立背离谈判文件确定的合同文本以及采购标的、规格型号、采购金额、采购数量、技术和服务要求等实质性内容的协议。</w:t>
      </w:r>
    </w:p>
    <w:p w14:paraId="1444EF39">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三）成交供应商拒绝与采购人签订合同的，采购人可以按照评审报告推荐的成交候选人名单排序，确定下一候选人为成交供应商，也可以重新开展政府采购活动。拒绝签订政府采购合同的成交供应商不得参加对该项目重新开展的采购活动。</w:t>
      </w:r>
    </w:p>
    <w:p w14:paraId="2D29480B">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（四）谈判文件、成交供应商的响应文件、澄清、《成交通知书》及其说明文件、承诺等，均为签订采购合同的组成部分，作为采购合同的组成部分。</w:t>
      </w:r>
    </w:p>
    <w:p w14:paraId="7E46E824">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政府采购合同在执行过程中，确需修改、变更时，应当按照相应的审核批准程序办理。</w:t>
      </w:r>
    </w:p>
    <w:p w14:paraId="2E13D18D">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kern w:val="0"/>
          <w:highlight w:val="none"/>
        </w:rPr>
      </w:pPr>
      <w:r>
        <w:rPr>
          <w:rFonts w:hint="eastAsia" w:ascii="仿宋" w:hAnsi="仿宋" w:eastAsia="仿宋" w:cs="仿宋"/>
          <w:color w:val="auto"/>
          <w:kern w:val="0"/>
          <w:highlight w:val="none"/>
        </w:rPr>
        <w:t>（五）政府采购合同应当包括采购人与成交供应商的名称和住所、标的、数量、质量、价款或者报酬、履行期限及地点和方式、验收要求、违约责任、解决争议的方法等内容。</w:t>
      </w:r>
    </w:p>
    <w:p w14:paraId="7CA55966">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kern w:val="0"/>
          <w:highlight w:val="none"/>
        </w:rPr>
      </w:pPr>
      <w:r>
        <w:rPr>
          <w:rFonts w:hint="eastAsia" w:ascii="仿宋" w:hAnsi="仿宋" w:eastAsia="仿宋" w:cs="仿宋"/>
          <w:color w:val="auto"/>
          <w:kern w:val="0"/>
          <w:highlight w:val="none"/>
        </w:rPr>
        <w:t>（六）采购人与成交供应商应当根据合同的约定依法履行合同义务。政府采购合同的履行、违约责任和解决争议的方法等适用《中华人民共和国民法典》。</w:t>
      </w:r>
    </w:p>
    <w:p w14:paraId="176655B4">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kern w:val="0"/>
          <w:highlight w:val="none"/>
        </w:rPr>
      </w:pPr>
      <w:r>
        <w:rPr>
          <w:rFonts w:hint="eastAsia" w:ascii="仿宋" w:hAnsi="仿宋" w:eastAsia="仿宋" w:cs="仿宋"/>
          <w:color w:val="auto"/>
          <w:kern w:val="0"/>
          <w:highlight w:val="none"/>
        </w:rPr>
        <w:t>（七）采购人应当及时对采购项目进行验收。采购人可以邀请参加本项目的其他谈判供应商或者第三方机构参与验收。参与验收的谈判供应商或者第三方机构的意见作为验收书的参考资料一并存档。</w:t>
      </w:r>
    </w:p>
    <w:p w14:paraId="7FBECF53">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kern w:val="0"/>
          <w:highlight w:val="none"/>
        </w:rPr>
      </w:pPr>
      <w:r>
        <w:rPr>
          <w:rFonts w:hint="eastAsia" w:ascii="仿宋" w:hAnsi="仿宋" w:eastAsia="仿宋" w:cs="仿宋"/>
          <w:color w:val="auto"/>
          <w:kern w:val="0"/>
          <w:highlight w:val="none"/>
        </w:rPr>
        <w:t>（八）采购人应当加强对成交供应商的履约管理，并按照采购合同约定，及时向成交供应商支付采购资金。对于成交供应商违反采购合同约定的行为，采购人应当及时处理，依法追究其违约责任。</w:t>
      </w:r>
    </w:p>
    <w:p w14:paraId="4C288C4A">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bCs/>
          <w:color w:val="auto"/>
          <w:highlight w:val="none"/>
        </w:rPr>
        <w:t>（九）采购人按有关规定将政府采购合同报送监管机构备案。</w:t>
      </w:r>
    </w:p>
    <w:p w14:paraId="152D075A">
      <w:pPr>
        <w:pStyle w:val="5"/>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sz w:val="28"/>
          <w:szCs w:val="28"/>
          <w:highlight w:val="none"/>
        </w:rPr>
      </w:pPr>
      <w:bookmarkStart w:id="148" w:name="_Toc20555"/>
      <w:bookmarkStart w:id="149" w:name="_Toc18104"/>
      <w:bookmarkStart w:id="150" w:name="_Toc13166"/>
      <w:bookmarkStart w:id="151" w:name="_Toc13151"/>
      <w:bookmarkStart w:id="152" w:name="_Toc4983"/>
      <w:bookmarkStart w:id="153" w:name="_Toc9376"/>
      <w:bookmarkStart w:id="154" w:name="_Toc5147"/>
      <w:bookmarkStart w:id="155" w:name="_Toc32193"/>
      <w:bookmarkStart w:id="156" w:name="_Toc17434"/>
      <w:bookmarkStart w:id="157" w:name="_Toc32702"/>
      <w:bookmarkStart w:id="158" w:name="_Toc6493"/>
      <w:bookmarkStart w:id="159" w:name="_Toc424636365"/>
      <w:bookmarkStart w:id="160" w:name="_Toc445407252"/>
      <w:bookmarkStart w:id="161" w:name="_Toc505073741"/>
      <w:r>
        <w:rPr>
          <w:rStyle w:val="62"/>
          <w:rFonts w:hint="eastAsia" w:ascii="仿宋" w:hAnsi="仿宋" w:eastAsia="仿宋" w:cs="仿宋"/>
          <w:b/>
          <w:bCs/>
          <w:color w:val="auto"/>
          <w:kern w:val="2"/>
          <w:sz w:val="28"/>
          <w:szCs w:val="28"/>
          <w:highlight w:val="none"/>
        </w:rPr>
        <w:t>十、其他</w:t>
      </w:r>
      <w:bookmarkEnd w:id="148"/>
      <w:bookmarkEnd w:id="149"/>
      <w:bookmarkEnd w:id="150"/>
      <w:bookmarkEnd w:id="151"/>
      <w:bookmarkEnd w:id="152"/>
      <w:bookmarkEnd w:id="153"/>
      <w:bookmarkEnd w:id="154"/>
      <w:bookmarkEnd w:id="155"/>
      <w:bookmarkEnd w:id="156"/>
      <w:bookmarkEnd w:id="157"/>
      <w:bookmarkEnd w:id="158"/>
    </w:p>
    <w:p w14:paraId="07C26A5B">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一）除资格性审查认定错误和价格计算错误外，采购人或者采购代理机构不得以任何理由组织重新评审。采购人、采购代理机构发现谈判小组未按照谈判文件规定的评定成交的标准进行评审的，应当重新开展采购活动，并同时书面报告本级财政部门。</w:t>
      </w:r>
    </w:p>
    <w:p w14:paraId="523131CB">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（二）根据《政府采购非招标采购方式管理办法》（财政部74号令）第二十三条、第三十七条，第一次公告后，出现下列情况之一的，将终止竞争性谈判采购活动：</w:t>
      </w:r>
    </w:p>
    <w:p w14:paraId="17AA96EE">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1、因情况变化，不再符合规定的竞争性谈判采购方式适用情形的；</w:t>
      </w:r>
    </w:p>
    <w:p w14:paraId="5DB20F17">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2、出现影响采购公正的违法、违规行为的；</w:t>
      </w:r>
    </w:p>
    <w:p w14:paraId="33B3A25C">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3、在采购过程中符合竞争要求的供应商或者报价未超过采购预算的供应商不足3家的，但《政府采购非招标采购方式管理办法》第二十七条第二款规定的情形除外；</w:t>
      </w:r>
    </w:p>
    <w:p w14:paraId="304938AC">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4、因重大变故，采购任务取消的。</w:t>
      </w:r>
    </w:p>
    <w:p w14:paraId="0C6DA158">
      <w:pPr>
        <w:pageBreakBefore w:val="0"/>
        <w:widowControl w:val="0"/>
        <w:kinsoku/>
        <w:wordWrap w:val="0"/>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（三）谈判活动终止后，除采购任务取消外，将重新组织采购。</w:t>
      </w:r>
    </w:p>
    <w:p w14:paraId="3229E85E">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（四）陕西省省级单位政府采购中心应当采取必要措施，保证评审在严格保密的情况下进行。除采购人代表、评审现场组织人员外，采购人的其他工作人员以及与评审工作无关的人员不得进入评审现场。</w:t>
      </w:r>
    </w:p>
    <w:p w14:paraId="08A56715">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有关人员对评审情况以及在评审过程中获悉的国家秘密、商业秘密负有保密责任。</w:t>
      </w:r>
    </w:p>
    <w:p w14:paraId="79F5FEA3">
      <w:pPr>
        <w:pageBreakBefore w:val="0"/>
        <w:widowControl w:val="0"/>
        <w:kinsoku/>
        <w:overflowPunct/>
        <w:topLinePunct w:val="0"/>
        <w:autoSpaceDE/>
        <w:autoSpaceDN/>
        <w:bidi w:val="0"/>
        <w:adjustRightInd/>
        <w:snapToGrid/>
        <w:spacing w:line="480" w:lineRule="exact"/>
        <w:ind w:firstLine="566"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（五）谈判文件未明确的其他事项，按《政府采购法》及其相关法律法规执行。</w:t>
      </w:r>
    </w:p>
    <w:p w14:paraId="3B868FCC">
      <w:pPr>
        <w:pageBreakBefore w:val="0"/>
        <w:widowControl w:val="0"/>
        <w:kinsoku/>
        <w:overflowPunct/>
        <w:topLinePunct w:val="0"/>
        <w:autoSpaceDE/>
        <w:autoSpaceDN/>
        <w:bidi w:val="0"/>
        <w:adjustRightInd/>
        <w:snapToGrid/>
        <w:spacing w:line="480" w:lineRule="exact"/>
        <w:ind w:firstLine="566" w:firstLineChars="200"/>
        <w:textAlignment w:val="auto"/>
        <w:outlineLvl w:val="1"/>
        <w:rPr>
          <w:rStyle w:val="62"/>
          <w:rFonts w:hint="eastAsia" w:ascii="仿宋" w:hAnsi="仿宋" w:eastAsia="仿宋" w:cs="仿宋"/>
          <w:color w:val="auto"/>
          <w:sz w:val="28"/>
          <w:szCs w:val="28"/>
          <w:highlight w:val="none"/>
        </w:rPr>
      </w:pPr>
      <w:bookmarkStart w:id="162" w:name="_Toc18857"/>
      <w:bookmarkStart w:id="163" w:name="_Toc20220"/>
      <w:bookmarkStart w:id="164" w:name="_Toc23101"/>
      <w:bookmarkStart w:id="165" w:name="_Toc1268"/>
      <w:bookmarkStart w:id="166" w:name="_Toc24145"/>
      <w:bookmarkStart w:id="167" w:name="_Toc1777"/>
      <w:bookmarkStart w:id="168" w:name="_Toc7462"/>
      <w:bookmarkStart w:id="169" w:name="_Toc30442"/>
      <w:bookmarkStart w:id="170" w:name="_Toc30739"/>
      <w:r>
        <w:rPr>
          <w:rStyle w:val="62"/>
          <w:rFonts w:hint="eastAsia" w:ascii="仿宋" w:hAnsi="仿宋" w:eastAsia="仿宋" w:cs="仿宋"/>
          <w:color w:val="auto"/>
          <w:sz w:val="28"/>
          <w:szCs w:val="28"/>
          <w:highlight w:val="none"/>
        </w:rPr>
        <w:t>十一、采购代理服务费：免费</w:t>
      </w:r>
      <w:bookmarkEnd w:id="162"/>
      <w:bookmarkEnd w:id="163"/>
      <w:bookmarkEnd w:id="164"/>
      <w:bookmarkEnd w:id="165"/>
      <w:bookmarkEnd w:id="166"/>
      <w:bookmarkEnd w:id="167"/>
      <w:bookmarkEnd w:id="168"/>
      <w:bookmarkEnd w:id="169"/>
      <w:bookmarkEnd w:id="170"/>
    </w:p>
    <w:p w14:paraId="6AC6A238">
      <w:pPr>
        <w:pageBreakBefore w:val="0"/>
        <w:kinsoku/>
        <w:overflowPunct/>
        <w:topLinePunct w:val="0"/>
        <w:autoSpaceDE/>
        <w:autoSpaceDN/>
        <w:bidi w:val="0"/>
        <w:adjustRightInd/>
        <w:snapToGrid/>
        <w:spacing w:line="480" w:lineRule="exact"/>
        <w:jc w:val="center"/>
        <w:textAlignment w:val="auto"/>
        <w:outlineLvl w:val="0"/>
        <w:rPr>
          <w:rFonts w:hint="eastAsia" w:ascii="仿宋" w:hAnsi="仿宋" w:eastAsia="仿宋" w:cs="仿宋"/>
          <w:b/>
          <w:color w:val="auto"/>
          <w:sz w:val="32"/>
          <w:szCs w:val="32"/>
          <w:highlight w:val="none"/>
        </w:rPr>
      </w:pPr>
      <w:bookmarkStart w:id="171" w:name="_Hlk510618309"/>
      <w:bookmarkStart w:id="172" w:name="_Toc1178"/>
      <w:bookmarkStart w:id="173" w:name="_Toc4395"/>
      <w:r>
        <w:rPr>
          <w:rFonts w:hint="eastAsia" w:ascii="仿宋" w:hAnsi="仿宋" w:eastAsia="仿宋" w:cs="仿宋"/>
          <w:b/>
          <w:color w:val="auto"/>
          <w:kern w:val="44"/>
          <w:sz w:val="32"/>
          <w:szCs w:val="32"/>
          <w:highlight w:val="none"/>
        </w:rPr>
        <w:br w:type="page"/>
      </w:r>
      <w:bookmarkEnd w:id="171"/>
      <w:bookmarkEnd w:id="172"/>
      <w:bookmarkEnd w:id="173"/>
      <w:bookmarkStart w:id="174" w:name="_Toc4144"/>
      <w:bookmarkStart w:id="175" w:name="_Toc22551"/>
      <w:bookmarkStart w:id="176" w:name="_Toc8567"/>
      <w:bookmarkStart w:id="177" w:name="_Toc29114"/>
      <w:bookmarkStart w:id="178" w:name="_Toc21024"/>
      <w:bookmarkStart w:id="179" w:name="_Toc29001"/>
      <w:bookmarkStart w:id="180" w:name="_Toc1930"/>
      <w:bookmarkStart w:id="181" w:name="_Toc18839"/>
      <w:bookmarkStart w:id="182" w:name="_Toc3836"/>
      <w:bookmarkStart w:id="183" w:name="_Toc31805"/>
      <w:bookmarkStart w:id="184" w:name="_Toc20805"/>
      <w:bookmarkStart w:id="185" w:name="_Toc9919"/>
      <w:bookmarkStart w:id="186" w:name="_Toc21675"/>
      <w:bookmarkStart w:id="187" w:name="_Toc27260"/>
      <w:r>
        <w:rPr>
          <w:rFonts w:hint="eastAsia" w:ascii="黑体" w:hAnsi="黑体" w:eastAsia="黑体" w:cs="黑体"/>
          <w:bCs/>
          <w:color w:val="auto"/>
          <w:kern w:val="44"/>
          <w:sz w:val="32"/>
          <w:szCs w:val="32"/>
          <w:highlight w:val="none"/>
        </w:rPr>
        <w:t>第三章  采购内容及采购要求</w:t>
      </w:r>
      <w:bookmarkEnd w:id="174"/>
      <w:bookmarkEnd w:id="175"/>
      <w:bookmarkEnd w:id="176"/>
      <w:bookmarkEnd w:id="177"/>
      <w:bookmarkEnd w:id="178"/>
      <w:bookmarkEnd w:id="179"/>
      <w:bookmarkEnd w:id="180"/>
      <w:bookmarkEnd w:id="181"/>
    </w:p>
    <w:p w14:paraId="1BEF66CD">
      <w:pPr>
        <w:pStyle w:val="5"/>
        <w:spacing w:line="500" w:lineRule="exact"/>
        <w:ind w:firstLine="566" w:firstLineChars="200"/>
        <w:rPr>
          <w:rFonts w:hint="eastAsia" w:ascii="仿宋" w:hAnsi="仿宋" w:eastAsia="仿宋" w:cs="仿宋"/>
          <w:color w:val="auto"/>
          <w:sz w:val="28"/>
          <w:szCs w:val="28"/>
          <w:highlight w:val="none"/>
        </w:rPr>
      </w:pPr>
      <w:bookmarkStart w:id="188" w:name="_Toc25952"/>
      <w:bookmarkStart w:id="189" w:name="_Toc12297"/>
      <w:bookmarkStart w:id="190" w:name="_Toc11878"/>
      <w:bookmarkStart w:id="191" w:name="_Toc4602"/>
      <w:bookmarkStart w:id="192" w:name="_Toc9837"/>
      <w:bookmarkStart w:id="193" w:name="_Toc1583"/>
      <w:bookmarkStart w:id="194" w:name="_Toc31279"/>
      <w:r>
        <w:rPr>
          <w:rFonts w:hint="eastAsia" w:ascii="仿宋" w:hAnsi="仿宋" w:eastAsia="仿宋" w:cs="仿宋"/>
          <w:color w:val="auto"/>
          <w:sz w:val="28"/>
          <w:szCs w:val="28"/>
          <w:highlight w:val="none"/>
        </w:rPr>
        <w:t>一、项目概况</w:t>
      </w:r>
      <w:bookmarkEnd w:id="188"/>
      <w:bookmarkEnd w:id="189"/>
      <w:bookmarkEnd w:id="190"/>
      <w:bookmarkEnd w:id="191"/>
      <w:bookmarkEnd w:id="192"/>
      <w:bookmarkEnd w:id="193"/>
      <w:bookmarkEnd w:id="194"/>
    </w:p>
    <w:p w14:paraId="584A8B12">
      <w:pPr>
        <w:keepNext w:val="0"/>
        <w:keepLines w:val="0"/>
        <w:pageBreakBefore w:val="0"/>
        <w:kinsoku/>
        <w:wordWrap/>
        <w:overflowPunct/>
        <w:topLinePunct w:val="0"/>
        <w:autoSpaceDE/>
        <w:autoSpaceDN/>
        <w:bidi w:val="0"/>
        <w:adjustRightInd/>
        <w:snapToGrid/>
        <w:spacing w:line="500" w:lineRule="exact"/>
        <w:ind w:left="0" w:leftChars="0" w:firstLine="566"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本项目为</w:t>
      </w:r>
      <w:r>
        <w:rPr>
          <w:rFonts w:hint="eastAsia" w:ascii="仿宋" w:hAnsi="仿宋" w:eastAsia="仿宋" w:cs="仿宋"/>
          <w:color w:val="auto"/>
          <w:highlight w:val="none"/>
          <w:lang w:eastAsia="zh-CN"/>
        </w:rPr>
        <w:t>西安邮电大学2026年桌椅、床板采购项目，</w:t>
      </w:r>
      <w:r>
        <w:rPr>
          <w:rFonts w:hint="eastAsia" w:ascii="仿宋" w:hAnsi="仿宋" w:eastAsia="仿宋" w:cs="仿宋"/>
          <w:color w:val="auto"/>
          <w:highlight w:val="none"/>
          <w:lang w:val="en-US" w:eastAsia="zh-CN"/>
        </w:rPr>
        <w:t>共分了两个标段。</w:t>
      </w:r>
    </w:p>
    <w:p w14:paraId="735B6C66">
      <w:pPr>
        <w:keepNext w:val="0"/>
        <w:keepLines w:val="0"/>
        <w:pageBreakBefore w:val="0"/>
        <w:kinsoku/>
        <w:wordWrap/>
        <w:overflowPunct/>
        <w:topLinePunct w:val="0"/>
        <w:autoSpaceDE/>
        <w:autoSpaceDN/>
        <w:bidi w:val="0"/>
        <w:adjustRightInd/>
        <w:snapToGrid/>
        <w:spacing w:line="500" w:lineRule="exact"/>
        <w:ind w:left="0" w:leftChars="0" w:firstLine="566" w:firstLineChars="200"/>
        <w:textAlignment w:val="auto"/>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第一标段：长安校区西区基础教学楼B段教室原有桌椅使用年限较长，部分出现破损、松动等问题，且现有桌椅规格与现代教学需求适配度不足，严重影响正常教学秩序和师生使用体验，为更好地为师生提供安全、舒适、便捷的教学环境，教室桌椅急需进行拆除及定制安装。 </w:t>
      </w:r>
    </w:p>
    <w:p w14:paraId="5C40A679">
      <w:pPr>
        <w:keepNext w:val="0"/>
        <w:keepLines w:val="0"/>
        <w:pageBreakBefore w:val="0"/>
        <w:kinsoku/>
        <w:wordWrap/>
        <w:overflowPunct/>
        <w:topLinePunct w:val="0"/>
        <w:autoSpaceDE/>
        <w:autoSpaceDN/>
        <w:bidi w:val="0"/>
        <w:adjustRightInd/>
        <w:snapToGrid/>
        <w:spacing w:line="500" w:lineRule="exact"/>
        <w:ind w:firstLine="566" w:firstLineChars="200"/>
        <w:textAlignment w:val="auto"/>
        <w:rPr>
          <w:rFonts w:ascii="仿宋" w:hAnsi="仿宋" w:eastAsia="仿宋" w:cs="仿宋"/>
          <w:color w:val="auto"/>
          <w:highlight w:val="none"/>
        </w:rPr>
      </w:pPr>
      <w:r>
        <w:rPr>
          <w:rFonts w:hint="eastAsia" w:ascii="仿宋" w:hAnsi="仿宋" w:eastAsia="仿宋" w:cs="仿宋"/>
          <w:color w:val="auto"/>
          <w:highlight w:val="none"/>
          <w:lang w:val="en-US" w:eastAsia="zh-CN"/>
        </w:rPr>
        <w:t>第二标段：主要采购学生公寓配套家具，包含学生床、书桌、衣柜、椅子、棕垫等成套公寓家具设备各90套。采购家具需符合高校宿舍使用标准，具备环保、耐用、安全、美观的特性，适配学校现有学生公寓户型布局，用于完善校内学生住宿配套设施，改善学生住宿环境，保障学生日常学习、住宿生活需求，助力学校后勤保障服务提质升级。</w:t>
      </w:r>
    </w:p>
    <w:p w14:paraId="2EFFF84F">
      <w:pPr>
        <w:pStyle w:val="49"/>
        <w:keepNext w:val="0"/>
        <w:keepLines w:val="0"/>
        <w:pageBreakBefore w:val="0"/>
        <w:numPr>
          <w:ilvl w:val="0"/>
          <w:numId w:val="0"/>
        </w:numPr>
        <w:kinsoku/>
        <w:wordWrap/>
        <w:overflowPunct/>
        <w:topLinePunct w:val="0"/>
        <w:autoSpaceDE/>
        <w:autoSpaceDN/>
        <w:bidi w:val="0"/>
        <w:adjustRightInd/>
        <w:snapToGrid/>
        <w:spacing w:line="500" w:lineRule="exact"/>
        <w:ind w:firstLine="566" w:firstLineChars="200"/>
        <w:textAlignment w:val="auto"/>
        <w:outlineLvl w:val="1"/>
        <w:rPr>
          <w:rFonts w:hint="eastAsia" w:ascii="仿宋" w:hAnsi="仿宋" w:eastAsia="仿宋" w:cs="仿宋"/>
          <w:b/>
          <w:bCs/>
          <w:color w:val="auto"/>
          <w:kern w:val="0"/>
          <w:highlight w:val="none"/>
          <w:lang w:val="en-US" w:eastAsia="zh-CN"/>
        </w:rPr>
      </w:pPr>
      <w:bookmarkStart w:id="195" w:name="_Toc32454"/>
      <w:bookmarkStart w:id="196" w:name="_Toc1991"/>
      <w:bookmarkStart w:id="197" w:name="_Toc28573"/>
      <w:bookmarkStart w:id="198" w:name="_Toc13788"/>
      <w:bookmarkStart w:id="199" w:name="_Toc10415"/>
      <w:bookmarkStart w:id="200" w:name="_Toc26590"/>
      <w:bookmarkStart w:id="201" w:name="_Toc1490"/>
      <w:bookmarkStart w:id="202" w:name="_Toc17080"/>
      <w:r>
        <w:rPr>
          <w:rFonts w:hint="eastAsia" w:ascii="仿宋" w:hAnsi="仿宋" w:eastAsia="仿宋" w:cs="仿宋"/>
          <w:b/>
          <w:bCs/>
          <w:color w:val="auto"/>
          <w:kern w:val="0"/>
          <w:sz w:val="28"/>
          <w:szCs w:val="28"/>
          <w:highlight w:val="none"/>
          <w:lang w:val="en-US" w:eastAsia="zh-CN" w:bidi="ar-SA"/>
        </w:rPr>
        <w:t>二、</w:t>
      </w:r>
      <w:r>
        <w:rPr>
          <w:rFonts w:hint="eastAsia" w:ascii="仿宋" w:hAnsi="仿宋" w:eastAsia="仿宋" w:cs="仿宋"/>
          <w:b/>
          <w:bCs/>
          <w:color w:val="auto"/>
          <w:kern w:val="0"/>
          <w:highlight w:val="none"/>
        </w:rPr>
        <w:t>采购</w:t>
      </w:r>
      <w:bookmarkEnd w:id="195"/>
      <w:bookmarkEnd w:id="196"/>
      <w:bookmarkEnd w:id="197"/>
      <w:bookmarkEnd w:id="198"/>
      <w:bookmarkEnd w:id="199"/>
      <w:bookmarkEnd w:id="200"/>
      <w:bookmarkEnd w:id="201"/>
      <w:bookmarkEnd w:id="202"/>
      <w:r>
        <w:rPr>
          <w:rFonts w:hint="eastAsia" w:ascii="仿宋" w:hAnsi="仿宋" w:eastAsia="仿宋" w:cs="仿宋"/>
          <w:b/>
          <w:bCs/>
          <w:color w:val="auto"/>
          <w:kern w:val="0"/>
          <w:highlight w:val="none"/>
          <w:lang w:val="en-US" w:eastAsia="zh-CN"/>
        </w:rPr>
        <w:t>内容及要求</w:t>
      </w:r>
    </w:p>
    <w:p w14:paraId="36E66922">
      <w:pPr>
        <w:pStyle w:val="49"/>
        <w:keepNext w:val="0"/>
        <w:keepLines w:val="0"/>
        <w:pageBreakBefore w:val="0"/>
        <w:numPr>
          <w:ilvl w:val="-1"/>
          <w:numId w:val="0"/>
        </w:numPr>
        <w:kinsoku/>
        <w:wordWrap/>
        <w:overflowPunct/>
        <w:topLinePunct w:val="0"/>
        <w:autoSpaceDE/>
        <w:autoSpaceDN/>
        <w:bidi w:val="0"/>
        <w:adjustRightInd/>
        <w:snapToGrid/>
        <w:spacing w:line="500" w:lineRule="exact"/>
        <w:ind w:firstLine="566" w:firstLineChars="200"/>
        <w:jc w:val="left"/>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（一）采购清单</w:t>
      </w:r>
    </w:p>
    <w:p w14:paraId="58944272">
      <w:pPr>
        <w:pStyle w:val="49"/>
        <w:keepNext w:val="0"/>
        <w:keepLines w:val="0"/>
        <w:pageBreakBefore w:val="0"/>
        <w:numPr>
          <w:ilvl w:val="-1"/>
          <w:numId w:val="0"/>
        </w:numPr>
        <w:kinsoku/>
        <w:wordWrap/>
        <w:overflowPunct/>
        <w:topLinePunct w:val="0"/>
        <w:autoSpaceDE/>
        <w:autoSpaceDN/>
        <w:bidi w:val="0"/>
        <w:adjustRightInd/>
        <w:snapToGrid/>
        <w:spacing w:line="500" w:lineRule="exact"/>
        <w:ind w:firstLine="0" w:firstLineChars="0"/>
        <w:jc w:val="center"/>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第一标段</w:t>
      </w:r>
    </w:p>
    <w:tbl>
      <w:tblPr>
        <w:tblStyle w:val="29"/>
        <w:tblW w:w="7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9"/>
        <w:gridCol w:w="2801"/>
        <w:gridCol w:w="2242"/>
        <w:gridCol w:w="1671"/>
      </w:tblGrid>
      <w:tr w14:paraId="3EA174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919" w:type="dxa"/>
            <w:vAlign w:val="center"/>
          </w:tcPr>
          <w:p w14:paraId="5194C38E">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序号</w:t>
            </w:r>
          </w:p>
        </w:tc>
        <w:tc>
          <w:tcPr>
            <w:tcW w:w="2801" w:type="dxa"/>
            <w:vAlign w:val="center"/>
          </w:tcPr>
          <w:p w14:paraId="52B61A52">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货物名称</w:t>
            </w:r>
          </w:p>
        </w:tc>
        <w:tc>
          <w:tcPr>
            <w:tcW w:w="2242" w:type="dxa"/>
            <w:vAlign w:val="center"/>
          </w:tcPr>
          <w:p w14:paraId="77C11875">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数量</w:t>
            </w:r>
          </w:p>
        </w:tc>
        <w:tc>
          <w:tcPr>
            <w:tcW w:w="1671" w:type="dxa"/>
            <w:vAlign w:val="center"/>
          </w:tcPr>
          <w:p w14:paraId="05ADA8B5">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核心产品</w:t>
            </w:r>
          </w:p>
        </w:tc>
      </w:tr>
      <w:tr w14:paraId="61258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jc w:val="center"/>
        </w:trPr>
        <w:tc>
          <w:tcPr>
            <w:tcW w:w="919" w:type="dxa"/>
            <w:vAlign w:val="center"/>
          </w:tcPr>
          <w:p w14:paraId="2834EAA4">
            <w:pPr>
              <w:spacing w:line="360" w:lineRule="auto"/>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sz w:val="24"/>
                <w:szCs w:val="24"/>
                <w:highlight w:val="none"/>
                <w:lang w:val="en-US" w:eastAsia="zh-CN"/>
              </w:rPr>
              <w:t>1</w:t>
            </w:r>
          </w:p>
        </w:tc>
        <w:tc>
          <w:tcPr>
            <w:tcW w:w="2801" w:type="dxa"/>
            <w:vAlign w:val="center"/>
          </w:tcPr>
          <w:p w14:paraId="61011D9A">
            <w:pPr>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阶梯教室铁脚排桌椅</w:t>
            </w:r>
          </w:p>
        </w:tc>
        <w:tc>
          <w:tcPr>
            <w:tcW w:w="2242" w:type="dxa"/>
            <w:vAlign w:val="center"/>
          </w:tcPr>
          <w:p w14:paraId="2E0C0EB5">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 xml:space="preserve">3710套 </w:t>
            </w:r>
          </w:p>
        </w:tc>
        <w:tc>
          <w:tcPr>
            <w:tcW w:w="1671" w:type="dxa"/>
            <w:vAlign w:val="center"/>
          </w:tcPr>
          <w:p w14:paraId="5E6F2DA5">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是</w:t>
            </w:r>
          </w:p>
        </w:tc>
      </w:tr>
    </w:tbl>
    <w:p w14:paraId="3DB58D51">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第二标段</w:t>
      </w:r>
    </w:p>
    <w:tbl>
      <w:tblPr>
        <w:tblStyle w:val="28"/>
        <w:tblW w:w="76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
        <w:gridCol w:w="2758"/>
        <w:gridCol w:w="2242"/>
        <w:gridCol w:w="1671"/>
      </w:tblGrid>
      <w:tr w14:paraId="3251BB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jc w:val="center"/>
        </w:trPr>
        <w:tc>
          <w:tcPr>
            <w:tcW w:w="962" w:type="dxa"/>
            <w:vAlign w:val="center"/>
          </w:tcPr>
          <w:p w14:paraId="23BA04A3">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序号</w:t>
            </w:r>
          </w:p>
        </w:tc>
        <w:tc>
          <w:tcPr>
            <w:tcW w:w="2758" w:type="dxa"/>
            <w:vAlign w:val="center"/>
          </w:tcPr>
          <w:p w14:paraId="77E96D3F">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货物名称</w:t>
            </w:r>
          </w:p>
        </w:tc>
        <w:tc>
          <w:tcPr>
            <w:tcW w:w="2242" w:type="dxa"/>
            <w:vAlign w:val="center"/>
          </w:tcPr>
          <w:p w14:paraId="04B57CCA">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数量</w:t>
            </w:r>
          </w:p>
        </w:tc>
        <w:tc>
          <w:tcPr>
            <w:tcW w:w="1671" w:type="dxa"/>
            <w:vAlign w:val="center"/>
          </w:tcPr>
          <w:p w14:paraId="381F8D86">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sz w:val="24"/>
                <w:szCs w:val="24"/>
                <w:highlight w:val="none"/>
                <w:vertAlign w:val="baseline"/>
                <w:lang w:val="en-US" w:eastAsia="zh-CN"/>
              </w:rPr>
            </w:pPr>
            <w:r>
              <w:rPr>
                <w:rFonts w:hint="eastAsia" w:ascii="仿宋" w:hAnsi="仿宋" w:eastAsia="仿宋" w:cs="仿宋"/>
                <w:b/>
                <w:bCs/>
                <w:color w:val="auto"/>
                <w:kern w:val="0"/>
                <w:sz w:val="24"/>
                <w:szCs w:val="24"/>
                <w:highlight w:val="none"/>
                <w:vertAlign w:val="baseline"/>
                <w:lang w:val="en-US" w:eastAsia="zh-CN"/>
              </w:rPr>
              <w:t>核心产品</w:t>
            </w:r>
          </w:p>
        </w:tc>
      </w:tr>
      <w:tr w14:paraId="747CE8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 w:hRule="atLeast"/>
          <w:jc w:val="center"/>
        </w:trPr>
        <w:tc>
          <w:tcPr>
            <w:tcW w:w="962" w:type="dxa"/>
            <w:vAlign w:val="center"/>
          </w:tcPr>
          <w:p w14:paraId="3FC5CF73">
            <w:pPr>
              <w:spacing w:line="360" w:lineRule="auto"/>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sz w:val="24"/>
                <w:szCs w:val="24"/>
                <w:lang w:val="en-US" w:eastAsia="zh-CN"/>
              </w:rPr>
              <w:t>1</w:t>
            </w:r>
          </w:p>
        </w:tc>
        <w:tc>
          <w:tcPr>
            <w:tcW w:w="2758" w:type="dxa"/>
            <w:vAlign w:val="center"/>
          </w:tcPr>
          <w:p w14:paraId="766EE692">
            <w:pPr>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单人床</w:t>
            </w:r>
          </w:p>
        </w:tc>
        <w:tc>
          <w:tcPr>
            <w:tcW w:w="2242" w:type="dxa"/>
            <w:vAlign w:val="center"/>
          </w:tcPr>
          <w:p w14:paraId="1E50319B">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90套</w:t>
            </w:r>
          </w:p>
        </w:tc>
        <w:tc>
          <w:tcPr>
            <w:tcW w:w="1671" w:type="dxa"/>
            <w:vAlign w:val="center"/>
          </w:tcPr>
          <w:p w14:paraId="0A6C3DD3">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是</w:t>
            </w:r>
          </w:p>
        </w:tc>
      </w:tr>
      <w:tr w14:paraId="10D6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962" w:type="dxa"/>
            <w:vAlign w:val="center"/>
          </w:tcPr>
          <w:p w14:paraId="75B08C28">
            <w:pPr>
              <w:spacing w:line="360" w:lineRule="auto"/>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2</w:t>
            </w:r>
          </w:p>
        </w:tc>
        <w:tc>
          <w:tcPr>
            <w:tcW w:w="2758" w:type="dxa"/>
            <w:vAlign w:val="center"/>
          </w:tcPr>
          <w:p w14:paraId="664B9130">
            <w:pPr>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color w:val="auto"/>
                <w:kern w:val="0"/>
                <w:sz w:val="24"/>
                <w:szCs w:val="24"/>
                <w:highlight w:val="none"/>
                <w:lang w:val="en-US" w:eastAsia="zh-CN"/>
              </w:rPr>
              <w:t>两</w:t>
            </w:r>
            <w:r>
              <w:rPr>
                <w:rFonts w:hint="eastAsia" w:ascii="仿宋" w:hAnsi="仿宋" w:eastAsia="仿宋" w:cs="仿宋"/>
                <w:color w:val="auto"/>
                <w:kern w:val="0"/>
                <w:sz w:val="24"/>
                <w:szCs w:val="24"/>
                <w:highlight w:val="none"/>
              </w:rPr>
              <w:t>门衣柜</w:t>
            </w:r>
          </w:p>
        </w:tc>
        <w:tc>
          <w:tcPr>
            <w:tcW w:w="2242" w:type="dxa"/>
            <w:vAlign w:val="center"/>
          </w:tcPr>
          <w:p w14:paraId="39F88F51">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default"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90套</w:t>
            </w:r>
          </w:p>
        </w:tc>
        <w:tc>
          <w:tcPr>
            <w:tcW w:w="1671" w:type="dxa"/>
            <w:vAlign w:val="center"/>
          </w:tcPr>
          <w:p w14:paraId="737DC34B">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p>
        </w:tc>
      </w:tr>
      <w:tr w14:paraId="0E1A4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jc w:val="center"/>
        </w:trPr>
        <w:tc>
          <w:tcPr>
            <w:tcW w:w="962" w:type="dxa"/>
            <w:vAlign w:val="center"/>
          </w:tcPr>
          <w:p w14:paraId="415D42C0">
            <w:pPr>
              <w:spacing w:line="360" w:lineRule="auto"/>
              <w:jc w:val="center"/>
              <w:rPr>
                <w:rFonts w:hint="default"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3</w:t>
            </w:r>
          </w:p>
        </w:tc>
        <w:tc>
          <w:tcPr>
            <w:tcW w:w="2758" w:type="dxa"/>
            <w:vAlign w:val="center"/>
          </w:tcPr>
          <w:p w14:paraId="0295208E">
            <w:pPr>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color w:val="auto"/>
                <w:kern w:val="0"/>
                <w:sz w:val="24"/>
                <w:szCs w:val="24"/>
                <w:highlight w:val="none"/>
                <w:lang w:val="en-US" w:eastAsia="zh-CN"/>
              </w:rPr>
              <w:t>单人</w:t>
            </w:r>
            <w:r>
              <w:rPr>
                <w:rFonts w:hint="eastAsia" w:ascii="仿宋" w:hAnsi="仿宋" w:eastAsia="仿宋" w:cs="仿宋"/>
                <w:color w:val="auto"/>
                <w:kern w:val="0"/>
                <w:sz w:val="24"/>
                <w:szCs w:val="24"/>
                <w:highlight w:val="none"/>
              </w:rPr>
              <w:t>桌子</w:t>
            </w:r>
          </w:p>
        </w:tc>
        <w:tc>
          <w:tcPr>
            <w:tcW w:w="2242" w:type="dxa"/>
            <w:vAlign w:val="center"/>
          </w:tcPr>
          <w:p w14:paraId="571293B6">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90套</w:t>
            </w:r>
          </w:p>
        </w:tc>
        <w:tc>
          <w:tcPr>
            <w:tcW w:w="1671" w:type="dxa"/>
            <w:vAlign w:val="center"/>
          </w:tcPr>
          <w:p w14:paraId="34C0D2B2">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p>
        </w:tc>
      </w:tr>
      <w:tr w14:paraId="6BA5C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jc w:val="center"/>
        </w:trPr>
        <w:tc>
          <w:tcPr>
            <w:tcW w:w="962" w:type="dxa"/>
            <w:vAlign w:val="center"/>
          </w:tcPr>
          <w:p w14:paraId="0D1C4DE8">
            <w:pPr>
              <w:spacing w:line="240" w:lineRule="auto"/>
              <w:jc w:val="center"/>
              <w:rPr>
                <w:rFonts w:hint="eastAsia"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4</w:t>
            </w:r>
          </w:p>
        </w:tc>
        <w:tc>
          <w:tcPr>
            <w:tcW w:w="2758" w:type="dxa"/>
            <w:vAlign w:val="center"/>
          </w:tcPr>
          <w:p w14:paraId="518E7BA6">
            <w:pPr>
              <w:jc w:val="center"/>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color w:val="auto"/>
                <w:kern w:val="0"/>
                <w:sz w:val="24"/>
                <w:szCs w:val="24"/>
                <w:highlight w:val="none"/>
                <w:lang w:val="en-US" w:eastAsia="zh-CN"/>
              </w:rPr>
              <w:t>棕垫</w:t>
            </w:r>
          </w:p>
        </w:tc>
        <w:tc>
          <w:tcPr>
            <w:tcW w:w="2242" w:type="dxa"/>
            <w:vAlign w:val="center"/>
          </w:tcPr>
          <w:p w14:paraId="70119C67">
            <w:pPr>
              <w:keepNext w:val="0"/>
              <w:keepLines w:val="0"/>
              <w:pageBreakBefore w:val="0"/>
              <w:kinsoku/>
              <w:wordWrap/>
              <w:overflowPunct/>
              <w:topLinePunct w:val="0"/>
              <w:autoSpaceDE/>
              <w:autoSpaceDN/>
              <w:bidi w:val="0"/>
              <w:adjustRightInd/>
              <w:snapToGrid/>
              <w:ind w:left="0" w:leftChars="0" w:firstLine="729" w:firstLineChars="300"/>
              <w:jc w:val="both"/>
              <w:textAlignment w:val="auto"/>
              <w:outlineLvl w:val="2"/>
              <w:rPr>
                <w:rFonts w:hint="eastAsia"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90套</w:t>
            </w:r>
          </w:p>
        </w:tc>
        <w:tc>
          <w:tcPr>
            <w:tcW w:w="1671" w:type="dxa"/>
            <w:vAlign w:val="center"/>
          </w:tcPr>
          <w:p w14:paraId="771C6A2E">
            <w:pPr>
              <w:keepNext w:val="0"/>
              <w:keepLines w:val="0"/>
              <w:pageBreakBefore w:val="0"/>
              <w:kinsoku/>
              <w:wordWrap/>
              <w:overflowPunct/>
              <w:topLinePunct w:val="0"/>
              <w:autoSpaceDE/>
              <w:autoSpaceDN/>
              <w:bidi w:val="0"/>
              <w:adjustRightInd/>
              <w:snapToGrid/>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p>
        </w:tc>
      </w:tr>
      <w:tr w14:paraId="212374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962" w:type="dxa"/>
            <w:vAlign w:val="center"/>
          </w:tcPr>
          <w:p w14:paraId="349FA38F">
            <w:pPr>
              <w:spacing w:line="240" w:lineRule="auto"/>
              <w:jc w:val="center"/>
              <w:rPr>
                <w:rFonts w:hint="default" w:ascii="仿宋" w:hAnsi="仿宋" w:eastAsia="仿宋" w:cs="仿宋"/>
                <w:b w:val="0"/>
                <w:bCs w:val="0"/>
                <w:color w:val="auto"/>
                <w:kern w:val="0"/>
                <w:sz w:val="24"/>
                <w:szCs w:val="24"/>
                <w:highlight w:val="none"/>
                <w:lang w:val="en-US" w:eastAsia="zh-CN"/>
              </w:rPr>
            </w:pPr>
            <w:r>
              <w:rPr>
                <w:rFonts w:hint="eastAsia" w:ascii="仿宋" w:hAnsi="仿宋" w:eastAsia="仿宋" w:cs="仿宋"/>
                <w:b w:val="0"/>
                <w:bCs w:val="0"/>
                <w:color w:val="auto"/>
                <w:kern w:val="0"/>
                <w:sz w:val="24"/>
                <w:szCs w:val="24"/>
                <w:highlight w:val="none"/>
                <w:lang w:val="en-US" w:eastAsia="zh-CN"/>
              </w:rPr>
              <w:t>5</w:t>
            </w:r>
          </w:p>
        </w:tc>
        <w:tc>
          <w:tcPr>
            <w:tcW w:w="2758" w:type="dxa"/>
            <w:vAlign w:val="center"/>
          </w:tcPr>
          <w:p w14:paraId="4E2837BF">
            <w:pPr>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椅子</w:t>
            </w:r>
          </w:p>
        </w:tc>
        <w:tc>
          <w:tcPr>
            <w:tcW w:w="2242" w:type="dxa"/>
            <w:vAlign w:val="center"/>
          </w:tcPr>
          <w:p w14:paraId="326E5C7A">
            <w:pPr>
              <w:keepNext w:val="0"/>
              <w:keepLines w:val="0"/>
              <w:pageBreakBefore w:val="0"/>
              <w:kinsoku/>
              <w:wordWrap/>
              <w:overflowPunct/>
              <w:topLinePunct w:val="0"/>
              <w:autoSpaceDE/>
              <w:autoSpaceDN/>
              <w:bidi w:val="0"/>
              <w:adjustRightInd/>
              <w:snapToGrid/>
              <w:ind w:left="0" w:leftChars="0" w:firstLine="729" w:firstLineChars="300"/>
              <w:jc w:val="both"/>
              <w:textAlignment w:val="auto"/>
              <w:outlineLvl w:val="2"/>
              <w:rPr>
                <w:rFonts w:hint="default" w:ascii="仿宋" w:hAnsi="仿宋" w:eastAsia="仿宋" w:cs="仿宋"/>
                <w:b w:val="0"/>
                <w:bCs w:val="0"/>
                <w:color w:val="auto"/>
                <w:kern w:val="0"/>
                <w:sz w:val="24"/>
                <w:szCs w:val="24"/>
                <w:highlight w:val="none"/>
                <w:vertAlign w:val="baseline"/>
                <w:lang w:val="en-US" w:eastAsia="zh-CN"/>
              </w:rPr>
            </w:pPr>
            <w:r>
              <w:rPr>
                <w:rFonts w:hint="eastAsia" w:ascii="仿宋" w:hAnsi="仿宋" w:eastAsia="仿宋" w:cs="仿宋"/>
                <w:b w:val="0"/>
                <w:bCs w:val="0"/>
                <w:color w:val="auto"/>
                <w:kern w:val="0"/>
                <w:sz w:val="24"/>
                <w:szCs w:val="24"/>
                <w:highlight w:val="none"/>
                <w:vertAlign w:val="baseline"/>
                <w:lang w:val="en-US" w:eastAsia="zh-CN"/>
              </w:rPr>
              <w:t>90套</w:t>
            </w:r>
          </w:p>
        </w:tc>
        <w:tc>
          <w:tcPr>
            <w:tcW w:w="1671" w:type="dxa"/>
            <w:vAlign w:val="center"/>
          </w:tcPr>
          <w:p w14:paraId="1FEDD432">
            <w:pPr>
              <w:keepNext w:val="0"/>
              <w:keepLines w:val="0"/>
              <w:pageBreakBefore w:val="0"/>
              <w:kinsoku/>
              <w:wordWrap/>
              <w:overflowPunct/>
              <w:topLinePunct w:val="0"/>
              <w:autoSpaceDE/>
              <w:autoSpaceDN/>
              <w:bidi w:val="0"/>
              <w:adjustRightInd/>
              <w:snapToGrid/>
              <w:jc w:val="center"/>
              <w:textAlignment w:val="auto"/>
              <w:outlineLvl w:val="2"/>
              <w:rPr>
                <w:rFonts w:hint="eastAsia" w:ascii="仿宋" w:hAnsi="仿宋" w:eastAsia="仿宋" w:cs="仿宋"/>
                <w:b w:val="0"/>
                <w:bCs w:val="0"/>
                <w:color w:val="auto"/>
                <w:kern w:val="0"/>
                <w:sz w:val="24"/>
                <w:szCs w:val="24"/>
                <w:highlight w:val="none"/>
                <w:vertAlign w:val="baseline"/>
                <w:lang w:val="en-US" w:eastAsia="zh-CN"/>
              </w:rPr>
            </w:pPr>
          </w:p>
        </w:tc>
      </w:tr>
    </w:tbl>
    <w:p w14:paraId="2A862F30">
      <w:pPr>
        <w:keepNext w:val="0"/>
        <w:keepLines w:val="0"/>
        <w:pageBreakBefore w:val="0"/>
        <w:kinsoku/>
        <w:wordWrap/>
        <w:overflowPunct/>
        <w:topLinePunct w:val="0"/>
        <w:autoSpaceDE/>
        <w:autoSpaceDN/>
        <w:bidi w:val="0"/>
        <w:adjustRightInd/>
        <w:snapToGrid/>
        <w:ind w:firstLineChars="200"/>
        <w:jc w:val="left"/>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br w:type="page"/>
      </w:r>
    </w:p>
    <w:p w14:paraId="184CA301">
      <w:pPr>
        <w:pStyle w:val="49"/>
        <w:keepNext w:val="0"/>
        <w:keepLines w:val="0"/>
        <w:pageBreakBefore w:val="0"/>
        <w:numPr>
          <w:ilvl w:val="-1"/>
          <w:numId w:val="0"/>
        </w:numPr>
        <w:kinsoku/>
        <w:wordWrap/>
        <w:overflowPunct/>
        <w:topLinePunct w:val="0"/>
        <w:autoSpaceDE/>
        <w:autoSpaceDN/>
        <w:bidi w:val="0"/>
        <w:adjustRightInd/>
        <w:snapToGrid/>
        <w:spacing w:line="500" w:lineRule="exact"/>
        <w:ind w:firstLine="566" w:firstLineChars="200"/>
        <w:jc w:val="left"/>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（二）技术参数表</w:t>
      </w:r>
    </w:p>
    <w:p w14:paraId="5BBF6671">
      <w:pPr>
        <w:pStyle w:val="49"/>
        <w:keepNext w:val="0"/>
        <w:keepLines w:val="0"/>
        <w:pageBreakBefore w:val="0"/>
        <w:numPr>
          <w:ilvl w:val="-1"/>
          <w:numId w:val="0"/>
        </w:numPr>
        <w:kinsoku/>
        <w:wordWrap/>
        <w:overflowPunct/>
        <w:topLinePunct w:val="0"/>
        <w:autoSpaceDE/>
        <w:autoSpaceDN/>
        <w:bidi w:val="0"/>
        <w:adjustRightInd/>
        <w:snapToGrid/>
        <w:spacing w:line="500" w:lineRule="exact"/>
        <w:ind w:firstLine="0" w:firstLineChars="0"/>
        <w:jc w:val="center"/>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第一标段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500"/>
        <w:gridCol w:w="6133"/>
      </w:tblGrid>
      <w:tr w14:paraId="083A6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32" w:type="dxa"/>
            <w:noWrap w:val="0"/>
            <w:vAlign w:val="center"/>
          </w:tcPr>
          <w:p w14:paraId="45B8E28F">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bCs/>
                <w:sz w:val="24"/>
                <w:szCs w:val="24"/>
                <w:highlight w:val="none"/>
              </w:rPr>
            </w:pPr>
            <w:bookmarkStart w:id="203" w:name="_Toc28262"/>
            <w:bookmarkStart w:id="204" w:name="_Toc30009"/>
            <w:bookmarkStart w:id="205" w:name="_Toc10563"/>
            <w:r>
              <w:rPr>
                <w:rFonts w:hint="eastAsia" w:ascii="仿宋" w:hAnsi="仿宋" w:eastAsia="仿宋" w:cs="仿宋"/>
                <w:b/>
                <w:bCs/>
                <w:sz w:val="24"/>
                <w:szCs w:val="24"/>
                <w:highlight w:val="none"/>
              </w:rPr>
              <w:t>序号</w:t>
            </w:r>
          </w:p>
        </w:tc>
        <w:tc>
          <w:tcPr>
            <w:tcW w:w="1500" w:type="dxa"/>
            <w:noWrap w:val="0"/>
            <w:vAlign w:val="center"/>
          </w:tcPr>
          <w:p w14:paraId="148EDEC0">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货物名称</w:t>
            </w:r>
          </w:p>
        </w:tc>
        <w:tc>
          <w:tcPr>
            <w:tcW w:w="6133" w:type="dxa"/>
            <w:noWrap w:val="0"/>
            <w:vAlign w:val="center"/>
          </w:tcPr>
          <w:p w14:paraId="14A503AC">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技术参数</w:t>
            </w:r>
          </w:p>
        </w:tc>
      </w:tr>
      <w:tr w14:paraId="6343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18" w:hRule="atLeast"/>
          <w:jc w:val="center"/>
        </w:trPr>
        <w:tc>
          <w:tcPr>
            <w:tcW w:w="732" w:type="dxa"/>
            <w:noWrap w:val="0"/>
            <w:vAlign w:val="center"/>
          </w:tcPr>
          <w:p w14:paraId="4B0D6A24">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500" w:type="dxa"/>
            <w:noWrap w:val="0"/>
            <w:vAlign w:val="center"/>
          </w:tcPr>
          <w:p w14:paraId="2B0B1796">
            <w:pPr>
              <w:keepNext w:val="0"/>
              <w:keepLines w:val="0"/>
              <w:pageBreakBefore w:val="0"/>
              <w:kinsoku/>
              <w:wordWrap/>
              <w:overflowPunct/>
              <w:topLinePunct w:val="0"/>
              <w:bidi w:val="0"/>
              <w:spacing w:line="400" w:lineRule="exact"/>
              <w:textAlignment w:val="auto"/>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阶梯教室铁脚排桌椅</w:t>
            </w:r>
          </w:p>
        </w:tc>
        <w:tc>
          <w:tcPr>
            <w:tcW w:w="6133" w:type="dxa"/>
            <w:noWrap w:val="0"/>
            <w:vAlign w:val="top"/>
          </w:tcPr>
          <w:p w14:paraId="3B5D93B8">
            <w:pPr>
              <w:widowControl/>
              <w:jc w:val="both"/>
              <w:rPr>
                <w:rFonts w:hint="eastAsia" w:ascii="仿宋" w:hAnsi="仿宋" w:eastAsia="仿宋" w:cs="仿宋"/>
                <w:sz w:val="24"/>
                <w:szCs w:val="24"/>
              </w:rPr>
            </w:pPr>
            <w:r>
              <w:rPr>
                <w:rFonts w:hint="eastAsia" w:ascii="仿宋" w:hAnsi="仿宋" w:eastAsia="仿宋" w:cs="仿宋"/>
                <w:b/>
                <w:bCs/>
                <w:sz w:val="24"/>
                <w:szCs w:val="24"/>
                <w:lang w:val="en-US" w:eastAsia="zh-CN"/>
              </w:rPr>
              <w:t>铁脚排桌椅细节描述</w:t>
            </w:r>
          </w:p>
          <w:p w14:paraId="1711CE8E">
            <w:pPr>
              <w:keepNext w:val="0"/>
              <w:keepLines w:val="0"/>
              <w:pageBreakBefore w:val="0"/>
              <w:widowControl/>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规格：中到中宽50</w:t>
            </w:r>
            <w:r>
              <w:rPr>
                <w:rFonts w:hint="eastAsia" w:ascii="仿宋" w:hAnsi="仿宋" w:eastAsia="仿宋" w:cs="仿宋"/>
                <w:sz w:val="24"/>
                <w:szCs w:val="24"/>
                <w:lang w:val="en-US" w:eastAsia="zh-CN"/>
              </w:rPr>
              <w:t>mm</w:t>
            </w:r>
            <w:r>
              <w:rPr>
                <w:rFonts w:hint="eastAsia" w:ascii="仿宋" w:hAnsi="仿宋" w:eastAsia="仿宋" w:cs="仿宋"/>
                <w:sz w:val="24"/>
                <w:szCs w:val="24"/>
              </w:rPr>
              <w:t>，高90</w:t>
            </w:r>
            <w:r>
              <w:rPr>
                <w:rFonts w:hint="eastAsia" w:ascii="仿宋" w:hAnsi="仿宋" w:eastAsia="仿宋" w:cs="仿宋"/>
                <w:sz w:val="24"/>
                <w:szCs w:val="24"/>
                <w:lang w:val="en-US" w:eastAsia="zh-CN"/>
              </w:rPr>
              <w:t>mm</w:t>
            </w:r>
            <w:r>
              <w:rPr>
                <w:rFonts w:hint="eastAsia" w:ascii="仿宋" w:hAnsi="仿宋" w:eastAsia="仿宋" w:cs="仿宋"/>
                <w:sz w:val="24"/>
                <w:szCs w:val="24"/>
              </w:rPr>
              <w:t>，排距90</w:t>
            </w:r>
            <w:r>
              <w:rPr>
                <w:rFonts w:hint="eastAsia" w:ascii="仿宋" w:hAnsi="仿宋" w:eastAsia="仿宋" w:cs="仿宋"/>
                <w:sz w:val="24"/>
                <w:szCs w:val="24"/>
                <w:lang w:val="en-US" w:eastAsia="zh-CN"/>
              </w:rPr>
              <w:t>mm</w:t>
            </w:r>
            <w:r>
              <w:rPr>
                <w:rFonts w:hint="eastAsia" w:ascii="仿宋" w:hAnsi="仿宋" w:eastAsia="仿宋" w:cs="仿宋"/>
                <w:sz w:val="24"/>
                <w:szCs w:val="24"/>
              </w:rPr>
              <w:t>，座板距地面44</w:t>
            </w:r>
            <w:r>
              <w:rPr>
                <w:rFonts w:hint="eastAsia" w:ascii="仿宋" w:hAnsi="仿宋" w:eastAsia="仿宋" w:cs="仿宋"/>
                <w:sz w:val="24"/>
                <w:szCs w:val="24"/>
                <w:lang w:val="en-US" w:eastAsia="zh-CN"/>
              </w:rPr>
              <w:t>0mm</w:t>
            </w:r>
            <w:r>
              <w:rPr>
                <w:rFonts w:hint="eastAsia" w:ascii="仿宋" w:hAnsi="仿宋" w:eastAsia="仿宋" w:cs="仿宋"/>
                <w:sz w:val="24"/>
                <w:szCs w:val="24"/>
              </w:rPr>
              <w:t>。</w:t>
            </w:r>
          </w:p>
          <w:p w14:paraId="3CC08E8C">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lang w:eastAsia="zh-CN"/>
              </w:rPr>
              <w:t>重量</w:t>
            </w:r>
            <w:r>
              <w:rPr>
                <w:rFonts w:hint="eastAsia" w:ascii="仿宋" w:hAnsi="仿宋" w:eastAsia="仿宋" w:cs="仿宋"/>
                <w:sz w:val="24"/>
                <w:szCs w:val="24"/>
                <w:lang w:val="en-US" w:eastAsia="zh-CN"/>
              </w:rPr>
              <w:t>: 后排7kg，中排10kg</w:t>
            </w:r>
          </w:p>
          <w:p w14:paraId="593311BB">
            <w:pPr>
              <w:keepNext w:val="0"/>
              <w:keepLines w:val="0"/>
              <w:pageBreakBefore w:val="0"/>
              <w:widowControl/>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支撑腿：采用30*80*1.5</w:t>
            </w:r>
            <w:r>
              <w:rPr>
                <w:rFonts w:hint="eastAsia" w:ascii="仿宋" w:hAnsi="仿宋" w:eastAsia="仿宋" w:cs="仿宋"/>
                <w:sz w:val="24"/>
                <w:szCs w:val="24"/>
                <w:lang w:val="en-US" w:eastAsia="zh-CN"/>
              </w:rPr>
              <w:t>mm</w:t>
            </w:r>
            <w:r>
              <w:rPr>
                <w:rFonts w:hint="eastAsia" w:ascii="仿宋" w:hAnsi="仿宋" w:eastAsia="仿宋" w:cs="仿宋"/>
                <w:sz w:val="24"/>
                <w:szCs w:val="24"/>
              </w:rPr>
              <w:t>厚扁圆钢管，</w:t>
            </w:r>
            <w:r>
              <w:rPr>
                <w:rFonts w:hint="eastAsia" w:ascii="仿宋" w:hAnsi="仿宋" w:eastAsia="仿宋" w:cs="仿宋"/>
                <w:sz w:val="24"/>
                <w:szCs w:val="24"/>
                <w:lang w:eastAsia="zh-CN"/>
              </w:rPr>
              <w:t>支撑机构采用冲床一次冲压成型，</w:t>
            </w:r>
            <w:r>
              <w:rPr>
                <w:rFonts w:hint="eastAsia" w:ascii="仿宋" w:hAnsi="仿宋" w:eastAsia="仿宋" w:cs="仿宋"/>
                <w:sz w:val="24"/>
                <w:szCs w:val="24"/>
                <w:lang w:val="en-US" w:eastAsia="zh-CN"/>
              </w:rPr>
              <w:t>1.5mm厚，</w:t>
            </w:r>
            <w:r>
              <w:rPr>
                <w:rFonts w:hint="eastAsia" w:ascii="仿宋" w:hAnsi="仿宋" w:eastAsia="仿宋" w:cs="仿宋"/>
                <w:sz w:val="24"/>
                <w:szCs w:val="24"/>
              </w:rPr>
              <w:t>承重力强，美观耐用。</w:t>
            </w:r>
          </w:p>
          <w:p w14:paraId="1ADA0011">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焊接工艺</w:t>
            </w:r>
            <w:r>
              <w:rPr>
                <w:rFonts w:hint="eastAsia" w:ascii="仿宋" w:hAnsi="仿宋" w:eastAsia="仿宋" w:cs="仿宋"/>
                <w:sz w:val="24"/>
                <w:szCs w:val="24"/>
                <w:lang w:eastAsia="zh-CN"/>
              </w:rPr>
              <w:t>：焊接工艺</w:t>
            </w:r>
            <w:r>
              <w:rPr>
                <w:rFonts w:hint="eastAsia" w:ascii="仿宋" w:hAnsi="仿宋" w:eastAsia="仿宋" w:cs="仿宋"/>
                <w:sz w:val="24"/>
                <w:szCs w:val="24"/>
              </w:rPr>
              <w:t>为二氧保护焊，表面焊点经打磨处理；上色工艺为静电喷涂，表面经钢砂打磨除锈处理，钢管粉末经高温箱烘烤定型，上色后表面光滑，不易褪色。</w:t>
            </w:r>
          </w:p>
          <w:p w14:paraId="628ADECF">
            <w:pPr>
              <w:keepNext w:val="0"/>
              <w:keepLines w:val="0"/>
              <w:pageBreakBefore w:val="0"/>
              <w:widowControl/>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5.</w:t>
            </w:r>
            <w:r>
              <w:rPr>
                <w:rFonts w:hint="eastAsia" w:ascii="仿宋" w:hAnsi="仿宋" w:eastAsia="仿宋" w:cs="仿宋"/>
                <w:sz w:val="24"/>
                <w:szCs w:val="24"/>
              </w:rPr>
              <w:t>地脚：地脚采用2.0</w:t>
            </w:r>
            <w:r>
              <w:rPr>
                <w:rFonts w:hint="eastAsia" w:ascii="仿宋" w:hAnsi="仿宋" w:eastAsia="仿宋" w:cs="仿宋"/>
                <w:sz w:val="24"/>
                <w:szCs w:val="24"/>
                <w:lang w:val="en-US" w:eastAsia="zh-CN"/>
              </w:rPr>
              <w:t>mm</w:t>
            </w:r>
            <w:r>
              <w:rPr>
                <w:rFonts w:hint="eastAsia" w:ascii="仿宋" w:hAnsi="仿宋" w:eastAsia="仿宋" w:cs="仿宋"/>
                <w:sz w:val="24"/>
                <w:szCs w:val="24"/>
              </w:rPr>
              <w:t>厚</w:t>
            </w:r>
            <w:r>
              <w:rPr>
                <w:rFonts w:hint="eastAsia" w:ascii="仿宋" w:hAnsi="仿宋" w:eastAsia="仿宋" w:cs="仿宋"/>
                <w:sz w:val="24"/>
                <w:szCs w:val="24"/>
                <w:lang w:eastAsia="zh-CN"/>
              </w:rPr>
              <w:t>钢板</w:t>
            </w:r>
            <w:r>
              <w:rPr>
                <w:rFonts w:hint="eastAsia" w:ascii="仿宋" w:hAnsi="仿宋" w:eastAsia="仿宋" w:cs="仿宋"/>
                <w:sz w:val="24"/>
                <w:szCs w:val="24"/>
              </w:rPr>
              <w:t>经磨具一次冲压成型，承重力强，美观耐用</w:t>
            </w:r>
            <w:r>
              <w:rPr>
                <w:rFonts w:hint="eastAsia" w:ascii="仿宋" w:hAnsi="仿宋" w:eastAsia="仿宋" w:cs="仿宋"/>
                <w:sz w:val="24"/>
                <w:szCs w:val="24"/>
                <w:lang w:eastAsia="zh-CN"/>
              </w:rPr>
              <w:t>，规格：长</w:t>
            </w:r>
            <w:r>
              <w:rPr>
                <w:rFonts w:hint="eastAsia" w:ascii="仿宋" w:hAnsi="仿宋" w:eastAsia="仿宋" w:cs="仿宋"/>
                <w:sz w:val="24"/>
                <w:szCs w:val="24"/>
                <w:lang w:val="en-US" w:eastAsia="zh-CN"/>
              </w:rPr>
              <w:t>270*70mm宽，眼距195mm</w:t>
            </w:r>
            <w:r>
              <w:rPr>
                <w:rFonts w:hint="eastAsia" w:ascii="仿宋" w:hAnsi="仿宋" w:eastAsia="仿宋" w:cs="仿宋"/>
                <w:sz w:val="24"/>
                <w:szCs w:val="24"/>
              </w:rPr>
              <w:t>。</w:t>
            </w:r>
          </w:p>
          <w:p w14:paraId="1982954A">
            <w:pPr>
              <w:keepNext w:val="0"/>
              <w:keepLines w:val="0"/>
              <w:pageBreakBefore w:val="0"/>
              <w:widowControl/>
              <w:kinsoku/>
              <w:wordWrap/>
              <w:overflowPunct/>
              <w:topLinePunct w:val="0"/>
              <w:autoSpaceDE/>
              <w:autoSpaceDN/>
              <w:bidi w:val="0"/>
              <w:adjustRightInd/>
              <w:snapToGrid/>
              <w:spacing w:line="400" w:lineRule="exact"/>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桌面：采用三聚氰胺板，板材四周经PV封边处理，美观耐用</w:t>
            </w:r>
            <w:r>
              <w:rPr>
                <w:rFonts w:hint="eastAsia" w:ascii="仿宋" w:hAnsi="仿宋" w:eastAsia="仿宋" w:cs="仿宋"/>
                <w:sz w:val="24"/>
                <w:szCs w:val="24"/>
                <w:lang w:eastAsia="zh-CN"/>
              </w:rPr>
              <w:t>，上层写字板厚18</w:t>
            </w:r>
            <w:r>
              <w:rPr>
                <w:rFonts w:hint="eastAsia" w:ascii="仿宋" w:hAnsi="仿宋" w:eastAsia="仿宋" w:cs="仿宋"/>
                <w:sz w:val="24"/>
                <w:szCs w:val="24"/>
                <w:lang w:val="en-US" w:eastAsia="zh-CN"/>
              </w:rPr>
              <w:t>mm</w:t>
            </w:r>
            <w:r>
              <w:rPr>
                <w:rFonts w:hint="eastAsia" w:ascii="仿宋" w:hAnsi="仿宋" w:eastAsia="仿宋" w:cs="仿宋"/>
                <w:sz w:val="24"/>
                <w:szCs w:val="24"/>
                <w:lang w:eastAsia="zh-CN"/>
              </w:rPr>
              <w:t>，下层16</w:t>
            </w:r>
            <w:r>
              <w:rPr>
                <w:rFonts w:hint="eastAsia" w:ascii="仿宋" w:hAnsi="仿宋" w:eastAsia="仿宋" w:cs="仿宋"/>
                <w:sz w:val="24"/>
                <w:szCs w:val="24"/>
                <w:lang w:val="en-US" w:eastAsia="zh-CN"/>
              </w:rPr>
              <w:t>mm</w:t>
            </w:r>
            <w:r>
              <w:rPr>
                <w:rFonts w:hint="eastAsia" w:ascii="仿宋" w:hAnsi="仿宋" w:eastAsia="仿宋" w:cs="仿宋"/>
                <w:sz w:val="24"/>
                <w:szCs w:val="24"/>
                <w:lang w:eastAsia="zh-CN"/>
              </w:rPr>
              <w:t>。上层宽30</w:t>
            </w:r>
            <w:r>
              <w:rPr>
                <w:rFonts w:hint="eastAsia" w:ascii="仿宋" w:hAnsi="仿宋" w:eastAsia="仿宋" w:cs="仿宋"/>
                <w:sz w:val="24"/>
                <w:szCs w:val="24"/>
                <w:lang w:val="en-US" w:eastAsia="zh-CN"/>
              </w:rPr>
              <w:t>mm</w:t>
            </w:r>
            <w:r>
              <w:rPr>
                <w:rFonts w:hint="eastAsia" w:ascii="仿宋" w:hAnsi="仿宋" w:eastAsia="仿宋" w:cs="仿宋"/>
                <w:sz w:val="24"/>
                <w:szCs w:val="24"/>
                <w:lang w:eastAsia="zh-CN"/>
              </w:rPr>
              <w:t>，下层宽20</w:t>
            </w:r>
            <w:r>
              <w:rPr>
                <w:rFonts w:hint="eastAsia" w:ascii="仿宋" w:hAnsi="仿宋" w:eastAsia="仿宋" w:cs="仿宋"/>
                <w:sz w:val="24"/>
                <w:szCs w:val="24"/>
                <w:lang w:val="en-US" w:eastAsia="zh-CN"/>
              </w:rPr>
              <w:t>mm</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前排围板尺寸50mm</w:t>
            </w:r>
            <w:r>
              <w:rPr>
                <w:rFonts w:hint="eastAsia" w:ascii="仿宋" w:hAnsi="仿宋" w:eastAsia="仿宋" w:cs="仿宋"/>
                <w:sz w:val="24"/>
                <w:szCs w:val="24"/>
              </w:rPr>
              <w:t>。</w:t>
            </w:r>
          </w:p>
          <w:p w14:paraId="07DDBB7E">
            <w:pPr>
              <w:keepNext w:val="0"/>
              <w:keepLines w:val="0"/>
              <w:pageBreakBefore w:val="0"/>
              <w:widowControl/>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7.</w:t>
            </w:r>
            <w:r>
              <w:rPr>
                <w:rFonts w:hint="eastAsia" w:ascii="仿宋" w:hAnsi="仿宋" w:eastAsia="仿宋" w:cs="仿宋"/>
                <w:sz w:val="24"/>
                <w:szCs w:val="24"/>
              </w:rPr>
              <w:t>背座板：背板尺寸440*460</w:t>
            </w:r>
            <w:r>
              <w:rPr>
                <w:rFonts w:hint="eastAsia" w:ascii="仿宋" w:hAnsi="仿宋" w:eastAsia="仿宋" w:cs="仿宋"/>
                <w:sz w:val="24"/>
                <w:szCs w:val="24"/>
                <w:lang w:val="en-US" w:eastAsia="zh-CN"/>
              </w:rPr>
              <w:t>mm</w:t>
            </w:r>
            <w:r>
              <w:rPr>
                <w:rFonts w:hint="eastAsia" w:ascii="仿宋" w:hAnsi="仿宋" w:eastAsia="仿宋" w:cs="仿宋"/>
                <w:sz w:val="24"/>
                <w:szCs w:val="24"/>
              </w:rPr>
              <w:t>，座板尺寸420*440</w:t>
            </w:r>
            <w:r>
              <w:rPr>
                <w:rFonts w:hint="eastAsia" w:ascii="仿宋" w:hAnsi="仿宋" w:eastAsia="仿宋" w:cs="仿宋"/>
                <w:sz w:val="24"/>
                <w:szCs w:val="24"/>
                <w:lang w:val="en-US" w:eastAsia="zh-CN"/>
              </w:rPr>
              <w:t>mm</w:t>
            </w:r>
            <w:r>
              <w:rPr>
                <w:rFonts w:hint="eastAsia" w:ascii="仿宋" w:hAnsi="仿宋" w:eastAsia="仿宋" w:cs="仿宋"/>
                <w:sz w:val="24"/>
                <w:szCs w:val="24"/>
              </w:rPr>
              <w:t>。厚度为10-11</w:t>
            </w:r>
            <w:r>
              <w:rPr>
                <w:rFonts w:hint="eastAsia" w:ascii="仿宋" w:hAnsi="仿宋" w:eastAsia="仿宋" w:cs="仿宋"/>
                <w:sz w:val="24"/>
                <w:szCs w:val="24"/>
                <w:lang w:val="en-US" w:eastAsia="zh-CN"/>
              </w:rPr>
              <w:t>mm</w:t>
            </w:r>
            <w:r>
              <w:rPr>
                <w:rFonts w:hint="eastAsia" w:ascii="仿宋" w:hAnsi="仿宋" w:eastAsia="仿宋" w:cs="仿宋"/>
                <w:sz w:val="24"/>
                <w:szCs w:val="24"/>
              </w:rPr>
              <w:t>厚，材质为多层板压制而成，表面贴防火板。</w:t>
            </w:r>
          </w:p>
          <w:p w14:paraId="02CCCCD5">
            <w:pPr>
              <w:keepNext w:val="0"/>
              <w:keepLines w:val="0"/>
              <w:pageBreakBefore w:val="0"/>
              <w:widowControl/>
              <w:kinsoku/>
              <w:wordWrap/>
              <w:overflowPunct/>
              <w:topLinePunct w:val="0"/>
              <w:autoSpaceDE/>
              <w:autoSpaceDN/>
              <w:bidi w:val="0"/>
              <w:adjustRightInd/>
              <w:snapToGrid/>
              <w:spacing w:line="400" w:lineRule="exact"/>
              <w:ind w:firstLine="0" w:firstLineChars="0"/>
              <w:jc w:val="both"/>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r>
              <w:rPr>
                <w:rFonts w:hint="eastAsia" w:ascii="仿宋" w:hAnsi="仿宋" w:eastAsia="仿宋" w:cs="仿宋"/>
                <w:sz w:val="24"/>
                <w:szCs w:val="24"/>
              </w:rPr>
              <w:t>回位机构：人站起来座板自动回位，根据重力原理采用自重回位方式，无明显噪音、成本低，故障率更低。</w:t>
            </w:r>
            <w:r>
              <w:rPr>
                <w:rFonts w:hint="eastAsia" w:ascii="仿宋" w:hAnsi="仿宋" w:eastAsia="仿宋" w:cs="仿宋"/>
                <w:sz w:val="24"/>
                <w:szCs w:val="24"/>
                <w:lang w:eastAsia="zh-CN"/>
              </w:rPr>
              <w:t>翻转铁件</w:t>
            </w:r>
            <w:r>
              <w:rPr>
                <w:rFonts w:hint="eastAsia" w:ascii="仿宋" w:hAnsi="仿宋" w:eastAsia="仿宋" w:cs="仿宋"/>
                <w:sz w:val="24"/>
                <w:szCs w:val="24"/>
                <w:lang w:val="en-US" w:eastAsia="zh-CN"/>
              </w:rPr>
              <w:t>2.5mm厚。</w:t>
            </w:r>
          </w:p>
          <w:p w14:paraId="5D7A0132">
            <w:pPr>
              <w:keepNext w:val="0"/>
              <w:keepLines w:val="0"/>
              <w:pageBreakBefore w:val="0"/>
              <w:widowControl w:val="0"/>
              <w:numPr>
                <w:ilvl w:val="0"/>
                <w:numId w:val="0"/>
              </w:numPr>
              <w:kinsoku/>
              <w:wordWrap/>
              <w:overflowPunct/>
              <w:topLinePunct w:val="0"/>
              <w:bidi w:val="0"/>
              <w:spacing w:line="400" w:lineRule="exact"/>
              <w:ind w:left="0" w:leftChars="0" w:firstLine="0" w:firstLineChars="0"/>
              <w:jc w:val="both"/>
              <w:textAlignment w:val="auto"/>
              <w:outlineLvl w:val="0"/>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sz w:val="24"/>
                <w:szCs w:val="24"/>
                <w:lang w:val="en-US" w:eastAsia="zh-CN"/>
              </w:rPr>
              <w:drawing>
                <wp:anchor distT="0" distB="0" distL="114300" distR="114300" simplePos="0" relativeHeight="251662336" behindDoc="1" locked="0" layoutInCell="1" allowOverlap="1">
                  <wp:simplePos x="0" y="0"/>
                  <wp:positionH relativeFrom="column">
                    <wp:posOffset>1270</wp:posOffset>
                  </wp:positionH>
                  <wp:positionV relativeFrom="paragraph">
                    <wp:posOffset>80010</wp:posOffset>
                  </wp:positionV>
                  <wp:extent cx="1539240" cy="835025"/>
                  <wp:effectExtent l="0" t="0" r="3810" b="3175"/>
                  <wp:wrapNone/>
                  <wp:docPr id="9" name="图片 9" descr="988ae99ca2fabc7aa2039ae0095b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988ae99ca2fabc7aa2039ae0095b513"/>
                          <pic:cNvPicPr>
                            <a:picLocks noChangeAspect="1"/>
                          </pic:cNvPicPr>
                        </pic:nvPicPr>
                        <pic:blipFill>
                          <a:blip r:embed="rId15"/>
                          <a:stretch>
                            <a:fillRect/>
                          </a:stretch>
                        </pic:blipFill>
                        <pic:spPr>
                          <a:xfrm>
                            <a:off x="0" y="0"/>
                            <a:ext cx="1539240" cy="835025"/>
                          </a:xfrm>
                          <a:prstGeom prst="rect">
                            <a:avLst/>
                          </a:prstGeom>
                        </pic:spPr>
                      </pic:pic>
                    </a:graphicData>
                  </a:graphic>
                </wp:anchor>
              </w:drawing>
            </w:r>
            <w:r>
              <w:rPr>
                <w:rFonts w:hint="eastAsia" w:ascii="仿宋" w:hAnsi="仿宋" w:eastAsia="仿宋" w:cs="仿宋"/>
                <w:sz w:val="24"/>
                <w:szCs w:val="24"/>
                <w:lang w:eastAsia="zh-CN"/>
              </w:rPr>
              <w:drawing>
                <wp:anchor distT="0" distB="0" distL="114300" distR="114300" simplePos="0" relativeHeight="251662336" behindDoc="1" locked="0" layoutInCell="1" allowOverlap="1">
                  <wp:simplePos x="0" y="0"/>
                  <wp:positionH relativeFrom="column">
                    <wp:posOffset>1515110</wp:posOffset>
                  </wp:positionH>
                  <wp:positionV relativeFrom="paragraph">
                    <wp:posOffset>20955</wp:posOffset>
                  </wp:positionV>
                  <wp:extent cx="1540510" cy="861695"/>
                  <wp:effectExtent l="0" t="0" r="2540" b="14605"/>
                  <wp:wrapNone/>
                  <wp:docPr id="8" name="图片 8" descr="e37d4ff6a30b537ddf1f27386a74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e37d4ff6a30b537ddf1f27386a74542"/>
                          <pic:cNvPicPr>
                            <a:picLocks noChangeAspect="1"/>
                          </pic:cNvPicPr>
                        </pic:nvPicPr>
                        <pic:blipFill>
                          <a:blip r:embed="rId16"/>
                          <a:stretch>
                            <a:fillRect/>
                          </a:stretch>
                        </pic:blipFill>
                        <pic:spPr>
                          <a:xfrm>
                            <a:off x="0" y="0"/>
                            <a:ext cx="1540510" cy="861695"/>
                          </a:xfrm>
                          <a:prstGeom prst="rect">
                            <a:avLst/>
                          </a:prstGeom>
                        </pic:spPr>
                      </pic:pic>
                    </a:graphicData>
                  </a:graphic>
                </wp:anchor>
              </w:drawing>
            </w:r>
          </w:p>
          <w:p w14:paraId="2545C2D3">
            <w:pPr>
              <w:widowControl w:val="0"/>
              <w:ind w:firstLine="486" w:firstLineChars="200"/>
              <w:jc w:val="both"/>
              <w:rPr>
                <w:rFonts w:hint="eastAsia" w:ascii="仿宋" w:hAnsi="仿宋" w:eastAsia="仿宋" w:cs="仿宋"/>
                <w:sz w:val="24"/>
                <w:szCs w:val="24"/>
              </w:rPr>
            </w:pPr>
          </w:p>
        </w:tc>
      </w:tr>
    </w:tbl>
    <w:p w14:paraId="52514404">
      <w:pPr>
        <w:pStyle w:val="49"/>
        <w:keepNext w:val="0"/>
        <w:keepLines w:val="0"/>
        <w:pageBreakBefore w:val="0"/>
        <w:numPr>
          <w:ilvl w:val="-1"/>
          <w:numId w:val="0"/>
        </w:numPr>
        <w:kinsoku/>
        <w:wordWrap/>
        <w:overflowPunct/>
        <w:topLinePunct w:val="0"/>
        <w:autoSpaceDE/>
        <w:autoSpaceDN/>
        <w:bidi w:val="0"/>
        <w:adjustRightInd/>
        <w:snapToGrid/>
        <w:spacing w:line="500" w:lineRule="exact"/>
        <w:jc w:val="center"/>
        <w:textAlignment w:val="auto"/>
        <w:outlineLvl w:val="2"/>
        <w:rPr>
          <w:rFonts w:hint="eastAsia"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val="en-US" w:eastAsia="zh-CN"/>
        </w:rPr>
        <w:t>第二标段</w:t>
      </w:r>
    </w:p>
    <w:tbl>
      <w:tblPr>
        <w:tblStyle w:val="2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5"/>
        <w:gridCol w:w="1500"/>
        <w:gridCol w:w="6146"/>
      </w:tblGrid>
      <w:tr w14:paraId="1909F1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3" w:hRule="atLeast"/>
          <w:jc w:val="center"/>
        </w:trPr>
        <w:tc>
          <w:tcPr>
            <w:tcW w:w="745" w:type="dxa"/>
            <w:noWrap w:val="0"/>
            <w:vAlign w:val="center"/>
          </w:tcPr>
          <w:p w14:paraId="50384909">
            <w:pPr>
              <w:keepNext w:val="0"/>
              <w:keepLines w:val="0"/>
              <w:pageBreakBefore w:val="0"/>
              <w:kinsoku/>
              <w:wordWrap/>
              <w:overflowPunct/>
              <w:topLinePunct w:val="0"/>
              <w:bidi w:val="0"/>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序号</w:t>
            </w:r>
          </w:p>
        </w:tc>
        <w:tc>
          <w:tcPr>
            <w:tcW w:w="1500" w:type="dxa"/>
            <w:noWrap w:val="0"/>
            <w:vAlign w:val="center"/>
          </w:tcPr>
          <w:p w14:paraId="6B0CA97C">
            <w:pPr>
              <w:keepNext w:val="0"/>
              <w:keepLines w:val="0"/>
              <w:pageBreakBefore w:val="0"/>
              <w:kinsoku/>
              <w:wordWrap/>
              <w:overflowPunct/>
              <w:topLinePunct w:val="0"/>
              <w:bidi w:val="0"/>
              <w:spacing w:line="360" w:lineRule="auto"/>
              <w:jc w:val="center"/>
              <w:textAlignment w:val="auto"/>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货物名称</w:t>
            </w:r>
          </w:p>
        </w:tc>
        <w:tc>
          <w:tcPr>
            <w:tcW w:w="6146" w:type="dxa"/>
            <w:noWrap w:val="0"/>
            <w:vAlign w:val="center"/>
          </w:tcPr>
          <w:p w14:paraId="4DBE5DCC">
            <w:pPr>
              <w:keepNext w:val="0"/>
              <w:keepLines w:val="0"/>
              <w:pageBreakBefore w:val="0"/>
              <w:kinsoku/>
              <w:wordWrap/>
              <w:overflowPunct/>
              <w:topLinePunct w:val="0"/>
              <w:bidi w:val="0"/>
              <w:spacing w:line="360" w:lineRule="auto"/>
              <w:jc w:val="center"/>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技术参数</w:t>
            </w:r>
          </w:p>
        </w:tc>
      </w:tr>
      <w:tr w14:paraId="35A2B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745" w:type="dxa"/>
            <w:noWrap w:val="0"/>
            <w:vAlign w:val="center"/>
          </w:tcPr>
          <w:p w14:paraId="39F23F64">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500" w:type="dxa"/>
            <w:noWrap w:val="0"/>
            <w:vAlign w:val="center"/>
          </w:tcPr>
          <w:p w14:paraId="5966044B">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color w:val="000000"/>
                <w:kern w:val="0"/>
                <w:sz w:val="24"/>
                <w:szCs w:val="24"/>
                <w:lang w:val="en-US" w:eastAsia="zh-CN"/>
              </w:rPr>
              <w:t>单人</w:t>
            </w:r>
            <w:r>
              <w:rPr>
                <w:rFonts w:hint="eastAsia" w:ascii="仿宋" w:hAnsi="仿宋" w:eastAsia="仿宋" w:cs="仿宋"/>
                <w:color w:val="000000"/>
                <w:kern w:val="0"/>
                <w:sz w:val="24"/>
                <w:szCs w:val="24"/>
              </w:rPr>
              <w:t>床</w:t>
            </w:r>
          </w:p>
        </w:tc>
        <w:tc>
          <w:tcPr>
            <w:tcW w:w="6146" w:type="dxa"/>
            <w:noWrap w:val="0"/>
            <w:vAlign w:val="center"/>
          </w:tcPr>
          <w:p w14:paraId="0042B92C">
            <w:pPr>
              <w:spacing w:line="400" w:lineRule="exact"/>
              <w:ind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rPr>
              <w:t>宿舍床细节描述</w:t>
            </w:r>
            <w:r>
              <w:rPr>
                <w:rFonts w:hint="eastAsia" w:ascii="仿宋" w:hAnsi="仿宋" w:eastAsia="仿宋" w:cs="仿宋"/>
                <w:b/>
                <w:sz w:val="24"/>
                <w:szCs w:val="24"/>
                <w:lang w:val="en-US" w:eastAsia="zh-CN"/>
              </w:rPr>
              <w:t xml:space="preserve">   </w:t>
            </w:r>
          </w:p>
          <w:p w14:paraId="0F522EBF">
            <w:pPr>
              <w:spacing w:line="400" w:lineRule="exact"/>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rPr>
              <w:t>规格尺寸：</w:t>
            </w:r>
            <w:r>
              <w:rPr>
                <w:rFonts w:hint="eastAsia" w:ascii="仿宋" w:hAnsi="仿宋" w:eastAsia="仿宋" w:cs="仿宋"/>
                <w:sz w:val="24"/>
                <w:szCs w:val="24"/>
                <w:lang w:val="en-US" w:eastAsia="zh-CN"/>
              </w:rPr>
              <w:t>外观</w:t>
            </w:r>
            <w:r>
              <w:rPr>
                <w:rFonts w:hint="eastAsia" w:ascii="仿宋" w:hAnsi="仿宋" w:eastAsia="仿宋" w:cs="仿宋"/>
                <w:sz w:val="24"/>
                <w:szCs w:val="24"/>
              </w:rPr>
              <w:t>长20</w:t>
            </w:r>
            <w:r>
              <w:rPr>
                <w:rFonts w:hint="eastAsia" w:ascii="仿宋" w:hAnsi="仿宋" w:eastAsia="仿宋" w:cs="仿宋"/>
                <w:sz w:val="24"/>
                <w:szCs w:val="24"/>
                <w:lang w:val="en-US" w:eastAsia="zh-CN"/>
              </w:rPr>
              <w:t>0</w:t>
            </w:r>
            <w:r>
              <w:rPr>
                <w:rFonts w:hint="eastAsia" w:ascii="仿宋" w:hAnsi="仿宋" w:eastAsia="仿宋" w:cs="仿宋"/>
                <w:sz w:val="24"/>
                <w:szCs w:val="24"/>
              </w:rPr>
              <w:t>0mm，宽1</w:t>
            </w:r>
            <w:r>
              <w:rPr>
                <w:rFonts w:hint="eastAsia" w:ascii="仿宋" w:hAnsi="仿宋" w:eastAsia="仿宋" w:cs="仿宋"/>
                <w:sz w:val="24"/>
                <w:szCs w:val="24"/>
                <w:lang w:val="en-US" w:eastAsia="zh-CN"/>
              </w:rPr>
              <w:t>1</w:t>
            </w:r>
            <w:r>
              <w:rPr>
                <w:rFonts w:hint="eastAsia" w:ascii="仿宋" w:hAnsi="仿宋" w:eastAsia="仿宋" w:cs="仿宋"/>
                <w:sz w:val="24"/>
                <w:szCs w:val="24"/>
              </w:rPr>
              <w:t>00mm，床板离地面高度为≥4</w:t>
            </w:r>
            <w:r>
              <w:rPr>
                <w:rFonts w:hint="eastAsia" w:ascii="仿宋" w:hAnsi="仿宋" w:eastAsia="仿宋" w:cs="仿宋"/>
                <w:sz w:val="24"/>
                <w:szCs w:val="24"/>
                <w:lang w:val="en-US" w:eastAsia="zh-CN"/>
              </w:rPr>
              <w:t>0</w:t>
            </w:r>
            <w:r>
              <w:rPr>
                <w:rFonts w:hint="eastAsia" w:ascii="仿宋" w:hAnsi="仿宋" w:eastAsia="仿宋" w:cs="仿宋"/>
                <w:sz w:val="24"/>
                <w:szCs w:val="24"/>
              </w:rPr>
              <w:t>0mm，床屏</w:t>
            </w:r>
            <w:r>
              <w:rPr>
                <w:rFonts w:hint="eastAsia" w:ascii="仿宋" w:hAnsi="仿宋" w:eastAsia="仿宋" w:cs="仿宋"/>
                <w:sz w:val="24"/>
                <w:szCs w:val="24"/>
                <w:lang w:val="en-US" w:eastAsia="zh-CN"/>
              </w:rPr>
              <w:t>整体</w:t>
            </w:r>
            <w:r>
              <w:rPr>
                <w:rFonts w:hint="eastAsia" w:ascii="仿宋" w:hAnsi="仿宋" w:eastAsia="仿宋" w:cs="仿宋"/>
                <w:sz w:val="24"/>
                <w:szCs w:val="24"/>
              </w:rPr>
              <w:t>高</w:t>
            </w:r>
            <w:r>
              <w:rPr>
                <w:rFonts w:hint="eastAsia" w:ascii="仿宋" w:hAnsi="仿宋" w:eastAsia="仿宋" w:cs="仿宋"/>
                <w:sz w:val="24"/>
                <w:szCs w:val="24"/>
                <w:lang w:val="en-US" w:eastAsia="zh-CN"/>
              </w:rPr>
              <w:t>≥10</w:t>
            </w:r>
            <w:r>
              <w:rPr>
                <w:rFonts w:hint="eastAsia" w:ascii="仿宋" w:hAnsi="仿宋" w:eastAsia="仿宋" w:cs="仿宋"/>
                <w:sz w:val="24"/>
                <w:szCs w:val="24"/>
              </w:rPr>
              <w:t>00mm</w:t>
            </w:r>
            <w:r>
              <w:rPr>
                <w:rFonts w:hint="eastAsia" w:ascii="仿宋" w:hAnsi="仿宋" w:eastAsia="仿宋" w:cs="仿宋"/>
                <w:sz w:val="24"/>
                <w:szCs w:val="24"/>
                <w:lang w:eastAsia="zh-CN"/>
              </w:rPr>
              <w:t>；</w:t>
            </w:r>
          </w:p>
          <w:p w14:paraId="58D7DDFB">
            <w:pPr>
              <w:keepNext w:val="0"/>
              <w:keepLines w:val="0"/>
              <w:pageBreakBefore w:val="0"/>
              <w:kinsoku/>
              <w:wordWrap/>
              <w:overflowPunct/>
              <w:topLinePunct w:val="0"/>
              <w:bidi w:val="0"/>
              <w:spacing w:line="40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rPr>
              <w:t>床屏</w:t>
            </w:r>
            <w:r>
              <w:rPr>
                <w:rFonts w:hint="eastAsia" w:ascii="仿宋" w:hAnsi="仿宋" w:eastAsia="仿宋" w:cs="仿宋"/>
                <w:sz w:val="24"/>
                <w:szCs w:val="24"/>
                <w:lang w:eastAsia="zh-CN"/>
              </w:rPr>
              <w:t>：</w:t>
            </w:r>
            <w:r>
              <w:rPr>
                <w:rFonts w:hint="eastAsia" w:ascii="仿宋" w:hAnsi="仿宋" w:eastAsia="仿宋" w:cs="仿宋"/>
                <w:sz w:val="24"/>
                <w:szCs w:val="24"/>
              </w:rPr>
              <w:t>采用厚度≥25mm的</w:t>
            </w:r>
            <w:r>
              <w:rPr>
                <w:rFonts w:hint="eastAsia" w:ascii="仿宋" w:hAnsi="仿宋" w:eastAsia="仿宋" w:cs="仿宋"/>
                <w:sz w:val="24"/>
                <w:szCs w:val="24"/>
                <w:lang w:val="en-US" w:eastAsia="zh-CN"/>
              </w:rPr>
              <w:t>E0级三聚氰胺</w:t>
            </w:r>
            <w:r>
              <w:rPr>
                <w:rFonts w:hint="eastAsia" w:ascii="仿宋" w:hAnsi="仿宋" w:eastAsia="仿宋" w:cs="仿宋"/>
                <w:sz w:val="24"/>
                <w:szCs w:val="24"/>
              </w:rPr>
              <w:t>双饰面板</w:t>
            </w:r>
            <w:r>
              <w:rPr>
                <w:rFonts w:hint="eastAsia" w:ascii="仿宋" w:hAnsi="仿宋" w:eastAsia="仿宋" w:cs="仿宋"/>
                <w:sz w:val="24"/>
                <w:szCs w:val="24"/>
                <w:lang w:val="en-US" w:eastAsia="zh-CN"/>
              </w:rPr>
              <w:t>为材料制作</w:t>
            </w:r>
            <w:r>
              <w:rPr>
                <w:rFonts w:hint="eastAsia" w:ascii="仿宋" w:hAnsi="仿宋" w:eastAsia="仿宋" w:cs="仿宋"/>
                <w:sz w:val="24"/>
                <w:szCs w:val="24"/>
              </w:rPr>
              <w:t>，边部用≥</w:t>
            </w:r>
            <w:r>
              <w:rPr>
                <w:rFonts w:hint="eastAsia" w:ascii="仿宋" w:hAnsi="仿宋" w:eastAsia="仿宋" w:cs="仿宋"/>
                <w:sz w:val="24"/>
                <w:szCs w:val="24"/>
                <w:lang w:val="en-US" w:eastAsia="zh-CN"/>
              </w:rPr>
              <w:t>1.5</w:t>
            </w:r>
            <w:r>
              <w:rPr>
                <w:rFonts w:hint="eastAsia" w:ascii="仿宋" w:hAnsi="仿宋" w:eastAsia="仿宋" w:cs="仿宋"/>
                <w:sz w:val="24"/>
                <w:szCs w:val="24"/>
              </w:rPr>
              <w:t>mm厚PVC封边； 床板</w:t>
            </w:r>
            <w:r>
              <w:rPr>
                <w:rFonts w:hint="eastAsia" w:ascii="仿宋" w:hAnsi="仿宋" w:eastAsia="仿宋" w:cs="仿宋"/>
                <w:sz w:val="24"/>
                <w:szCs w:val="24"/>
                <w:lang w:val="en-US" w:eastAsia="zh-CN"/>
              </w:rPr>
              <w:t>及床箱</w:t>
            </w:r>
            <w:r>
              <w:rPr>
                <w:rFonts w:hint="eastAsia" w:ascii="仿宋" w:hAnsi="仿宋" w:eastAsia="仿宋" w:cs="仿宋"/>
                <w:sz w:val="24"/>
                <w:szCs w:val="24"/>
              </w:rPr>
              <w:t>：采用</w:t>
            </w:r>
            <w:r>
              <w:rPr>
                <w:rFonts w:hint="eastAsia" w:ascii="仿宋" w:hAnsi="仿宋" w:eastAsia="仿宋" w:cs="仿宋"/>
                <w:sz w:val="24"/>
                <w:szCs w:val="24"/>
                <w:lang w:eastAsia="zh-CN"/>
              </w:rPr>
              <w:t>厚度≥18mm</w:t>
            </w:r>
            <w:r>
              <w:rPr>
                <w:rFonts w:hint="eastAsia" w:ascii="仿宋" w:hAnsi="仿宋" w:eastAsia="仿宋" w:cs="仿宋"/>
                <w:sz w:val="24"/>
                <w:szCs w:val="24"/>
              </w:rPr>
              <w:t>的</w:t>
            </w:r>
            <w:r>
              <w:rPr>
                <w:rFonts w:hint="eastAsia" w:ascii="仿宋" w:hAnsi="仿宋" w:eastAsia="仿宋" w:cs="仿宋"/>
                <w:sz w:val="24"/>
                <w:szCs w:val="24"/>
                <w:lang w:eastAsia="zh-CN"/>
              </w:rPr>
              <w:t>E0级三聚氰胺双饰面板</w:t>
            </w:r>
            <w:r>
              <w:rPr>
                <w:rFonts w:hint="eastAsia" w:ascii="仿宋" w:hAnsi="仿宋" w:eastAsia="仿宋" w:cs="仿宋"/>
                <w:sz w:val="24"/>
                <w:szCs w:val="24"/>
              </w:rPr>
              <w:t>，床</w:t>
            </w:r>
            <w:r>
              <w:rPr>
                <w:rFonts w:hint="eastAsia" w:ascii="仿宋" w:hAnsi="仿宋" w:eastAsia="仿宋" w:cs="仿宋"/>
                <w:sz w:val="24"/>
                <w:szCs w:val="24"/>
                <w:lang w:val="en-US" w:eastAsia="zh-CN"/>
              </w:rPr>
              <w:t>柜体</w:t>
            </w:r>
            <w:r>
              <w:rPr>
                <w:rFonts w:hint="eastAsia" w:ascii="仿宋" w:hAnsi="仿宋" w:eastAsia="仿宋" w:cs="仿宋"/>
                <w:sz w:val="24"/>
                <w:szCs w:val="24"/>
              </w:rPr>
              <w:t>距离地面高度≥4</w:t>
            </w:r>
            <w:r>
              <w:rPr>
                <w:rFonts w:hint="eastAsia" w:ascii="仿宋" w:hAnsi="仿宋" w:eastAsia="仿宋" w:cs="仿宋"/>
                <w:sz w:val="24"/>
                <w:szCs w:val="24"/>
                <w:lang w:val="en-US" w:eastAsia="zh-CN"/>
              </w:rPr>
              <w:t>0</w:t>
            </w:r>
            <w:r>
              <w:rPr>
                <w:rFonts w:hint="eastAsia" w:ascii="仿宋" w:hAnsi="仿宋" w:eastAsia="仿宋" w:cs="仿宋"/>
                <w:sz w:val="24"/>
                <w:szCs w:val="24"/>
              </w:rPr>
              <w:t>0mm；床头距离地面高度≥</w:t>
            </w:r>
            <w:r>
              <w:rPr>
                <w:rFonts w:hint="eastAsia" w:ascii="仿宋" w:hAnsi="仿宋" w:eastAsia="仿宋" w:cs="仿宋"/>
                <w:sz w:val="24"/>
                <w:szCs w:val="24"/>
                <w:lang w:val="en-US" w:eastAsia="zh-CN"/>
              </w:rPr>
              <w:t>100</w:t>
            </w:r>
            <w:r>
              <w:rPr>
                <w:rFonts w:hint="eastAsia" w:ascii="仿宋" w:hAnsi="仿宋" w:eastAsia="仿宋" w:cs="仿宋"/>
                <w:sz w:val="24"/>
                <w:szCs w:val="24"/>
              </w:rPr>
              <w:t>0mm，</w:t>
            </w:r>
            <w:r>
              <w:rPr>
                <w:rFonts w:hint="eastAsia" w:ascii="仿宋" w:hAnsi="仿宋" w:eastAsia="仿宋" w:cs="仿宋"/>
                <w:sz w:val="24"/>
                <w:szCs w:val="24"/>
                <w:lang w:val="en-US" w:eastAsia="zh-CN"/>
              </w:rPr>
              <w:t xml:space="preserve"> 床箱</w:t>
            </w:r>
            <w:r>
              <w:rPr>
                <w:rFonts w:hint="eastAsia" w:ascii="仿宋" w:hAnsi="仿宋" w:eastAsia="仿宋" w:cs="仿宋"/>
                <w:sz w:val="24"/>
                <w:szCs w:val="24"/>
              </w:rPr>
              <w:t>中部应有</w:t>
            </w:r>
            <w:r>
              <w:rPr>
                <w:rFonts w:hint="eastAsia" w:ascii="仿宋" w:hAnsi="仿宋" w:eastAsia="仿宋" w:cs="仿宋"/>
                <w:sz w:val="24"/>
                <w:szCs w:val="24"/>
                <w:lang w:val="en-US" w:eastAsia="zh-CN"/>
              </w:rPr>
              <w:t>2个</w:t>
            </w:r>
            <w:r>
              <w:rPr>
                <w:rFonts w:hint="eastAsia" w:ascii="仿宋" w:hAnsi="仿宋" w:eastAsia="仿宋" w:cs="仿宋"/>
                <w:sz w:val="24"/>
                <w:szCs w:val="24"/>
              </w:rPr>
              <w:t>横向连接拉板，以保持整个床箱的稳定性；</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四面落地式床箱，床箱板采用</w:t>
            </w:r>
            <w:r>
              <w:rPr>
                <w:rFonts w:hint="eastAsia" w:ascii="仿宋" w:hAnsi="仿宋" w:eastAsia="仿宋" w:cs="仿宋"/>
                <w:sz w:val="24"/>
                <w:szCs w:val="24"/>
                <w:lang w:eastAsia="zh-CN"/>
              </w:rPr>
              <w:t>厚度≥18mm</w:t>
            </w:r>
            <w:r>
              <w:rPr>
                <w:rFonts w:hint="eastAsia" w:ascii="仿宋" w:hAnsi="仿宋" w:eastAsia="仿宋" w:cs="仿宋"/>
                <w:sz w:val="24"/>
                <w:szCs w:val="24"/>
              </w:rPr>
              <w:t>的</w:t>
            </w:r>
            <w:r>
              <w:rPr>
                <w:rFonts w:hint="eastAsia" w:ascii="仿宋" w:hAnsi="仿宋" w:eastAsia="仿宋" w:cs="仿宋"/>
                <w:sz w:val="24"/>
                <w:szCs w:val="24"/>
                <w:lang w:eastAsia="zh-CN"/>
              </w:rPr>
              <w:t>E0级三聚氰胺双饰面板</w:t>
            </w:r>
            <w:r>
              <w:rPr>
                <w:rFonts w:hint="eastAsia" w:ascii="仿宋" w:hAnsi="仿宋" w:eastAsia="仿宋" w:cs="仿宋"/>
                <w:sz w:val="24"/>
                <w:szCs w:val="24"/>
              </w:rPr>
              <w:t>，边部PVC封边；</w:t>
            </w:r>
          </w:p>
        </w:tc>
      </w:tr>
      <w:tr w14:paraId="3F95B8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45" w:type="dxa"/>
            <w:noWrap w:val="0"/>
            <w:vAlign w:val="center"/>
          </w:tcPr>
          <w:p w14:paraId="2A6B5007">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500" w:type="dxa"/>
            <w:noWrap w:val="0"/>
            <w:vAlign w:val="center"/>
          </w:tcPr>
          <w:p w14:paraId="15FE1E7F">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rPr>
              <w:t>两</w:t>
            </w:r>
            <w:r>
              <w:rPr>
                <w:rFonts w:hint="eastAsia" w:ascii="仿宋" w:hAnsi="仿宋" w:eastAsia="仿宋" w:cs="仿宋"/>
                <w:color w:val="000000"/>
                <w:kern w:val="0"/>
                <w:sz w:val="24"/>
                <w:szCs w:val="24"/>
              </w:rPr>
              <w:t>门衣柜</w:t>
            </w:r>
          </w:p>
        </w:tc>
        <w:tc>
          <w:tcPr>
            <w:tcW w:w="6146" w:type="dxa"/>
            <w:noWrap w:val="0"/>
            <w:vAlign w:val="center"/>
          </w:tcPr>
          <w:p w14:paraId="3B4D8F78">
            <w:pPr>
              <w:spacing w:line="400" w:lineRule="exact"/>
              <w:ind w:firstLine="0" w:firstLineChars="0"/>
              <w:rPr>
                <w:rFonts w:hint="eastAsia" w:ascii="仿宋" w:hAnsi="仿宋" w:eastAsia="仿宋" w:cs="仿宋"/>
                <w:b/>
                <w:sz w:val="24"/>
                <w:szCs w:val="24"/>
                <w:highlight w:val="none"/>
                <w:lang w:val="en-US" w:eastAsia="zh-CN"/>
              </w:rPr>
            </w:pPr>
            <w:r>
              <w:rPr>
                <w:rFonts w:hint="eastAsia" w:ascii="仿宋" w:hAnsi="仿宋" w:eastAsia="仿宋" w:cs="仿宋"/>
                <w:b/>
                <w:sz w:val="24"/>
                <w:szCs w:val="24"/>
              </w:rPr>
              <w:t>宿</w:t>
            </w:r>
            <w:r>
              <w:rPr>
                <w:rFonts w:hint="eastAsia" w:ascii="仿宋" w:hAnsi="仿宋" w:eastAsia="仿宋" w:cs="仿宋"/>
                <w:b/>
                <w:sz w:val="24"/>
                <w:szCs w:val="24"/>
                <w:highlight w:val="none"/>
              </w:rPr>
              <w:t>舍</w:t>
            </w:r>
            <w:r>
              <w:rPr>
                <w:rFonts w:hint="eastAsia" w:ascii="仿宋" w:hAnsi="仿宋" w:eastAsia="仿宋" w:cs="仿宋"/>
                <w:b/>
                <w:sz w:val="24"/>
                <w:szCs w:val="24"/>
                <w:highlight w:val="none"/>
                <w:lang w:val="en-US" w:eastAsia="zh-CN"/>
              </w:rPr>
              <w:t>两</w:t>
            </w:r>
            <w:r>
              <w:rPr>
                <w:rFonts w:hint="eastAsia" w:ascii="仿宋" w:hAnsi="仿宋" w:eastAsia="仿宋" w:cs="仿宋"/>
                <w:b/>
                <w:sz w:val="24"/>
                <w:szCs w:val="24"/>
                <w:highlight w:val="none"/>
              </w:rPr>
              <w:t>门衣柜细节描述</w:t>
            </w:r>
            <w:r>
              <w:rPr>
                <w:rFonts w:hint="eastAsia" w:ascii="仿宋" w:hAnsi="仿宋" w:eastAsia="仿宋" w:cs="仿宋"/>
                <w:b/>
                <w:sz w:val="24"/>
                <w:szCs w:val="24"/>
                <w:highlight w:val="none"/>
                <w:lang w:val="en-US" w:eastAsia="zh-CN"/>
              </w:rPr>
              <w:t xml:space="preserve">  </w:t>
            </w:r>
          </w:p>
          <w:p w14:paraId="6EBF63EF">
            <w:pPr>
              <w:spacing w:line="400" w:lineRule="exact"/>
              <w:ind w:firstLine="0" w:firstLineChars="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规格尺寸：高</w:t>
            </w:r>
            <w:r>
              <w:rPr>
                <w:rFonts w:hint="eastAsia" w:ascii="仿宋" w:hAnsi="仿宋" w:eastAsia="仿宋" w:cs="仿宋"/>
                <w:sz w:val="24"/>
                <w:szCs w:val="24"/>
                <w:highlight w:val="none"/>
                <w:lang w:val="en-US" w:eastAsia="zh-CN"/>
              </w:rPr>
              <w:t>20</w:t>
            </w:r>
            <w:r>
              <w:rPr>
                <w:rFonts w:hint="eastAsia" w:ascii="仿宋" w:hAnsi="仿宋" w:eastAsia="仿宋" w:cs="仿宋"/>
                <w:sz w:val="24"/>
                <w:szCs w:val="24"/>
                <w:highlight w:val="none"/>
              </w:rPr>
              <w:t>00mm，宽</w:t>
            </w:r>
            <w:r>
              <w:rPr>
                <w:rFonts w:hint="eastAsia" w:ascii="仿宋" w:hAnsi="仿宋" w:eastAsia="仿宋" w:cs="仿宋"/>
                <w:sz w:val="24"/>
                <w:szCs w:val="24"/>
                <w:highlight w:val="none"/>
                <w:lang w:val="en-US" w:eastAsia="zh-CN"/>
              </w:rPr>
              <w:t>85</w:t>
            </w:r>
            <w:r>
              <w:rPr>
                <w:rFonts w:hint="eastAsia" w:ascii="仿宋" w:hAnsi="仿宋" w:eastAsia="仿宋" w:cs="仿宋"/>
                <w:sz w:val="24"/>
                <w:szCs w:val="24"/>
                <w:highlight w:val="none"/>
              </w:rPr>
              <w:t>0mm，深5</w:t>
            </w:r>
            <w:r>
              <w:rPr>
                <w:rFonts w:hint="eastAsia" w:ascii="仿宋" w:hAnsi="仿宋" w:eastAsia="仿宋" w:cs="仿宋"/>
                <w:sz w:val="24"/>
                <w:szCs w:val="24"/>
                <w:highlight w:val="none"/>
                <w:lang w:val="en-US" w:eastAsia="zh-CN"/>
              </w:rPr>
              <w:t>0</w:t>
            </w:r>
            <w:r>
              <w:rPr>
                <w:rFonts w:hint="eastAsia" w:ascii="仿宋" w:hAnsi="仿宋" w:eastAsia="仿宋" w:cs="仿宋"/>
                <w:sz w:val="24"/>
                <w:szCs w:val="24"/>
                <w:highlight w:val="none"/>
              </w:rPr>
              <w:t>0mm；</w:t>
            </w:r>
          </w:p>
          <w:p w14:paraId="36C874FB">
            <w:pPr>
              <w:spacing w:line="400" w:lineRule="exact"/>
              <w:ind w:firstLine="0" w:firstLineChars="0"/>
              <w:rPr>
                <w:rFonts w:hint="eastAsia" w:ascii="仿宋" w:hAnsi="仿宋" w:eastAsia="仿宋" w:cs="仿宋"/>
                <w:sz w:val="24"/>
                <w:szCs w:val="24"/>
              </w:rPr>
            </w:pPr>
            <w:r>
              <w:rPr>
                <w:rFonts w:hint="eastAsia" w:ascii="仿宋" w:hAnsi="仿宋" w:eastAsia="仿宋" w:cs="仿宋"/>
                <w:sz w:val="24"/>
                <w:szCs w:val="24"/>
                <w:highlight w:val="none"/>
                <w:lang w:eastAsia="zh-CN"/>
              </w:rPr>
              <w:t>2</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整体设计</w:t>
            </w:r>
            <w:r>
              <w:rPr>
                <w:rFonts w:hint="eastAsia" w:ascii="仿宋" w:hAnsi="仿宋" w:eastAsia="仿宋" w:cs="仿宋"/>
                <w:sz w:val="24"/>
                <w:szCs w:val="24"/>
              </w:rPr>
              <w:t>：</w:t>
            </w:r>
            <w:r>
              <w:rPr>
                <w:rFonts w:hint="eastAsia" w:ascii="仿宋" w:hAnsi="仿宋" w:eastAsia="仿宋" w:cs="仿宋"/>
                <w:sz w:val="24"/>
                <w:szCs w:val="24"/>
                <w:lang w:val="en-US" w:eastAsia="zh-CN"/>
              </w:rPr>
              <w:t>内分三层</w:t>
            </w:r>
            <w:r>
              <w:rPr>
                <w:rFonts w:hint="eastAsia" w:ascii="仿宋" w:hAnsi="仿宋" w:eastAsia="仿宋" w:cs="仿宋"/>
                <w:sz w:val="24"/>
                <w:szCs w:val="24"/>
              </w:rPr>
              <w:t>，上层为被褥存放隔档，中部</w:t>
            </w:r>
            <w:r>
              <w:rPr>
                <w:rFonts w:hint="eastAsia" w:ascii="仿宋" w:hAnsi="仿宋" w:eastAsia="仿宋" w:cs="仿宋"/>
                <w:sz w:val="24"/>
                <w:szCs w:val="24"/>
                <w:lang w:val="en-US" w:eastAsia="zh-CN"/>
              </w:rPr>
              <w:t>加装铝合金挂衣杆，</w:t>
            </w:r>
            <w:r>
              <w:rPr>
                <w:rFonts w:hint="eastAsia" w:ascii="仿宋" w:hAnsi="仿宋" w:eastAsia="仿宋" w:cs="仿宋"/>
                <w:sz w:val="24"/>
                <w:szCs w:val="24"/>
              </w:rPr>
              <w:t>下方为鞋袜隔档；双开门设计；</w:t>
            </w:r>
          </w:p>
          <w:p w14:paraId="219A851A">
            <w:pPr>
              <w:spacing w:line="400" w:lineRule="exact"/>
              <w:ind w:firstLine="0" w:firstLineChars="0"/>
              <w:rPr>
                <w:rFonts w:hint="eastAsia" w:ascii="仿宋" w:hAnsi="仿宋" w:eastAsia="仿宋" w:cs="仿宋"/>
                <w:sz w:val="24"/>
                <w:szCs w:val="24"/>
                <w:lang w:eastAsia="zh-CN"/>
              </w:rPr>
            </w:pPr>
            <w:r>
              <w:rPr>
                <w:rFonts w:hint="eastAsia" w:ascii="仿宋" w:hAnsi="仿宋" w:eastAsia="仿宋" w:cs="仿宋"/>
                <w:sz w:val="24"/>
                <w:szCs w:val="24"/>
                <w:lang w:eastAsia="zh-CN"/>
              </w:rPr>
              <w:t>3</w:t>
            </w:r>
            <w:r>
              <w:rPr>
                <w:rFonts w:hint="eastAsia" w:ascii="仿宋" w:hAnsi="仿宋" w:eastAsia="仿宋" w:cs="仿宋"/>
                <w:sz w:val="24"/>
                <w:szCs w:val="24"/>
                <w:lang w:val="en-US" w:eastAsia="zh-CN"/>
              </w:rPr>
              <w:t>.</w:t>
            </w:r>
            <w:r>
              <w:rPr>
                <w:rFonts w:hint="eastAsia" w:ascii="仿宋" w:hAnsi="仿宋" w:eastAsia="仿宋" w:cs="仿宋"/>
                <w:sz w:val="24"/>
                <w:szCs w:val="24"/>
              </w:rPr>
              <w:t>板材：采用</w:t>
            </w:r>
            <w:r>
              <w:rPr>
                <w:rFonts w:hint="eastAsia" w:ascii="仿宋" w:hAnsi="仿宋" w:eastAsia="仿宋" w:cs="仿宋"/>
                <w:sz w:val="24"/>
                <w:szCs w:val="24"/>
                <w:lang w:eastAsia="zh-CN"/>
              </w:rPr>
              <w:t>E0级三聚氰胺双饰面板</w:t>
            </w:r>
            <w:r>
              <w:rPr>
                <w:rFonts w:hint="eastAsia" w:ascii="仿宋" w:hAnsi="仿宋" w:eastAsia="仿宋" w:cs="仿宋"/>
                <w:sz w:val="24"/>
                <w:szCs w:val="24"/>
              </w:rPr>
              <w:t>，边部采用≥</w:t>
            </w:r>
            <w:r>
              <w:rPr>
                <w:rFonts w:hint="eastAsia" w:ascii="仿宋" w:hAnsi="仿宋" w:eastAsia="仿宋" w:cs="仿宋"/>
                <w:sz w:val="24"/>
                <w:szCs w:val="24"/>
                <w:lang w:val="en-US" w:eastAsia="zh-CN"/>
              </w:rPr>
              <w:t>1.5</w:t>
            </w:r>
            <w:r>
              <w:rPr>
                <w:rFonts w:hint="eastAsia" w:ascii="仿宋" w:hAnsi="仿宋" w:eastAsia="仿宋" w:cs="仿宋"/>
                <w:sz w:val="24"/>
                <w:szCs w:val="24"/>
              </w:rPr>
              <w:t>mm厚PVC封边；其中：顶板厚度≥25mm，侧板</w:t>
            </w:r>
            <w:r>
              <w:rPr>
                <w:rFonts w:hint="eastAsia" w:ascii="仿宋" w:hAnsi="仿宋" w:eastAsia="仿宋" w:cs="仿宋"/>
                <w:sz w:val="24"/>
                <w:szCs w:val="24"/>
                <w:lang w:val="en-US" w:eastAsia="zh-CN"/>
              </w:rPr>
              <w:t>及层板</w:t>
            </w:r>
            <w:r>
              <w:rPr>
                <w:rFonts w:hint="eastAsia" w:ascii="仿宋" w:hAnsi="仿宋" w:eastAsia="仿宋" w:cs="仿宋"/>
                <w:sz w:val="24"/>
                <w:szCs w:val="24"/>
                <w:lang w:eastAsia="zh-CN"/>
              </w:rPr>
              <w:t>厚度≥18mm；</w:t>
            </w:r>
          </w:p>
          <w:p w14:paraId="61C65244">
            <w:pPr>
              <w:keepNext w:val="0"/>
              <w:keepLines w:val="0"/>
              <w:pageBreakBefore w:val="0"/>
              <w:kinsoku/>
              <w:wordWrap/>
              <w:overflowPunct/>
              <w:topLinePunct w:val="0"/>
              <w:bidi w:val="0"/>
              <w:spacing w:line="40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rPr>
              <w:t>五金件：</w:t>
            </w:r>
            <w:r>
              <w:rPr>
                <w:rFonts w:hint="eastAsia" w:ascii="仿宋" w:hAnsi="仿宋" w:eastAsia="仿宋" w:cs="仿宋"/>
                <w:sz w:val="24"/>
                <w:szCs w:val="24"/>
                <w:lang w:val="en-US" w:eastAsia="zh-CN"/>
              </w:rPr>
              <w:t>铰链</w:t>
            </w:r>
            <w:r>
              <w:rPr>
                <w:rFonts w:hint="eastAsia" w:ascii="仿宋" w:hAnsi="仿宋" w:eastAsia="仿宋" w:cs="仿宋"/>
                <w:sz w:val="24"/>
                <w:szCs w:val="24"/>
              </w:rPr>
              <w:t>五金件，保用</w:t>
            </w:r>
            <w:r>
              <w:rPr>
                <w:rFonts w:hint="eastAsia" w:ascii="仿宋" w:hAnsi="仿宋" w:eastAsia="仿宋" w:cs="仿宋"/>
                <w:sz w:val="24"/>
                <w:szCs w:val="24"/>
                <w:lang w:val="en-US" w:eastAsia="zh-CN"/>
              </w:rPr>
              <w:t>6</w:t>
            </w:r>
            <w:r>
              <w:rPr>
                <w:rFonts w:hint="eastAsia" w:ascii="仿宋" w:hAnsi="仿宋" w:eastAsia="仿宋" w:cs="仿宋"/>
                <w:sz w:val="24"/>
                <w:szCs w:val="24"/>
              </w:rPr>
              <w:t>年以上</w:t>
            </w:r>
            <w:r>
              <w:rPr>
                <w:rFonts w:hint="eastAsia" w:ascii="仿宋" w:hAnsi="仿宋" w:eastAsia="仿宋" w:cs="仿宋"/>
                <w:sz w:val="24"/>
                <w:szCs w:val="24"/>
                <w:lang w:val="en-US" w:eastAsia="zh-CN"/>
              </w:rPr>
              <w:t>。</w:t>
            </w:r>
          </w:p>
        </w:tc>
      </w:tr>
      <w:tr w14:paraId="2EE1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45" w:type="dxa"/>
            <w:noWrap w:val="0"/>
            <w:vAlign w:val="center"/>
          </w:tcPr>
          <w:p w14:paraId="795697E2">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500" w:type="dxa"/>
            <w:noWrap w:val="0"/>
            <w:vAlign w:val="center"/>
          </w:tcPr>
          <w:p w14:paraId="2120F141">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rPr>
              <w:t>单人</w:t>
            </w:r>
            <w:r>
              <w:rPr>
                <w:rFonts w:hint="eastAsia" w:ascii="仿宋" w:hAnsi="仿宋" w:eastAsia="仿宋" w:cs="仿宋"/>
                <w:color w:val="000000"/>
                <w:kern w:val="0"/>
                <w:sz w:val="24"/>
                <w:szCs w:val="24"/>
              </w:rPr>
              <w:t>桌子</w:t>
            </w:r>
          </w:p>
        </w:tc>
        <w:tc>
          <w:tcPr>
            <w:tcW w:w="6146" w:type="dxa"/>
            <w:noWrap w:val="0"/>
            <w:vAlign w:val="center"/>
          </w:tcPr>
          <w:p w14:paraId="7EF181AE">
            <w:pPr>
              <w:spacing w:line="400" w:lineRule="exact"/>
              <w:ind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rPr>
              <w:t>宿舍书桌细节描述</w:t>
            </w:r>
            <w:r>
              <w:rPr>
                <w:rFonts w:hint="eastAsia" w:ascii="仿宋" w:hAnsi="仿宋" w:eastAsia="仿宋" w:cs="仿宋"/>
                <w:b/>
                <w:sz w:val="24"/>
                <w:szCs w:val="24"/>
                <w:lang w:val="en-US" w:eastAsia="zh-CN"/>
              </w:rPr>
              <w:t xml:space="preserve">    </w:t>
            </w:r>
          </w:p>
          <w:p w14:paraId="40FB7A0B">
            <w:pPr>
              <w:spacing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rPr>
              <w:t>规格尺寸：长1</w:t>
            </w:r>
            <w:r>
              <w:rPr>
                <w:rFonts w:hint="eastAsia" w:ascii="仿宋" w:hAnsi="仿宋" w:eastAsia="仿宋" w:cs="仿宋"/>
                <w:sz w:val="24"/>
                <w:szCs w:val="24"/>
                <w:lang w:val="en-US" w:eastAsia="zh-CN"/>
              </w:rPr>
              <w:t>2</w:t>
            </w:r>
            <w:r>
              <w:rPr>
                <w:rFonts w:hint="eastAsia" w:ascii="仿宋" w:hAnsi="仿宋" w:eastAsia="仿宋" w:cs="仿宋"/>
                <w:sz w:val="24"/>
                <w:szCs w:val="24"/>
              </w:rPr>
              <w:t>00mm，宽</w:t>
            </w:r>
            <w:r>
              <w:rPr>
                <w:rFonts w:hint="eastAsia" w:ascii="仿宋" w:hAnsi="仿宋" w:eastAsia="仿宋" w:cs="仿宋"/>
                <w:sz w:val="24"/>
                <w:szCs w:val="24"/>
                <w:lang w:val="en-US" w:eastAsia="zh-CN"/>
              </w:rPr>
              <w:t>50</w:t>
            </w:r>
            <w:r>
              <w:rPr>
                <w:rFonts w:hint="eastAsia" w:ascii="仿宋" w:hAnsi="仿宋" w:eastAsia="仿宋" w:cs="仿宋"/>
                <w:sz w:val="24"/>
                <w:szCs w:val="24"/>
              </w:rPr>
              <w:t>0mm，高7</w:t>
            </w:r>
            <w:r>
              <w:rPr>
                <w:rFonts w:hint="eastAsia" w:ascii="仿宋" w:hAnsi="仿宋" w:eastAsia="仿宋" w:cs="仿宋"/>
                <w:sz w:val="24"/>
                <w:szCs w:val="24"/>
                <w:lang w:val="en-US" w:eastAsia="zh-CN"/>
              </w:rPr>
              <w:t>5</w:t>
            </w:r>
            <w:r>
              <w:rPr>
                <w:rFonts w:hint="eastAsia" w:ascii="仿宋" w:hAnsi="仿宋" w:eastAsia="仿宋" w:cs="仿宋"/>
                <w:sz w:val="24"/>
                <w:szCs w:val="24"/>
              </w:rPr>
              <w:t>0mm，</w:t>
            </w:r>
            <w:r>
              <w:rPr>
                <w:rFonts w:hint="eastAsia" w:ascii="仿宋" w:hAnsi="仿宋" w:eastAsia="仿宋" w:cs="仿宋"/>
                <w:sz w:val="24"/>
                <w:szCs w:val="24"/>
                <w:lang w:val="en-US" w:eastAsia="zh-CN"/>
              </w:rPr>
              <w:t xml:space="preserve"> 侧面带一抽一柜</w:t>
            </w:r>
            <w:r>
              <w:rPr>
                <w:rFonts w:hint="eastAsia" w:ascii="仿宋" w:hAnsi="仿宋" w:eastAsia="仿宋" w:cs="仿宋"/>
                <w:sz w:val="24"/>
                <w:szCs w:val="24"/>
              </w:rPr>
              <w:t>；</w:t>
            </w:r>
            <w:r>
              <w:rPr>
                <w:rFonts w:hint="eastAsia" w:ascii="仿宋" w:hAnsi="仿宋" w:eastAsia="仿宋" w:cs="仿宋"/>
                <w:sz w:val="24"/>
                <w:szCs w:val="24"/>
                <w:lang w:val="en-US" w:eastAsia="zh-CN"/>
              </w:rPr>
              <w:t>抽屉带锁。</w:t>
            </w:r>
          </w:p>
          <w:p w14:paraId="1DE2624C">
            <w:pPr>
              <w:spacing w:line="400" w:lineRule="exact"/>
              <w:ind w:firstLine="0" w:firstLineChars="0"/>
              <w:rPr>
                <w:rFonts w:hint="eastAsia" w:ascii="仿宋" w:hAnsi="仿宋" w:eastAsia="仿宋" w:cs="仿宋"/>
                <w:sz w:val="24"/>
                <w:szCs w:val="24"/>
                <w:highlight w:val="none"/>
                <w:lang w:eastAsia="zh-CN"/>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w:t>
            </w:r>
            <w:r>
              <w:rPr>
                <w:rFonts w:hint="eastAsia" w:ascii="仿宋" w:hAnsi="仿宋" w:eastAsia="仿宋" w:cs="仿宋"/>
                <w:sz w:val="24"/>
                <w:szCs w:val="24"/>
              </w:rPr>
              <w:t>整体设计：采用全板式结构，两侧落地式侧板</w:t>
            </w:r>
            <w:r>
              <w:rPr>
                <w:rFonts w:hint="eastAsia" w:ascii="仿宋" w:hAnsi="仿宋" w:eastAsia="仿宋" w:cs="仿宋"/>
                <w:sz w:val="24"/>
                <w:szCs w:val="24"/>
                <w:lang w:eastAsia="zh-CN"/>
              </w:rPr>
              <w:t>。</w:t>
            </w:r>
            <w:r>
              <w:rPr>
                <w:rFonts w:hint="eastAsia" w:ascii="仿宋" w:hAnsi="仿宋" w:eastAsia="仿宋" w:cs="仿宋"/>
                <w:sz w:val="24"/>
                <w:szCs w:val="24"/>
              </w:rPr>
              <w:t>板材：采用</w:t>
            </w:r>
            <w:r>
              <w:rPr>
                <w:rFonts w:hint="eastAsia" w:ascii="仿宋" w:hAnsi="仿宋" w:eastAsia="仿宋" w:cs="仿宋"/>
                <w:sz w:val="24"/>
                <w:szCs w:val="24"/>
                <w:lang w:eastAsia="zh-CN"/>
              </w:rPr>
              <w:t>E0级三聚氰胺双饰面板</w:t>
            </w:r>
            <w:r>
              <w:rPr>
                <w:rFonts w:hint="eastAsia" w:ascii="仿宋" w:hAnsi="仿宋" w:eastAsia="仿宋" w:cs="仿宋"/>
                <w:sz w:val="24"/>
                <w:szCs w:val="24"/>
              </w:rPr>
              <w:t>，边部采用≥</w:t>
            </w:r>
            <w:r>
              <w:rPr>
                <w:rFonts w:hint="eastAsia" w:ascii="仿宋" w:hAnsi="仿宋" w:eastAsia="仿宋" w:cs="仿宋"/>
                <w:sz w:val="24"/>
                <w:szCs w:val="24"/>
                <w:lang w:val="en-US" w:eastAsia="zh-CN"/>
              </w:rPr>
              <w:t>1.5</w:t>
            </w:r>
            <w:r>
              <w:rPr>
                <w:rFonts w:hint="eastAsia" w:ascii="仿宋" w:hAnsi="仿宋" w:eastAsia="仿宋" w:cs="仿宋"/>
                <w:sz w:val="24"/>
                <w:szCs w:val="24"/>
              </w:rPr>
              <w:t>mm厚PVC封边；其中：桌面板厚度≥25mm，侧板</w:t>
            </w:r>
            <w:r>
              <w:rPr>
                <w:rFonts w:hint="eastAsia" w:ascii="仿宋" w:hAnsi="仿宋" w:eastAsia="仿宋" w:cs="仿宋"/>
                <w:sz w:val="24"/>
                <w:szCs w:val="24"/>
                <w:lang w:val="en-US" w:eastAsia="zh-CN"/>
              </w:rPr>
              <w:t>抽屉板</w:t>
            </w:r>
            <w:r>
              <w:rPr>
                <w:rFonts w:hint="eastAsia" w:ascii="仿宋" w:hAnsi="仿宋" w:eastAsia="仿宋" w:cs="仿宋"/>
                <w:sz w:val="24"/>
                <w:szCs w:val="24"/>
                <w:lang w:eastAsia="zh-CN"/>
              </w:rPr>
              <w:t>厚度≥18mm</w:t>
            </w:r>
            <w:r>
              <w:rPr>
                <w:rFonts w:hint="eastAsia" w:ascii="仿宋" w:hAnsi="仿宋" w:eastAsia="仿宋" w:cs="仿宋"/>
                <w:sz w:val="24"/>
                <w:szCs w:val="24"/>
              </w:rPr>
              <w:t>，</w:t>
            </w:r>
            <w:r>
              <w:rPr>
                <w:rFonts w:hint="eastAsia" w:ascii="仿宋" w:hAnsi="仿宋" w:eastAsia="仿宋" w:cs="仿宋"/>
                <w:sz w:val="24"/>
                <w:szCs w:val="24"/>
                <w:lang w:val="en-US" w:eastAsia="zh-CN"/>
              </w:rPr>
              <w:t>安装</w:t>
            </w:r>
            <w:r>
              <w:rPr>
                <w:rFonts w:hint="eastAsia" w:ascii="仿宋" w:hAnsi="仿宋" w:eastAsia="仿宋" w:cs="仿宋"/>
                <w:sz w:val="24"/>
                <w:szCs w:val="24"/>
                <w:highlight w:val="none"/>
                <w:lang w:val="en-US" w:eastAsia="zh-CN"/>
              </w:rPr>
              <w:t xml:space="preserve">后桌面需与墙面无缝隙。 </w:t>
            </w:r>
          </w:p>
          <w:p w14:paraId="64E81553">
            <w:pPr>
              <w:keepNext w:val="0"/>
              <w:keepLines w:val="0"/>
              <w:pageBreakBefore w:val="0"/>
              <w:kinsoku/>
              <w:wordWrap/>
              <w:overflowPunct/>
              <w:topLinePunct w:val="0"/>
              <w:bidi w:val="0"/>
              <w:spacing w:line="40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highlight w:val="none"/>
                <w:lang w:eastAsia="zh-CN"/>
              </w:rPr>
              <w:t>3</w:t>
            </w:r>
            <w:r>
              <w:rPr>
                <w:rFonts w:hint="eastAsia" w:ascii="仿宋" w:hAnsi="仿宋" w:eastAsia="仿宋" w:cs="仿宋"/>
                <w:sz w:val="24"/>
                <w:szCs w:val="24"/>
                <w:highlight w:val="none"/>
                <w:lang w:val="en-US" w:eastAsia="zh-CN"/>
              </w:rPr>
              <w:t>.</w:t>
            </w:r>
            <w:r>
              <w:rPr>
                <w:rFonts w:hint="eastAsia" w:ascii="仿宋" w:hAnsi="仿宋" w:eastAsia="仿宋" w:cs="仿宋"/>
                <w:sz w:val="24"/>
                <w:szCs w:val="24"/>
                <w:highlight w:val="none"/>
              </w:rPr>
              <w:t>抽屉：采用</w:t>
            </w:r>
            <w:r>
              <w:rPr>
                <w:rFonts w:hint="eastAsia" w:ascii="仿宋" w:hAnsi="仿宋" w:eastAsia="仿宋" w:cs="仿宋"/>
                <w:sz w:val="24"/>
                <w:szCs w:val="24"/>
                <w:highlight w:val="none"/>
                <w:lang w:eastAsia="zh-CN"/>
              </w:rPr>
              <w:t>厚度≥1</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lang w:eastAsia="zh-CN"/>
              </w:rPr>
              <w:t>mm</w:t>
            </w:r>
            <w:r>
              <w:rPr>
                <w:rFonts w:hint="eastAsia" w:ascii="仿宋" w:hAnsi="仿宋" w:eastAsia="仿宋" w:cs="仿宋"/>
                <w:sz w:val="24"/>
                <w:szCs w:val="24"/>
                <w:highlight w:val="none"/>
              </w:rPr>
              <w:t>以上双饰面板制作而成，三节式导轨</w:t>
            </w:r>
            <w:r>
              <w:rPr>
                <w:rFonts w:hint="eastAsia" w:ascii="仿宋" w:hAnsi="仿宋" w:eastAsia="仿宋" w:cs="仿宋"/>
                <w:sz w:val="24"/>
                <w:szCs w:val="24"/>
                <w:highlight w:val="none"/>
                <w:lang w:eastAsia="zh-CN"/>
              </w:rPr>
              <w:t>。</w:t>
            </w:r>
          </w:p>
        </w:tc>
      </w:tr>
      <w:tr w14:paraId="7F957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45" w:type="dxa"/>
            <w:noWrap w:val="0"/>
            <w:vAlign w:val="center"/>
          </w:tcPr>
          <w:p w14:paraId="6418322A">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500" w:type="dxa"/>
            <w:noWrap w:val="0"/>
            <w:vAlign w:val="center"/>
          </w:tcPr>
          <w:p w14:paraId="5B86A0F9">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rPr>
            </w:pPr>
            <w:r>
              <w:rPr>
                <w:rFonts w:hint="eastAsia" w:ascii="仿宋" w:hAnsi="仿宋" w:eastAsia="仿宋" w:cs="仿宋"/>
                <w:color w:val="000000"/>
                <w:kern w:val="0"/>
                <w:sz w:val="24"/>
                <w:szCs w:val="24"/>
                <w:lang w:val="en-US" w:eastAsia="zh-CN"/>
              </w:rPr>
              <w:t>棕垫</w:t>
            </w:r>
          </w:p>
        </w:tc>
        <w:tc>
          <w:tcPr>
            <w:tcW w:w="6146" w:type="dxa"/>
            <w:noWrap w:val="0"/>
            <w:vAlign w:val="center"/>
          </w:tcPr>
          <w:p w14:paraId="0015049D">
            <w:pPr>
              <w:spacing w:line="400" w:lineRule="exact"/>
              <w:ind w:firstLine="0" w:firstLineChars="0"/>
              <w:rPr>
                <w:rFonts w:hint="eastAsia" w:ascii="仿宋" w:hAnsi="仿宋" w:eastAsia="仿宋" w:cs="仿宋"/>
                <w:b/>
                <w:sz w:val="24"/>
                <w:szCs w:val="24"/>
                <w:lang w:val="en-US" w:eastAsia="zh-CN"/>
              </w:rPr>
            </w:pPr>
            <w:r>
              <w:rPr>
                <w:rFonts w:hint="eastAsia" w:ascii="仿宋" w:hAnsi="仿宋" w:eastAsia="仿宋" w:cs="仿宋"/>
                <w:b/>
                <w:sz w:val="24"/>
                <w:szCs w:val="24"/>
              </w:rPr>
              <w:t>宿舍</w:t>
            </w:r>
            <w:r>
              <w:rPr>
                <w:rFonts w:hint="eastAsia" w:ascii="仿宋" w:hAnsi="仿宋" w:eastAsia="仿宋" w:cs="仿宋"/>
                <w:b/>
                <w:sz w:val="24"/>
                <w:szCs w:val="24"/>
                <w:lang w:val="en-US" w:eastAsia="zh-CN"/>
              </w:rPr>
              <w:t xml:space="preserve">床垫    </w:t>
            </w:r>
          </w:p>
          <w:p w14:paraId="74A2BC4A">
            <w:pPr>
              <w:spacing w:line="400" w:lineRule="exact"/>
              <w:ind w:firstLine="0" w:firstLineChars="0"/>
              <w:rPr>
                <w:rFonts w:hint="eastAsia" w:ascii="仿宋" w:hAnsi="仿宋" w:eastAsia="仿宋" w:cs="仿宋"/>
                <w:sz w:val="24"/>
                <w:szCs w:val="24"/>
                <w:lang w:val="en-US" w:eastAsia="zh-CN"/>
              </w:rPr>
            </w:pPr>
            <w:r>
              <w:rPr>
                <w:rFonts w:hint="eastAsia" w:ascii="仿宋" w:hAnsi="仿宋" w:eastAsia="仿宋" w:cs="仿宋"/>
                <w:sz w:val="24"/>
                <w:szCs w:val="24"/>
                <w:lang w:eastAsia="zh-CN"/>
              </w:rPr>
              <w:t>1</w:t>
            </w:r>
            <w:r>
              <w:rPr>
                <w:rFonts w:hint="eastAsia" w:ascii="仿宋" w:hAnsi="仿宋" w:eastAsia="仿宋" w:cs="仿宋"/>
                <w:sz w:val="24"/>
                <w:szCs w:val="24"/>
                <w:lang w:val="en-US" w:eastAsia="zh-CN"/>
              </w:rPr>
              <w:t>.</w:t>
            </w:r>
            <w:r>
              <w:rPr>
                <w:rFonts w:hint="eastAsia" w:ascii="仿宋" w:hAnsi="仿宋" w:eastAsia="仿宋" w:cs="仿宋"/>
                <w:sz w:val="24"/>
                <w:szCs w:val="24"/>
              </w:rPr>
              <w:t>规格尺寸：</w:t>
            </w:r>
            <w:r>
              <w:rPr>
                <w:rFonts w:hint="eastAsia" w:ascii="仿宋" w:hAnsi="仿宋" w:eastAsia="仿宋" w:cs="仿宋"/>
                <w:sz w:val="24"/>
                <w:szCs w:val="24"/>
                <w:lang w:val="en-US" w:eastAsia="zh-CN"/>
              </w:rPr>
              <w:t>宽110</w:t>
            </w:r>
            <w:r>
              <w:rPr>
                <w:rFonts w:hint="eastAsia" w:ascii="仿宋" w:hAnsi="仿宋" w:eastAsia="仿宋" w:cs="仿宋"/>
                <w:sz w:val="24"/>
                <w:szCs w:val="24"/>
              </w:rPr>
              <w:t>0mm，</w:t>
            </w:r>
            <w:r>
              <w:rPr>
                <w:rFonts w:hint="eastAsia" w:ascii="仿宋" w:hAnsi="仿宋" w:eastAsia="仿宋" w:cs="仿宋"/>
                <w:sz w:val="24"/>
                <w:szCs w:val="24"/>
                <w:lang w:val="en-US" w:eastAsia="zh-CN"/>
              </w:rPr>
              <w:t>长2000</w:t>
            </w:r>
            <w:r>
              <w:rPr>
                <w:rFonts w:hint="eastAsia" w:ascii="仿宋" w:hAnsi="仿宋" w:eastAsia="仿宋" w:cs="仿宋"/>
                <w:sz w:val="24"/>
                <w:szCs w:val="24"/>
              </w:rPr>
              <w:t>mm，</w:t>
            </w:r>
            <w:r>
              <w:rPr>
                <w:rFonts w:hint="eastAsia" w:ascii="仿宋" w:hAnsi="仿宋" w:eastAsia="仿宋" w:cs="仿宋"/>
                <w:sz w:val="24"/>
                <w:szCs w:val="24"/>
                <w:lang w:val="en-US" w:eastAsia="zh-CN"/>
              </w:rPr>
              <w:t>厚度</w:t>
            </w:r>
            <w:r>
              <w:rPr>
                <w:rFonts w:hint="eastAsia" w:ascii="仿宋" w:hAnsi="仿宋" w:eastAsia="仿宋" w:cs="仿宋"/>
                <w:sz w:val="24"/>
                <w:szCs w:val="24"/>
              </w:rPr>
              <w:t>≥</w:t>
            </w:r>
            <w:r>
              <w:rPr>
                <w:rFonts w:hint="eastAsia" w:ascii="仿宋" w:hAnsi="仿宋" w:eastAsia="仿宋" w:cs="仿宋"/>
                <w:sz w:val="24"/>
                <w:szCs w:val="24"/>
                <w:lang w:val="en-US" w:eastAsia="zh-CN"/>
              </w:rPr>
              <w:t>70</w:t>
            </w:r>
            <w:r>
              <w:rPr>
                <w:rFonts w:hint="eastAsia" w:ascii="仿宋" w:hAnsi="仿宋" w:eastAsia="仿宋" w:cs="仿宋"/>
                <w:sz w:val="24"/>
                <w:szCs w:val="24"/>
              </w:rPr>
              <w:t>mm</w:t>
            </w:r>
            <w:r>
              <w:rPr>
                <w:rFonts w:hint="eastAsia" w:ascii="仿宋" w:hAnsi="仿宋" w:eastAsia="仿宋" w:cs="仿宋"/>
                <w:sz w:val="24"/>
                <w:szCs w:val="24"/>
                <w:lang w:eastAsia="zh-CN"/>
              </w:rPr>
              <w:t>。</w:t>
            </w:r>
          </w:p>
          <w:p w14:paraId="163E54E7">
            <w:pPr>
              <w:keepNext w:val="0"/>
              <w:keepLines w:val="0"/>
              <w:pageBreakBefore w:val="0"/>
              <w:kinsoku/>
              <w:wordWrap/>
              <w:overflowPunct/>
              <w:topLinePunct w:val="0"/>
              <w:bidi w:val="0"/>
              <w:spacing w:line="40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2</w:t>
            </w:r>
            <w:r>
              <w:rPr>
                <w:rFonts w:hint="eastAsia" w:ascii="仿宋" w:hAnsi="仿宋" w:eastAsia="仿宋" w:cs="仿宋"/>
                <w:sz w:val="24"/>
                <w:szCs w:val="24"/>
                <w:lang w:val="en-US" w:eastAsia="zh-CN"/>
              </w:rPr>
              <w:t>.基材</w:t>
            </w:r>
            <w:r>
              <w:rPr>
                <w:rFonts w:hint="eastAsia" w:ascii="仿宋" w:hAnsi="仿宋" w:eastAsia="仿宋" w:cs="仿宋"/>
                <w:sz w:val="24"/>
                <w:szCs w:val="24"/>
              </w:rPr>
              <w:t>：</w:t>
            </w:r>
            <w:r>
              <w:rPr>
                <w:rFonts w:hint="eastAsia" w:ascii="仿宋" w:hAnsi="仿宋" w:eastAsia="仿宋" w:cs="仿宋"/>
                <w:sz w:val="24"/>
                <w:szCs w:val="24"/>
                <w:lang w:val="en-US" w:eastAsia="zh-CN"/>
              </w:rPr>
              <w:t>内芯采用环保S型黄麻棕为基材 ，支撑性好，表面附高密度海绵，外层材料为有机棉面料。无醛环保。</w:t>
            </w:r>
          </w:p>
        </w:tc>
      </w:tr>
      <w:tr w14:paraId="32CF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745" w:type="dxa"/>
            <w:noWrap w:val="0"/>
            <w:vAlign w:val="center"/>
          </w:tcPr>
          <w:p w14:paraId="61C5E870">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500" w:type="dxa"/>
            <w:noWrap w:val="0"/>
            <w:vAlign w:val="center"/>
          </w:tcPr>
          <w:p w14:paraId="284AB8AE">
            <w:pPr>
              <w:keepNext w:val="0"/>
              <w:keepLines w:val="0"/>
              <w:pageBreakBefore w:val="0"/>
              <w:kinsoku/>
              <w:wordWrap/>
              <w:overflowPunct/>
              <w:topLinePunct w:val="0"/>
              <w:bidi w:val="0"/>
              <w:spacing w:line="400" w:lineRule="exact"/>
              <w:jc w:val="center"/>
              <w:textAlignment w:val="auto"/>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rPr>
              <w:t>椅子</w:t>
            </w:r>
          </w:p>
        </w:tc>
        <w:tc>
          <w:tcPr>
            <w:tcW w:w="6146" w:type="dxa"/>
            <w:noWrap w:val="0"/>
            <w:vAlign w:val="center"/>
          </w:tcPr>
          <w:p w14:paraId="22B8CA04">
            <w:pPr>
              <w:spacing w:line="4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椅子：</w:t>
            </w:r>
          </w:p>
          <w:p w14:paraId="6045DB14">
            <w:pPr>
              <w:spacing w:line="400" w:lineRule="exact"/>
              <w:rPr>
                <w:rFonts w:hint="eastAsia" w:ascii="仿宋" w:hAnsi="仿宋" w:eastAsia="仿宋" w:cs="仿宋"/>
                <w:b w:val="0"/>
                <w:bCs w:val="0"/>
                <w:sz w:val="24"/>
                <w:szCs w:val="24"/>
                <w:u w:val="none"/>
                <w:lang w:eastAsia="zh-CN"/>
              </w:rPr>
            </w:pPr>
            <w:r>
              <w:rPr>
                <w:rFonts w:hint="eastAsia" w:ascii="仿宋" w:hAnsi="仿宋" w:eastAsia="仿宋" w:cs="仿宋"/>
                <w:b w:val="0"/>
                <w:bCs w:val="0"/>
                <w:sz w:val="24"/>
                <w:szCs w:val="24"/>
                <w:lang w:val="en-US" w:eastAsia="zh-CN"/>
              </w:rPr>
              <w:t>1.</w:t>
            </w:r>
            <w:r>
              <w:rPr>
                <w:rFonts w:hint="eastAsia" w:ascii="仿宋" w:hAnsi="仿宋" w:eastAsia="仿宋" w:cs="仿宋"/>
                <w:sz w:val="24"/>
                <w:szCs w:val="24"/>
              </w:rPr>
              <w:t>规格：</w:t>
            </w:r>
            <w:r>
              <w:rPr>
                <w:rFonts w:hint="eastAsia" w:ascii="仿宋" w:hAnsi="仿宋" w:eastAsia="仿宋" w:cs="仿宋"/>
                <w:sz w:val="24"/>
                <w:szCs w:val="24"/>
                <w:lang w:val="en-US" w:eastAsia="zh-CN"/>
              </w:rPr>
              <w:t>宽</w:t>
            </w:r>
            <w:r>
              <w:rPr>
                <w:rFonts w:hint="eastAsia" w:ascii="仿宋" w:hAnsi="仿宋" w:eastAsia="仿宋" w:cs="仿宋"/>
                <w:b w:val="0"/>
                <w:bCs w:val="0"/>
                <w:sz w:val="24"/>
                <w:szCs w:val="24"/>
                <w:u w:val="none"/>
                <w:lang w:val="en-US" w:eastAsia="zh-CN"/>
              </w:rPr>
              <w:t>530</w:t>
            </w:r>
            <w:r>
              <w:rPr>
                <w:rFonts w:hint="eastAsia" w:ascii="仿宋" w:hAnsi="仿宋" w:eastAsia="仿宋" w:cs="仿宋"/>
                <w:b w:val="0"/>
                <w:bCs w:val="0"/>
                <w:sz w:val="24"/>
                <w:szCs w:val="24"/>
                <w:u w:val="none"/>
                <w:lang w:eastAsia="zh-CN"/>
              </w:rPr>
              <w:t>×</w:t>
            </w:r>
            <w:r>
              <w:rPr>
                <w:rFonts w:hint="eastAsia" w:ascii="仿宋" w:hAnsi="仿宋" w:eastAsia="仿宋" w:cs="仿宋"/>
                <w:b w:val="0"/>
                <w:bCs w:val="0"/>
                <w:sz w:val="24"/>
                <w:szCs w:val="24"/>
                <w:u w:val="none"/>
                <w:lang w:val="en-US" w:eastAsia="zh-CN"/>
              </w:rPr>
              <w:t>深555</w:t>
            </w:r>
            <w:r>
              <w:rPr>
                <w:rFonts w:hint="eastAsia" w:ascii="仿宋" w:hAnsi="仿宋" w:eastAsia="仿宋" w:cs="仿宋"/>
                <w:b w:val="0"/>
                <w:bCs w:val="0"/>
                <w:sz w:val="24"/>
                <w:szCs w:val="24"/>
                <w:u w:val="none"/>
                <w:lang w:eastAsia="zh-CN"/>
              </w:rPr>
              <w:t>×</w:t>
            </w:r>
            <w:r>
              <w:rPr>
                <w:rFonts w:hint="eastAsia" w:ascii="仿宋" w:hAnsi="仿宋" w:eastAsia="仿宋" w:cs="仿宋"/>
                <w:b w:val="0"/>
                <w:bCs w:val="0"/>
                <w:sz w:val="24"/>
                <w:szCs w:val="24"/>
                <w:u w:val="none"/>
                <w:lang w:val="en-US" w:eastAsia="zh-CN"/>
              </w:rPr>
              <w:t>高800</w:t>
            </w:r>
            <w:r>
              <w:rPr>
                <w:rFonts w:hint="eastAsia" w:ascii="仿宋" w:hAnsi="仿宋" w:eastAsia="仿宋" w:cs="仿宋"/>
                <w:b w:val="0"/>
                <w:bCs w:val="0"/>
                <w:sz w:val="24"/>
                <w:szCs w:val="24"/>
                <w:u w:val="none"/>
                <w:lang w:eastAsia="zh-CN"/>
              </w:rPr>
              <w:t>mm</w:t>
            </w:r>
          </w:p>
          <w:p w14:paraId="3566434E">
            <w:pPr>
              <w:keepNext w:val="0"/>
              <w:keepLines w:val="0"/>
              <w:pageBreakBefore w:val="0"/>
              <w:widowControl/>
              <w:kinsoku/>
              <w:wordWrap/>
              <w:overflowPunct/>
              <w:topLinePunct w:val="0"/>
              <w:autoSpaceDE/>
              <w:autoSpaceDN/>
              <w:bidi w:val="0"/>
              <w:adjustRightInd/>
              <w:snapToGrid/>
              <w:spacing w:line="400" w:lineRule="exact"/>
              <w:ind w:left="0" w:firstLine="0" w:firstLineChars="0"/>
              <w:textAlignment w:val="auto"/>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2.椅脚：主体采用优质直径Φ22mm*厚度2mm圆管模具折弯成型。前后圆管间焊</w:t>
            </w:r>
            <w:r>
              <w:rPr>
                <w:rFonts w:hint="eastAsia" w:ascii="仿宋" w:hAnsi="仿宋" w:eastAsia="仿宋" w:cs="仿宋"/>
                <w:sz w:val="24"/>
                <w:szCs w:val="24"/>
                <w:lang w:val="en-US" w:eastAsia="zh-CN"/>
              </w:rPr>
              <w:t>接40*15*1.5</w:t>
            </w:r>
            <w:r>
              <w:rPr>
                <w:rFonts w:hint="eastAsia" w:ascii="仿宋" w:hAnsi="仿宋" w:eastAsia="仿宋" w:cs="仿宋"/>
                <w:sz w:val="24"/>
                <w:szCs w:val="24"/>
              </w:rPr>
              <w:t>mm</w:t>
            </w:r>
            <w:r>
              <w:rPr>
                <w:rFonts w:hint="eastAsia" w:ascii="仿宋" w:hAnsi="仿宋" w:eastAsia="仿宋" w:cs="仿宋"/>
                <w:sz w:val="24"/>
                <w:szCs w:val="24"/>
                <w:lang w:val="en-US" w:eastAsia="zh-CN"/>
              </w:rPr>
              <w:t>方</w:t>
            </w:r>
            <w:r>
              <w:rPr>
                <w:rFonts w:hint="eastAsia" w:ascii="仿宋" w:hAnsi="仿宋" w:eastAsia="仿宋" w:cs="仿宋"/>
                <w:sz w:val="24"/>
                <w:szCs w:val="24"/>
              </w:rPr>
              <w:t>管。</w:t>
            </w:r>
            <w:r>
              <w:rPr>
                <w:rFonts w:hint="eastAsia" w:ascii="仿宋" w:hAnsi="仿宋" w:eastAsia="仿宋" w:cs="仿宋"/>
                <w:sz w:val="24"/>
                <w:szCs w:val="24"/>
                <w:lang w:val="en-US" w:eastAsia="zh-CN"/>
              </w:rPr>
              <w:t>方管上预留有沉头孔，方便安装坐板。桌椅钢腿采用数控弯管设备加工及二氧化碳气体保护焊接成型。要求焊道均匀，无假焊、漏焊、夹渣等。</w:t>
            </w:r>
          </w:p>
          <w:p w14:paraId="1D556738">
            <w:pPr>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r>
              <w:rPr>
                <w:rFonts w:hint="eastAsia" w:ascii="仿宋" w:hAnsi="仿宋" w:eastAsia="仿宋" w:cs="仿宋"/>
                <w:sz w:val="24"/>
                <w:szCs w:val="24"/>
              </w:rPr>
              <w:t>椅座、椅背：椅座、椅背：采用PP（聚炳稀）材料</w:t>
            </w:r>
            <w:r>
              <w:rPr>
                <w:rFonts w:hint="eastAsia" w:ascii="仿宋" w:hAnsi="仿宋" w:eastAsia="仿宋" w:cs="仿宋"/>
                <w:sz w:val="24"/>
                <w:szCs w:val="24"/>
                <w:lang w:val="en-US" w:eastAsia="zh-CN"/>
              </w:rPr>
              <w:t>注塑</w:t>
            </w:r>
            <w:r>
              <w:rPr>
                <w:rFonts w:hint="eastAsia" w:ascii="仿宋" w:hAnsi="仿宋" w:eastAsia="仿宋" w:cs="仿宋"/>
                <w:sz w:val="24"/>
                <w:szCs w:val="24"/>
              </w:rPr>
              <w:t>成形，椅面经耐高寒、防退色、抗老化等工艺处理。椅座</w:t>
            </w:r>
            <w:r>
              <w:rPr>
                <w:rFonts w:hint="eastAsia" w:ascii="仿宋" w:hAnsi="仿宋" w:eastAsia="仿宋" w:cs="仿宋"/>
                <w:sz w:val="24"/>
                <w:szCs w:val="24"/>
                <w:lang w:val="en-US" w:eastAsia="zh-CN"/>
              </w:rPr>
              <w:t>与椅背支撑成一整体设计并背后带有一镂空孔，透气美观，亦能作提手作用</w:t>
            </w:r>
            <w:r>
              <w:rPr>
                <w:rFonts w:hint="eastAsia" w:ascii="仿宋" w:hAnsi="仿宋" w:eastAsia="仿宋" w:cs="仿宋"/>
                <w:sz w:val="24"/>
                <w:szCs w:val="24"/>
                <w:lang w:eastAsia="zh-CN"/>
              </w:rPr>
              <w:t>。</w:t>
            </w:r>
            <w:r>
              <w:rPr>
                <w:rFonts w:hint="eastAsia" w:ascii="仿宋" w:hAnsi="仿宋" w:eastAsia="仿宋" w:cs="仿宋"/>
                <w:sz w:val="24"/>
                <w:szCs w:val="24"/>
              </w:rPr>
              <w:t>椅座</w:t>
            </w:r>
            <w:r>
              <w:rPr>
                <w:rFonts w:hint="eastAsia" w:ascii="仿宋" w:hAnsi="仿宋" w:eastAsia="仿宋" w:cs="仿宋"/>
                <w:sz w:val="24"/>
                <w:szCs w:val="24"/>
                <w:lang w:val="en-US" w:eastAsia="zh-CN"/>
              </w:rPr>
              <w:t>底部预埋M6螺母与椅座支撑用螺丝连接，整体牢固可靠。</w:t>
            </w:r>
          </w:p>
          <w:p w14:paraId="1E52BA7D">
            <w:pPr>
              <w:keepNext w:val="0"/>
              <w:keepLines w:val="0"/>
              <w:pageBreakBefore w:val="0"/>
              <w:kinsoku/>
              <w:wordWrap/>
              <w:overflowPunct/>
              <w:topLinePunct w:val="0"/>
              <w:bidi w:val="0"/>
              <w:spacing w:line="400" w:lineRule="exact"/>
              <w:ind w:left="0" w:leftChars="0" w:firstLine="0" w:firstLineChars="0"/>
              <w:textAlignment w:val="auto"/>
              <w:rPr>
                <w:rFonts w:hint="eastAsia" w:ascii="仿宋" w:hAnsi="仿宋" w:eastAsia="仿宋" w:cs="仿宋"/>
                <w:sz w:val="24"/>
                <w:szCs w:val="24"/>
              </w:rPr>
            </w:pPr>
            <w:r>
              <w:rPr>
                <w:rFonts w:hint="eastAsia" w:ascii="仿宋" w:hAnsi="仿宋" w:eastAsia="仿宋" w:cs="仿宋"/>
                <w:sz w:val="24"/>
                <w:szCs w:val="24"/>
                <w:lang w:eastAsia="zh-CN"/>
              </w:rPr>
              <w:t>4</w:t>
            </w:r>
            <w:r>
              <w:rPr>
                <w:rFonts w:hint="eastAsia" w:ascii="仿宋" w:hAnsi="仿宋" w:eastAsia="仿宋" w:cs="仿宋"/>
                <w:sz w:val="24"/>
                <w:szCs w:val="24"/>
                <w:lang w:val="en-US" w:eastAsia="zh-CN"/>
              </w:rPr>
              <w:t>.</w:t>
            </w:r>
            <w:r>
              <w:rPr>
                <w:rFonts w:hint="eastAsia" w:ascii="仿宋" w:hAnsi="仿宋" w:eastAsia="仿宋" w:cs="仿宋"/>
                <w:sz w:val="24"/>
                <w:szCs w:val="24"/>
              </w:rPr>
              <w:t>防滑脚垫：采用PP（聚炳稀）工程塑料，防滑、耐</w:t>
            </w:r>
            <w:r>
              <w:rPr>
                <w:rFonts w:hint="eastAsia" w:ascii="仿宋" w:hAnsi="仿宋" w:eastAsia="仿宋" w:cs="仿宋"/>
                <w:sz w:val="24"/>
                <w:szCs w:val="24"/>
                <w:lang w:val="en-US" w:eastAsia="zh-CN"/>
              </w:rPr>
              <w:t>磨</w:t>
            </w:r>
            <w:r>
              <w:rPr>
                <w:rFonts w:hint="eastAsia" w:ascii="仿宋" w:hAnsi="仿宋" w:eastAsia="仿宋" w:cs="仿宋"/>
                <w:sz w:val="24"/>
                <w:szCs w:val="24"/>
                <w:lang w:eastAsia="zh-CN"/>
              </w:rPr>
              <w:t>，</w:t>
            </w:r>
            <w:r>
              <w:rPr>
                <w:rFonts w:hint="eastAsia" w:ascii="仿宋" w:hAnsi="仿宋" w:eastAsia="仿宋" w:cs="仿宋"/>
                <w:sz w:val="24"/>
                <w:szCs w:val="24"/>
                <w:lang w:val="en-US" w:eastAsia="zh-CN"/>
              </w:rPr>
              <w:t>底部厚度10mm。</w:t>
            </w:r>
          </w:p>
        </w:tc>
      </w:tr>
      <w:tr w14:paraId="46660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jc w:val="center"/>
        </w:trPr>
        <w:tc>
          <w:tcPr>
            <w:tcW w:w="8391" w:type="dxa"/>
            <w:gridSpan w:val="3"/>
            <w:noWrap w:val="0"/>
            <w:vAlign w:val="center"/>
          </w:tcPr>
          <w:p w14:paraId="251041BA">
            <w:pPr>
              <w:rPr>
                <w:rFonts w:hint="eastAsia" w:ascii="仿宋" w:hAnsi="仿宋" w:eastAsia="仿宋" w:cs="仿宋"/>
                <w:sz w:val="24"/>
                <w:szCs w:val="24"/>
                <w:highlight w:val="none"/>
                <w:lang w:val="en-US" w:eastAsia="zh-CN"/>
              </w:rPr>
            </w:pPr>
            <w:r>
              <w:rPr>
                <w:rFonts w:hint="eastAsia" w:ascii="仿宋" w:hAnsi="仿宋" w:eastAsia="仿宋" w:cs="仿宋"/>
                <w:sz w:val="24"/>
                <w:szCs w:val="24"/>
                <w:lang w:val="en-US" w:eastAsia="zh-CN"/>
              </w:rPr>
              <w:t>房</w:t>
            </w:r>
            <w:r>
              <w:rPr>
                <w:rFonts w:hint="eastAsia" w:ascii="仿宋" w:hAnsi="仿宋" w:eastAsia="仿宋" w:cs="仿宋"/>
                <w:sz w:val="24"/>
                <w:szCs w:val="24"/>
                <w:highlight w:val="none"/>
                <w:lang w:val="en-US" w:eastAsia="zh-CN"/>
              </w:rPr>
              <w:t>型图：</w:t>
            </w:r>
          </w:p>
          <w:p w14:paraId="594D261B">
            <w:pPr>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三人间：两种户型不</w:t>
            </w:r>
            <w:r>
              <w:rPr>
                <w:rFonts w:hint="eastAsia" w:ascii="仿宋" w:hAnsi="仿宋" w:eastAsia="仿宋" w:cs="仿宋"/>
                <w:sz w:val="24"/>
                <w:szCs w:val="24"/>
                <w:lang w:val="en-US" w:eastAsia="zh-CN"/>
              </w:rPr>
              <w:t>同，但都是住三人</w:t>
            </w:r>
          </w:p>
          <w:p w14:paraId="72D85953">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户型一：平面图</w:t>
            </w:r>
          </w:p>
          <w:p w14:paraId="6695DAD2">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drawing>
                <wp:anchor distT="0" distB="0" distL="114300" distR="114300" simplePos="0" relativeHeight="251662336" behindDoc="1" locked="0" layoutInCell="1" allowOverlap="1">
                  <wp:simplePos x="0" y="0"/>
                  <wp:positionH relativeFrom="column">
                    <wp:posOffset>54610</wp:posOffset>
                  </wp:positionH>
                  <wp:positionV relativeFrom="paragraph">
                    <wp:posOffset>25400</wp:posOffset>
                  </wp:positionV>
                  <wp:extent cx="2550160" cy="1501140"/>
                  <wp:effectExtent l="0" t="0" r="2540" b="3810"/>
                  <wp:wrapNone/>
                  <wp:docPr id="7" name="图片 1" descr="4e25533ccb6f1486ca269b1a28df0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1" descr="4e25533ccb6f1486ca269b1a28df0479"/>
                          <pic:cNvPicPr>
                            <a:picLocks noChangeAspect="1"/>
                          </pic:cNvPicPr>
                        </pic:nvPicPr>
                        <pic:blipFill>
                          <a:blip r:embed="rId17"/>
                          <a:stretch>
                            <a:fillRect/>
                          </a:stretch>
                        </pic:blipFill>
                        <pic:spPr>
                          <a:xfrm>
                            <a:off x="0" y="0"/>
                            <a:ext cx="2550160" cy="1501140"/>
                          </a:xfrm>
                          <a:prstGeom prst="rect">
                            <a:avLst/>
                          </a:prstGeom>
                          <a:noFill/>
                          <a:ln>
                            <a:noFill/>
                          </a:ln>
                        </pic:spPr>
                      </pic:pic>
                    </a:graphicData>
                  </a:graphic>
                </wp:anchor>
              </w:drawing>
            </w:r>
          </w:p>
          <w:p w14:paraId="32C4F0E3">
            <w:pPr>
              <w:rPr>
                <w:rFonts w:hint="eastAsia" w:ascii="仿宋" w:hAnsi="仿宋" w:eastAsia="仿宋" w:cs="仿宋"/>
                <w:sz w:val="24"/>
                <w:szCs w:val="24"/>
                <w:lang w:val="en-US" w:eastAsia="zh-CN"/>
              </w:rPr>
            </w:pPr>
          </w:p>
          <w:p w14:paraId="483545FB">
            <w:pPr>
              <w:rPr>
                <w:rFonts w:hint="eastAsia" w:ascii="仿宋" w:hAnsi="仿宋" w:eastAsia="仿宋" w:cs="仿宋"/>
                <w:sz w:val="24"/>
                <w:szCs w:val="24"/>
                <w:lang w:val="en-US" w:eastAsia="zh-CN"/>
              </w:rPr>
            </w:pPr>
          </w:p>
          <w:p w14:paraId="045B9D4C">
            <w:pPr>
              <w:rPr>
                <w:rFonts w:hint="eastAsia" w:ascii="仿宋" w:hAnsi="仿宋" w:eastAsia="仿宋" w:cs="仿宋"/>
                <w:sz w:val="24"/>
                <w:szCs w:val="24"/>
                <w:lang w:val="en-US" w:eastAsia="zh-CN"/>
              </w:rPr>
            </w:pPr>
          </w:p>
          <w:p w14:paraId="1BEE9923">
            <w:pPr>
              <w:rPr>
                <w:rFonts w:hint="eastAsia" w:ascii="仿宋" w:hAnsi="仿宋" w:eastAsia="仿宋" w:cs="仿宋"/>
                <w:sz w:val="24"/>
                <w:szCs w:val="24"/>
                <w:lang w:val="en-US" w:eastAsia="zh-CN"/>
              </w:rPr>
            </w:pPr>
          </w:p>
          <w:p w14:paraId="76E9649A">
            <w:pPr>
              <w:rPr>
                <w:rFonts w:hint="eastAsia" w:ascii="仿宋" w:hAnsi="仿宋" w:eastAsia="仿宋" w:cs="仿宋"/>
                <w:sz w:val="24"/>
                <w:szCs w:val="24"/>
                <w:lang w:val="en-US" w:eastAsia="zh-CN"/>
              </w:rPr>
            </w:pPr>
          </w:p>
          <w:p w14:paraId="5DFBF06A">
            <w:pPr>
              <w:ind w:left="0" w:leftChars="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户型二</w:t>
            </w:r>
          </w:p>
          <w:p w14:paraId="31B30B6C">
            <w:pPr>
              <w:ind w:left="0" w:leftChars="0" w:firstLine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drawing>
                <wp:anchor distT="0" distB="0" distL="114300" distR="114300" simplePos="0" relativeHeight="251662336" behindDoc="0" locked="0" layoutInCell="1" allowOverlap="1">
                  <wp:simplePos x="0" y="0"/>
                  <wp:positionH relativeFrom="column">
                    <wp:posOffset>53340</wp:posOffset>
                  </wp:positionH>
                  <wp:positionV relativeFrom="paragraph">
                    <wp:posOffset>88265</wp:posOffset>
                  </wp:positionV>
                  <wp:extent cx="2458720" cy="1774825"/>
                  <wp:effectExtent l="0" t="0" r="17780" b="15875"/>
                  <wp:wrapSquare wrapText="bothSides"/>
                  <wp:docPr id="3" name="图片 2" descr="1a0689ab6e3b6bd7b769ccc002808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1a0689ab6e3b6bd7b769ccc002808537"/>
                          <pic:cNvPicPr>
                            <a:picLocks noChangeAspect="1"/>
                          </pic:cNvPicPr>
                        </pic:nvPicPr>
                        <pic:blipFill>
                          <a:blip r:embed="rId18"/>
                          <a:stretch>
                            <a:fillRect/>
                          </a:stretch>
                        </pic:blipFill>
                        <pic:spPr>
                          <a:xfrm>
                            <a:off x="0" y="0"/>
                            <a:ext cx="2458720" cy="1774825"/>
                          </a:xfrm>
                          <a:prstGeom prst="rect">
                            <a:avLst/>
                          </a:prstGeom>
                          <a:noFill/>
                          <a:ln>
                            <a:noFill/>
                          </a:ln>
                        </pic:spPr>
                      </pic:pic>
                    </a:graphicData>
                  </a:graphic>
                </wp:anchor>
              </w:drawing>
            </w:r>
          </w:p>
          <w:p w14:paraId="0330A914">
            <w:pP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p>
          <w:p w14:paraId="7D3FDC78">
            <w:pPr>
              <w:numPr>
                <w:ilvl w:val="-1"/>
                <w:numId w:val="0"/>
              </w:numPr>
              <w:ind w:leftChars="0"/>
              <w:rPr>
                <w:rFonts w:hint="eastAsia" w:ascii="仿宋" w:hAnsi="仿宋" w:eastAsia="仿宋" w:cs="仿宋"/>
                <w:sz w:val="24"/>
                <w:szCs w:val="24"/>
                <w:lang w:val="en-US" w:eastAsia="zh-CN"/>
              </w:rPr>
            </w:pPr>
          </w:p>
          <w:p w14:paraId="21543633">
            <w:pPr>
              <w:numPr>
                <w:ilvl w:val="-1"/>
                <w:numId w:val="0"/>
              </w:numPr>
              <w:ind w:leftChars="0"/>
              <w:rPr>
                <w:rFonts w:hint="eastAsia" w:ascii="仿宋" w:hAnsi="仿宋" w:eastAsia="仿宋" w:cs="仿宋"/>
                <w:sz w:val="24"/>
                <w:szCs w:val="24"/>
                <w:lang w:val="en-US" w:eastAsia="zh-CN"/>
              </w:rPr>
            </w:pPr>
          </w:p>
          <w:p w14:paraId="125D8C0B">
            <w:pPr>
              <w:numPr>
                <w:ilvl w:val="-1"/>
                <w:numId w:val="0"/>
              </w:numPr>
              <w:ind w:leftChars="0"/>
              <w:rPr>
                <w:rFonts w:hint="eastAsia" w:ascii="仿宋" w:hAnsi="仿宋" w:eastAsia="仿宋" w:cs="仿宋"/>
                <w:sz w:val="24"/>
                <w:szCs w:val="24"/>
                <w:lang w:val="en-US" w:eastAsia="zh-CN"/>
              </w:rPr>
            </w:pPr>
          </w:p>
          <w:p w14:paraId="0E736911">
            <w:pPr>
              <w:numPr>
                <w:ilvl w:val="-1"/>
                <w:numId w:val="0"/>
              </w:numPr>
              <w:ind w:leftChars="0"/>
              <w:rPr>
                <w:rFonts w:hint="eastAsia" w:ascii="仿宋" w:hAnsi="仿宋" w:eastAsia="仿宋" w:cs="仿宋"/>
                <w:sz w:val="24"/>
                <w:szCs w:val="24"/>
                <w:lang w:val="en-US" w:eastAsia="zh-CN"/>
              </w:rPr>
            </w:pPr>
          </w:p>
          <w:p w14:paraId="15304DB6">
            <w:pPr>
              <w:numPr>
                <w:ilvl w:val="-1"/>
                <w:numId w:val="0"/>
              </w:numPr>
              <w:ind w:leftChars="0"/>
              <w:rPr>
                <w:rFonts w:hint="eastAsia" w:ascii="仿宋" w:hAnsi="仿宋" w:eastAsia="仿宋" w:cs="仿宋"/>
                <w:sz w:val="24"/>
                <w:szCs w:val="24"/>
                <w:lang w:val="en-US" w:eastAsia="zh-CN"/>
              </w:rPr>
            </w:pPr>
          </w:p>
          <w:p w14:paraId="28274E15">
            <w:pPr>
              <w:numPr>
                <w:ilvl w:val="-1"/>
                <w:numId w:val="0"/>
              </w:numPr>
              <w:ind w:leftChars="0"/>
              <w:rPr>
                <w:rFonts w:hint="eastAsia" w:ascii="仿宋" w:hAnsi="仿宋" w:eastAsia="仿宋" w:cs="仿宋"/>
                <w:sz w:val="24"/>
                <w:szCs w:val="24"/>
                <w:lang w:val="en-US" w:eastAsia="zh-CN"/>
              </w:rPr>
            </w:pPr>
          </w:p>
          <w:p w14:paraId="2CAC2DE1">
            <w:pPr>
              <w:numPr>
                <w:ilvl w:val="-1"/>
                <w:numId w:val="0"/>
              </w:numPr>
              <w:ind w:leftChars="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四人间：（户型三）</w:t>
            </w:r>
          </w:p>
          <w:p w14:paraId="21909EF7">
            <w:pPr>
              <w:keepNext w:val="0"/>
              <w:keepLines w:val="0"/>
              <w:pageBreakBefore w:val="0"/>
              <w:kinsoku/>
              <w:wordWrap/>
              <w:overflowPunct/>
              <w:topLinePunct w:val="0"/>
              <w:bidi w:val="0"/>
              <w:spacing w:line="240" w:lineRule="auto"/>
              <w:ind w:left="0" w:leftChars="0" w:firstLine="0" w:firstLineChars="0"/>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drawing>
                <wp:inline distT="0" distB="0" distL="114300" distR="114300">
                  <wp:extent cx="3152775" cy="2637790"/>
                  <wp:effectExtent l="0" t="0" r="9525" b="10160"/>
                  <wp:docPr id="6" name="图片 3" descr="41aff556e9accf413b7da351e3f0da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3" descr="41aff556e9accf413b7da351e3f0da83"/>
                          <pic:cNvPicPr>
                            <a:picLocks noChangeAspect="1"/>
                          </pic:cNvPicPr>
                        </pic:nvPicPr>
                        <pic:blipFill>
                          <a:blip r:embed="rId19"/>
                          <a:stretch>
                            <a:fillRect/>
                          </a:stretch>
                        </pic:blipFill>
                        <pic:spPr>
                          <a:xfrm>
                            <a:off x="0" y="0"/>
                            <a:ext cx="3152775" cy="2637790"/>
                          </a:xfrm>
                          <a:prstGeom prst="rect">
                            <a:avLst/>
                          </a:prstGeom>
                          <a:noFill/>
                          <a:ln>
                            <a:noFill/>
                          </a:ln>
                        </pic:spPr>
                      </pic:pic>
                    </a:graphicData>
                  </a:graphic>
                </wp:inline>
              </w:drawing>
            </w:r>
          </w:p>
        </w:tc>
      </w:tr>
    </w:tbl>
    <w:p w14:paraId="442C52A3">
      <w:pPr>
        <w:pStyle w:val="49"/>
        <w:widowControl/>
        <w:numPr>
          <w:ilvl w:val="0"/>
          <w:numId w:val="0"/>
        </w:numPr>
        <w:ind w:firstLine="566" w:firstLineChars="200"/>
        <w:jc w:val="left"/>
        <w:outlineLvl w:val="2"/>
        <w:rPr>
          <w:rFonts w:hint="default" w:ascii="仿宋" w:hAnsi="仿宋" w:eastAsia="仿宋" w:cs="仿宋"/>
          <w:b/>
          <w:bCs/>
          <w:color w:val="auto"/>
          <w:kern w:val="0"/>
          <w:highlight w:val="none"/>
          <w:lang w:val="en-US" w:eastAsia="zh-CN"/>
        </w:rPr>
      </w:pPr>
      <w:r>
        <w:rPr>
          <w:rFonts w:hint="eastAsia" w:ascii="仿宋" w:hAnsi="仿宋" w:eastAsia="仿宋" w:cs="仿宋"/>
          <w:b/>
          <w:bCs/>
          <w:color w:val="auto"/>
          <w:kern w:val="0"/>
          <w:highlight w:val="none"/>
          <w:lang w:eastAsia="zh-CN"/>
        </w:rPr>
        <w:t>（</w:t>
      </w:r>
      <w:r>
        <w:rPr>
          <w:rFonts w:hint="eastAsia" w:ascii="仿宋" w:hAnsi="仿宋" w:eastAsia="仿宋" w:cs="仿宋"/>
          <w:b/>
          <w:bCs/>
          <w:color w:val="auto"/>
          <w:kern w:val="0"/>
          <w:highlight w:val="none"/>
          <w:lang w:val="en-US" w:eastAsia="zh-CN"/>
        </w:rPr>
        <w:t>三</w:t>
      </w:r>
      <w:r>
        <w:rPr>
          <w:rFonts w:hint="eastAsia" w:ascii="仿宋" w:hAnsi="仿宋" w:eastAsia="仿宋" w:cs="仿宋"/>
          <w:b/>
          <w:bCs/>
          <w:color w:val="auto"/>
          <w:kern w:val="0"/>
          <w:highlight w:val="none"/>
          <w:lang w:eastAsia="zh-CN"/>
        </w:rPr>
        <w:t>）</w:t>
      </w:r>
      <w:r>
        <w:rPr>
          <w:rFonts w:hint="eastAsia" w:ascii="仿宋" w:hAnsi="仿宋" w:eastAsia="仿宋" w:cs="仿宋"/>
          <w:b/>
          <w:bCs/>
          <w:color w:val="auto"/>
          <w:kern w:val="0"/>
          <w:highlight w:val="none"/>
          <w:lang w:val="en-US" w:eastAsia="zh-CN"/>
        </w:rPr>
        <w:t>其他要求</w:t>
      </w:r>
    </w:p>
    <w:p w14:paraId="18141487">
      <w:pPr>
        <w:pStyle w:val="49"/>
        <w:widowControl w:val="0"/>
        <w:numPr>
          <w:ilvl w:val="0"/>
          <w:numId w:val="0"/>
        </w:numPr>
        <w:spacing w:line="500" w:lineRule="exact"/>
        <w:ind w:firstLine="550" w:firstLineChars="200"/>
        <w:jc w:val="left"/>
        <w:outlineLvl w:val="2"/>
        <w:rPr>
          <w:rFonts w:hint="eastAsia" w:ascii="仿宋" w:hAnsi="仿宋" w:eastAsia="仿宋" w:cs="仿宋"/>
          <w:b w:val="0"/>
          <w:bCs w:val="0"/>
          <w:color w:val="auto"/>
          <w:spacing w:val="-4"/>
          <w:kern w:val="2"/>
          <w:highlight w:val="none"/>
          <w:lang w:val="en-US" w:eastAsia="zh-CN"/>
        </w:rPr>
      </w:pPr>
      <w:r>
        <w:rPr>
          <w:rFonts w:hint="eastAsia" w:ascii="仿宋" w:hAnsi="仿宋" w:eastAsia="仿宋" w:cs="仿宋"/>
          <w:b w:val="0"/>
          <w:bCs w:val="0"/>
          <w:color w:val="auto"/>
          <w:spacing w:val="-4"/>
          <w:kern w:val="2"/>
          <w:highlight w:val="none"/>
          <w:lang w:val="en-US" w:eastAsia="zh-CN"/>
        </w:rPr>
        <w:t>第一标段：包含拆除原有联排桌椅，建筑垃圾清运，定制安装新阶梯教室铁脚排桌椅；</w:t>
      </w:r>
    </w:p>
    <w:p w14:paraId="79F41DA0">
      <w:pPr>
        <w:widowControl/>
        <w:spacing w:line="500" w:lineRule="exact"/>
        <w:ind w:firstLine="550" w:firstLineChars="200"/>
        <w:jc w:val="left"/>
        <w:outlineLvl w:val="2"/>
        <w:rPr>
          <w:rFonts w:hint="eastAsia" w:ascii="仿宋" w:hAnsi="仿宋" w:eastAsia="仿宋" w:cs="仿宋"/>
          <w:b/>
          <w:bCs/>
          <w:color w:val="auto"/>
          <w:kern w:val="0"/>
          <w:highlight w:val="none"/>
          <w:lang w:eastAsia="zh-CN"/>
        </w:rPr>
      </w:pPr>
      <w:r>
        <w:rPr>
          <w:rFonts w:hint="eastAsia" w:ascii="仿宋" w:hAnsi="仿宋" w:eastAsia="仿宋" w:cs="仿宋"/>
          <w:b w:val="0"/>
          <w:bCs w:val="0"/>
          <w:color w:val="auto"/>
          <w:spacing w:val="-4"/>
          <w:kern w:val="2"/>
          <w:highlight w:val="none"/>
          <w:lang w:val="en-US" w:eastAsia="zh-CN"/>
        </w:rPr>
        <w:t>第二标段：</w:t>
      </w:r>
      <w:r>
        <w:rPr>
          <w:rFonts w:hint="eastAsia" w:ascii="仿宋" w:hAnsi="仿宋" w:eastAsia="仿宋" w:cs="仿宋"/>
          <w:color w:val="auto"/>
          <w:spacing w:val="-4"/>
          <w:kern w:val="2"/>
          <w:sz w:val="28"/>
          <w:szCs w:val="28"/>
          <w:highlight w:val="none"/>
          <w:lang w:val="en-US" w:eastAsia="zh-CN" w:bidi="ar-SA"/>
        </w:rPr>
        <w:t>包含宿舍新增床、椅柜、床垫、配套桌椅的场内转运、安装调试及功能布局摆放工作，不含旧物拆除及垃圾清运，所有费用均包含在响应报价内。供应商须文明施工、保护现场设施，按需精准安装、规范布局，完工清场自检、按期交付验收，安装质量纳入整体质保，售后问题须及时免费上门整改。</w:t>
      </w:r>
    </w:p>
    <w:p w14:paraId="3F1DD1F2">
      <w:pPr>
        <w:pStyle w:val="49"/>
        <w:widowControl/>
        <w:numPr>
          <w:ilvl w:val="0"/>
          <w:numId w:val="0"/>
        </w:numPr>
        <w:ind w:firstLine="566" w:firstLineChars="200"/>
        <w:jc w:val="left"/>
        <w:outlineLvl w:val="2"/>
        <w:rPr>
          <w:rFonts w:hint="eastAsia" w:ascii="仿宋" w:hAnsi="仿宋" w:eastAsia="仿宋" w:cs="仿宋"/>
          <w:b/>
          <w:bCs/>
          <w:color w:val="auto"/>
          <w:kern w:val="0"/>
          <w:highlight w:val="none"/>
        </w:rPr>
      </w:pPr>
      <w:r>
        <w:rPr>
          <w:rFonts w:hint="eastAsia" w:ascii="仿宋" w:hAnsi="仿宋" w:eastAsia="仿宋" w:cs="仿宋"/>
          <w:b/>
          <w:bCs/>
          <w:color w:val="auto"/>
          <w:kern w:val="0"/>
          <w:highlight w:val="none"/>
          <w:lang w:eastAsia="zh-CN"/>
        </w:rPr>
        <w:t>（</w:t>
      </w:r>
      <w:r>
        <w:rPr>
          <w:rFonts w:hint="eastAsia" w:ascii="仿宋" w:hAnsi="仿宋" w:eastAsia="仿宋" w:cs="仿宋"/>
          <w:b/>
          <w:bCs/>
          <w:color w:val="auto"/>
          <w:kern w:val="0"/>
          <w:highlight w:val="none"/>
          <w:lang w:val="en-US" w:eastAsia="zh-CN"/>
        </w:rPr>
        <w:t>四</w:t>
      </w:r>
      <w:r>
        <w:rPr>
          <w:rFonts w:hint="eastAsia" w:ascii="仿宋" w:hAnsi="仿宋" w:eastAsia="仿宋" w:cs="仿宋"/>
          <w:b/>
          <w:bCs/>
          <w:color w:val="auto"/>
          <w:kern w:val="0"/>
          <w:highlight w:val="none"/>
          <w:lang w:eastAsia="zh-CN"/>
        </w:rPr>
        <w:t>）</w:t>
      </w:r>
      <w:r>
        <w:rPr>
          <w:rFonts w:hint="eastAsia" w:ascii="仿宋" w:hAnsi="仿宋" w:eastAsia="仿宋" w:cs="仿宋"/>
          <w:b/>
          <w:bCs/>
          <w:color w:val="auto"/>
          <w:kern w:val="0"/>
          <w:highlight w:val="none"/>
        </w:rPr>
        <w:t>需执行的国家</w:t>
      </w:r>
      <w:r>
        <w:rPr>
          <w:rFonts w:hint="eastAsia" w:ascii="仿宋" w:hAnsi="仿宋" w:eastAsia="仿宋" w:cs="仿宋"/>
          <w:b/>
          <w:bCs/>
          <w:color w:val="auto"/>
          <w:kern w:val="0"/>
          <w:highlight w:val="none"/>
          <w:lang w:val="en-US" w:eastAsia="zh-CN"/>
        </w:rPr>
        <w:t>及行业等</w:t>
      </w:r>
      <w:r>
        <w:rPr>
          <w:rFonts w:hint="eastAsia" w:ascii="仿宋" w:hAnsi="仿宋" w:eastAsia="仿宋" w:cs="仿宋"/>
          <w:b/>
          <w:bCs/>
          <w:color w:val="auto"/>
          <w:kern w:val="0"/>
          <w:highlight w:val="none"/>
        </w:rPr>
        <w:t>相关标准</w:t>
      </w:r>
    </w:p>
    <w:p w14:paraId="232129BA">
      <w:pPr>
        <w:widowControl w:val="0"/>
        <w:numPr>
          <w:ilvl w:val="255"/>
          <w:numId w:val="0"/>
        </w:numPr>
        <w:spacing w:line="500" w:lineRule="exact"/>
        <w:ind w:firstLine="550" w:firstLineChars="200"/>
        <w:jc w:val="left"/>
        <w:rPr>
          <w:rFonts w:hint="eastAsia" w:ascii="仿宋" w:hAnsi="仿宋" w:eastAsia="仿宋" w:cs="仿宋"/>
          <w:b w:val="0"/>
          <w:bCs w:val="0"/>
          <w:color w:val="auto"/>
          <w:spacing w:val="-4"/>
          <w:highlight w:val="none"/>
        </w:rPr>
      </w:pPr>
      <w:r>
        <w:rPr>
          <w:rFonts w:hint="eastAsia" w:ascii="仿宋" w:hAnsi="仿宋" w:eastAsia="仿宋" w:cs="仿宋"/>
          <w:b w:val="0"/>
          <w:bCs w:val="0"/>
          <w:color w:val="auto"/>
          <w:spacing w:val="-4"/>
          <w:highlight w:val="none"/>
          <w:lang w:val="en-US" w:eastAsia="zh-CN"/>
        </w:rPr>
        <w:t>本项目所有家具产品须严格执行《民用工程室内环境污染控制标准》（GB50325-2020）等国家及行业现行标准；所有产品环保、质量、安全指标均需符合国家强制性规范，无超标有害物质，适配校园公共场所使用要求</w:t>
      </w:r>
      <w:r>
        <w:rPr>
          <w:rFonts w:hint="eastAsia" w:ascii="仿宋" w:hAnsi="仿宋" w:eastAsia="仿宋" w:cs="仿宋"/>
          <w:b w:val="0"/>
          <w:bCs w:val="0"/>
          <w:color w:val="auto"/>
          <w:spacing w:val="-4"/>
          <w:highlight w:val="none"/>
        </w:rPr>
        <w:t>。</w:t>
      </w:r>
    </w:p>
    <w:p w14:paraId="2F63781A">
      <w:pPr>
        <w:widowControl w:val="0"/>
        <w:numPr>
          <w:ilvl w:val="255"/>
          <w:numId w:val="0"/>
        </w:numPr>
        <w:spacing w:afterLines="0" w:line="500" w:lineRule="exact"/>
        <w:ind w:firstLine="486" w:firstLineChars="200"/>
        <w:jc w:val="left"/>
        <w:rPr>
          <w:rFonts w:hint="eastAsia" w:ascii="仿宋" w:hAnsi="仿宋" w:eastAsia="仿宋" w:cs="仿宋"/>
          <w:color w:val="auto"/>
          <w:sz w:val="28"/>
        </w:rPr>
      </w:pPr>
      <w:r>
        <w:rPr>
          <w:rFonts w:hint="eastAsia" w:ascii="仿宋" w:hAnsi="仿宋" w:eastAsia="仿宋" w:cs="仿宋"/>
          <w:b w:val="0"/>
          <w:bCs w:val="0"/>
          <w:sz w:val="24"/>
          <w:szCs w:val="24"/>
          <w:highlight w:val="none"/>
          <w:u w:val="none"/>
          <w:lang w:val="en-US" w:eastAsia="zh-CN"/>
        </w:rPr>
        <w:t>备注：如上述标准在开标前有更新版本，以最新版本为准。</w:t>
      </w:r>
      <w:bookmarkStart w:id="206" w:name="OLE_LINK20"/>
      <w:bookmarkStart w:id="207" w:name="OLE_LINK19"/>
    </w:p>
    <w:p w14:paraId="141DFA03">
      <w:pPr>
        <w:widowControl w:val="0"/>
        <w:numPr>
          <w:ilvl w:val="0"/>
          <w:numId w:val="2"/>
        </w:numPr>
        <w:spacing w:line="500" w:lineRule="exact"/>
        <w:ind w:firstLine="566" w:firstLineChars="200"/>
        <w:jc w:val="left"/>
        <w:rPr>
          <w:rFonts w:hint="eastAsia" w:ascii="仿宋" w:hAnsi="仿宋" w:eastAsia="仿宋" w:cs="仿宋"/>
          <w:b/>
          <w:bCs/>
          <w:sz w:val="28"/>
          <w:szCs w:val="28"/>
          <w:highlight w:val="none"/>
          <w:lang w:val="en-US" w:eastAsia="zh-CN"/>
        </w:rPr>
      </w:pPr>
      <w:r>
        <w:rPr>
          <w:rFonts w:hint="eastAsia" w:ascii="仿宋" w:hAnsi="仿宋" w:eastAsia="仿宋" w:cs="仿宋"/>
          <w:b/>
          <w:bCs/>
          <w:lang w:val="en-US" w:eastAsia="zh-CN"/>
        </w:rPr>
        <w:t>环保要求</w:t>
      </w:r>
    </w:p>
    <w:p w14:paraId="3751ABAC">
      <w:pPr>
        <w:widowControl w:val="0"/>
        <w:numPr>
          <w:ilvl w:val="-1"/>
          <w:numId w:val="0"/>
        </w:numPr>
        <w:spacing w:line="500" w:lineRule="exact"/>
        <w:ind w:firstLine="566" w:firstLineChars="200"/>
        <w:jc w:val="left"/>
        <w:rPr>
          <w:rFonts w:hint="eastAsia" w:ascii="仿宋" w:hAnsi="仿宋" w:eastAsia="仿宋" w:cs="仿宋"/>
          <w:b/>
          <w:bCs/>
          <w:sz w:val="28"/>
          <w:szCs w:val="28"/>
          <w:highlight w:val="none"/>
          <w:lang w:val="en-US" w:eastAsia="zh-CN"/>
        </w:rPr>
      </w:pPr>
      <w:r>
        <w:rPr>
          <w:rFonts w:hint="eastAsia" w:ascii="仿宋" w:hAnsi="仿宋" w:eastAsia="仿宋" w:cs="仿宋"/>
        </w:rPr>
        <w:t>供应商所提供的产品为“环境标志产品政府采购品目清单”内的，应提供该产品由国家确定的认证机构出具且处于有效期内的“中国环境标志产品认证证书”。认证证书需包含所投产品的具体名称（型号），</w:t>
      </w:r>
      <w:r>
        <w:rPr>
          <w:rFonts w:hint="eastAsia" w:ascii="仿宋" w:hAnsi="仿宋" w:eastAsia="仿宋" w:cs="仿宋"/>
          <w:bCs/>
        </w:rPr>
        <w:t>最终评审报价相同时，</w:t>
      </w:r>
      <w:r>
        <w:rPr>
          <w:rFonts w:hint="eastAsia" w:ascii="仿宋" w:hAnsi="仿宋" w:eastAsia="仿宋" w:cs="仿宋"/>
          <w:b/>
          <w:bCs/>
        </w:rPr>
        <w:t>以出具有效期内的环境标</w:t>
      </w:r>
      <w:r>
        <w:rPr>
          <w:rFonts w:hint="eastAsia" w:ascii="仿宋" w:hAnsi="仿宋" w:eastAsia="仿宋" w:cs="仿宋"/>
          <w:b/>
          <w:bCs/>
          <w:lang w:val="en-US" w:eastAsia="zh-CN"/>
        </w:rPr>
        <w:t>志</w:t>
      </w:r>
      <w:r>
        <w:rPr>
          <w:rFonts w:hint="eastAsia" w:ascii="仿宋" w:hAnsi="仿宋" w:eastAsia="仿宋" w:cs="仿宋"/>
          <w:b/>
          <w:bCs/>
        </w:rPr>
        <w:t>产品认证证书较多的，排名优先推荐</w:t>
      </w:r>
      <w:r>
        <w:rPr>
          <w:rFonts w:hint="eastAsia" w:ascii="仿宋" w:hAnsi="仿宋" w:eastAsia="仿宋" w:cs="仿宋"/>
        </w:rPr>
        <w:t>。</w:t>
      </w:r>
    </w:p>
    <w:p w14:paraId="0B47346E">
      <w:pPr>
        <w:widowControl w:val="0"/>
        <w:numPr>
          <w:ilvl w:val="0"/>
          <w:numId w:val="2"/>
        </w:numPr>
        <w:spacing w:line="500" w:lineRule="exact"/>
        <w:ind w:firstLine="566" w:firstLineChars="200"/>
        <w:jc w:val="left"/>
        <w:rPr>
          <w:rFonts w:hint="eastAsia" w:ascii="仿宋" w:hAnsi="仿宋" w:eastAsia="仿宋" w:cs="仿宋"/>
          <w:b/>
          <w:bCs/>
          <w:sz w:val="28"/>
          <w:szCs w:val="28"/>
          <w:highlight w:val="none"/>
          <w:lang w:val="en-US" w:eastAsia="zh-CN"/>
        </w:rPr>
      </w:pPr>
      <w:r>
        <w:rPr>
          <w:rFonts w:hint="eastAsia" w:ascii="仿宋" w:hAnsi="仿宋" w:eastAsia="仿宋" w:cs="仿宋"/>
          <w:b/>
          <w:bCs/>
          <w:sz w:val="28"/>
          <w:szCs w:val="28"/>
          <w:highlight w:val="none"/>
          <w:lang w:val="en-US" w:eastAsia="zh-CN"/>
        </w:rPr>
        <w:t>备品备件</w:t>
      </w:r>
    </w:p>
    <w:p w14:paraId="6B0959E6">
      <w:pPr>
        <w:widowControl w:val="0"/>
        <w:numPr>
          <w:ilvl w:val="255"/>
          <w:numId w:val="0"/>
        </w:numPr>
        <w:spacing w:line="500" w:lineRule="exact"/>
        <w:ind w:firstLine="550" w:firstLineChars="200"/>
        <w:jc w:val="left"/>
        <w:rPr>
          <w:rFonts w:hint="eastAsia" w:ascii="仿宋" w:hAnsi="仿宋" w:eastAsia="仿宋" w:cs="仿宋"/>
          <w:b w:val="0"/>
          <w:bCs w:val="0"/>
          <w:color w:val="auto"/>
          <w:spacing w:val="-4"/>
          <w:sz w:val="28"/>
          <w:szCs w:val="28"/>
          <w:highlight w:val="none"/>
          <w:lang w:val="en-US" w:eastAsia="zh-CN"/>
        </w:rPr>
      </w:pPr>
      <w:r>
        <w:rPr>
          <w:rFonts w:hint="eastAsia" w:ascii="仿宋" w:hAnsi="仿宋" w:eastAsia="仿宋" w:cs="仿宋"/>
          <w:b w:val="0"/>
          <w:bCs w:val="0"/>
          <w:color w:val="auto"/>
          <w:spacing w:val="-4"/>
          <w:sz w:val="28"/>
          <w:szCs w:val="28"/>
          <w:highlight w:val="none"/>
          <w:lang w:val="en-US" w:eastAsia="zh-CN"/>
        </w:rPr>
        <w:t>（1）备品备件：供应商需免费提供足量常用备品备件、安装工具、维修耗材，满足后期日常维护、更换需求；</w:t>
      </w:r>
    </w:p>
    <w:p w14:paraId="1474E487">
      <w:pPr>
        <w:widowControl w:val="0"/>
        <w:numPr>
          <w:ilvl w:val="255"/>
          <w:numId w:val="0"/>
        </w:numPr>
        <w:spacing w:line="500" w:lineRule="exact"/>
        <w:ind w:firstLine="550" w:firstLineChars="200"/>
        <w:jc w:val="left"/>
        <w:rPr>
          <w:rFonts w:hint="eastAsia" w:ascii="仿宋" w:hAnsi="仿宋" w:eastAsia="仿宋" w:cs="仿宋"/>
          <w:b w:val="0"/>
          <w:bCs w:val="0"/>
          <w:color w:val="auto"/>
          <w:spacing w:val="-4"/>
          <w:sz w:val="28"/>
          <w:szCs w:val="28"/>
          <w:highlight w:val="none"/>
          <w:lang w:val="en-US" w:eastAsia="zh-CN"/>
        </w:rPr>
      </w:pPr>
      <w:r>
        <w:rPr>
          <w:rFonts w:hint="eastAsia" w:ascii="仿宋" w:hAnsi="仿宋" w:eastAsia="仿宋" w:cs="仿宋"/>
          <w:b w:val="0"/>
          <w:bCs w:val="0"/>
          <w:color w:val="auto"/>
          <w:spacing w:val="-4"/>
          <w:sz w:val="28"/>
          <w:szCs w:val="28"/>
          <w:highlight w:val="none"/>
          <w:lang w:val="en-US" w:eastAsia="zh-CN"/>
        </w:rPr>
        <w:t xml:space="preserve">（2）安装调试：所有家具免费上门安装、调试、校准，确保结构稳固、功能完好、外观整洁，安装完成后无松动、无异响、无安全隐患； </w:t>
      </w:r>
    </w:p>
    <w:p w14:paraId="5D006BCB">
      <w:pPr>
        <w:widowControl w:val="0"/>
        <w:numPr>
          <w:ilvl w:val="255"/>
          <w:numId w:val="0"/>
        </w:numPr>
        <w:spacing w:line="500" w:lineRule="exact"/>
        <w:ind w:firstLine="550" w:firstLineChars="200"/>
        <w:jc w:val="left"/>
        <w:rPr>
          <w:rFonts w:hint="eastAsia" w:ascii="仿宋" w:hAnsi="仿宋" w:eastAsia="仿宋" w:cs="仿宋"/>
          <w:b w:val="0"/>
          <w:bCs w:val="0"/>
          <w:color w:val="auto"/>
          <w:spacing w:val="-4"/>
          <w:sz w:val="28"/>
          <w:szCs w:val="28"/>
          <w:highlight w:val="none"/>
          <w:lang w:val="en-US" w:eastAsia="zh-CN"/>
        </w:rPr>
      </w:pPr>
      <w:r>
        <w:rPr>
          <w:rFonts w:hint="eastAsia" w:ascii="仿宋" w:hAnsi="仿宋" w:eastAsia="仿宋" w:cs="仿宋"/>
          <w:b w:val="0"/>
          <w:bCs w:val="0"/>
          <w:color w:val="auto"/>
          <w:spacing w:val="-4"/>
          <w:sz w:val="28"/>
          <w:szCs w:val="28"/>
          <w:highlight w:val="none"/>
          <w:lang w:val="en-US" w:eastAsia="zh-CN"/>
        </w:rPr>
        <w:t xml:space="preserve">（3）质量保证：所有产品全新未使用、原厂正品，无翻新、无残次品，各项指标符合招标及国家规范要求； </w:t>
      </w:r>
    </w:p>
    <w:p w14:paraId="296AA726">
      <w:pPr>
        <w:widowControl w:val="0"/>
        <w:numPr>
          <w:ilvl w:val="255"/>
          <w:numId w:val="0"/>
        </w:numPr>
        <w:spacing w:line="500" w:lineRule="exact"/>
        <w:ind w:firstLine="550" w:firstLineChars="200"/>
        <w:jc w:val="left"/>
        <w:rPr>
          <w:rFonts w:hint="eastAsia" w:ascii="仿宋" w:hAnsi="仿宋" w:eastAsia="仿宋" w:cs="仿宋"/>
          <w:b w:val="0"/>
          <w:bCs w:val="0"/>
          <w:color w:val="auto"/>
          <w:spacing w:val="-4"/>
          <w:sz w:val="28"/>
          <w:szCs w:val="28"/>
          <w:highlight w:val="none"/>
          <w:lang w:val="en-US" w:eastAsia="zh-CN"/>
        </w:rPr>
      </w:pPr>
      <w:r>
        <w:rPr>
          <w:rFonts w:hint="eastAsia" w:ascii="仿宋" w:hAnsi="仿宋" w:eastAsia="仿宋" w:cs="仿宋"/>
          <w:b w:val="0"/>
          <w:bCs w:val="0"/>
          <w:color w:val="auto"/>
          <w:spacing w:val="-4"/>
          <w:sz w:val="28"/>
          <w:szCs w:val="28"/>
          <w:highlight w:val="none"/>
          <w:lang w:val="en-US" w:eastAsia="zh-CN"/>
        </w:rPr>
        <w:t>（4）售后服务：提供全程售后保障，质保期内免费维修、免费更换损坏配件，终身提供成本价维修服务。</w:t>
      </w:r>
    </w:p>
    <w:p w14:paraId="0F265C0C">
      <w:pPr>
        <w:numPr>
          <w:ilvl w:val="255"/>
          <w:numId w:val="0"/>
        </w:numPr>
        <w:spacing w:afterLines="0" w:line="500" w:lineRule="exact"/>
        <w:ind w:firstLine="550" w:firstLineChars="200"/>
        <w:jc w:val="left"/>
        <w:textAlignment w:val="baseline"/>
        <w:rPr>
          <w:rFonts w:hint="eastAsia" w:ascii="仿宋" w:hAnsi="仿宋" w:eastAsia="仿宋" w:cs="仿宋"/>
          <w:iCs/>
          <w:lang w:eastAsia="zh-CN"/>
        </w:rPr>
      </w:pPr>
      <w:r>
        <w:rPr>
          <w:rFonts w:hint="eastAsia" w:ascii="仿宋" w:hAnsi="仿宋" w:eastAsia="仿宋" w:cs="仿宋"/>
          <w:b/>
          <w:bCs/>
          <w:color w:val="auto"/>
          <w:spacing w:val="-4"/>
          <w:highlight w:val="none"/>
        </w:rPr>
        <w:t>★</w:t>
      </w:r>
      <w:r>
        <w:rPr>
          <w:rFonts w:hint="eastAsia" w:ascii="仿宋" w:hAnsi="仿宋" w:eastAsia="仿宋" w:cs="仿宋"/>
          <w:b/>
          <w:bCs/>
          <w:color w:val="auto"/>
          <w:spacing w:val="-4"/>
          <w:highlight w:val="none"/>
          <w:lang w:val="en-US" w:eastAsia="zh-CN"/>
        </w:rPr>
        <w:t>五</w:t>
      </w:r>
      <w:r>
        <w:rPr>
          <w:rFonts w:hint="eastAsia" w:ascii="仿宋" w:hAnsi="仿宋" w:eastAsia="仿宋" w:cs="仿宋"/>
          <w:b/>
          <w:bCs/>
          <w:color w:val="auto"/>
          <w:spacing w:val="-4"/>
          <w:highlight w:val="none"/>
          <w:lang w:eastAsia="zh-CN"/>
        </w:rPr>
        <w:t>、</w:t>
      </w:r>
      <w:r>
        <w:rPr>
          <w:rFonts w:hint="eastAsia" w:ascii="仿宋" w:hAnsi="仿宋" w:eastAsia="仿宋" w:cs="仿宋"/>
          <w:b/>
          <w:bCs/>
          <w:iCs/>
          <w:highlight w:val="none"/>
        </w:rPr>
        <w:t>实质性条款</w:t>
      </w:r>
      <w:r>
        <w:rPr>
          <w:rFonts w:hint="eastAsia" w:ascii="仿宋" w:hAnsi="仿宋" w:eastAsia="仿宋" w:cs="仿宋"/>
          <w:b/>
          <w:bCs/>
          <w:highlight w:val="none"/>
        </w:rPr>
        <w:t>（须提供承诺函，格式自拟，未提供承诺函则视为无效</w:t>
      </w:r>
      <w:r>
        <w:rPr>
          <w:rFonts w:hint="eastAsia" w:ascii="仿宋" w:hAnsi="仿宋" w:eastAsia="仿宋" w:cs="仿宋"/>
          <w:b/>
          <w:bCs/>
          <w:highlight w:val="none"/>
          <w:lang w:val="en-US" w:eastAsia="zh-CN"/>
        </w:rPr>
        <w:t>响应</w:t>
      </w:r>
      <w:r>
        <w:rPr>
          <w:rFonts w:hint="eastAsia" w:ascii="仿宋" w:hAnsi="仿宋" w:eastAsia="仿宋" w:cs="仿宋"/>
          <w:b/>
          <w:bCs/>
          <w:highlight w:val="none"/>
        </w:rPr>
        <w:t>）</w:t>
      </w:r>
      <w:r>
        <w:rPr>
          <w:rFonts w:hint="eastAsia" w:ascii="仿宋" w:hAnsi="仿宋" w:eastAsia="仿宋" w:cs="仿宋"/>
          <w:b/>
          <w:bCs/>
          <w:highlight w:val="none"/>
          <w:lang w:eastAsia="zh-CN"/>
        </w:rPr>
        <w:t>（</w:t>
      </w:r>
      <w:r>
        <w:rPr>
          <w:rFonts w:hint="eastAsia" w:ascii="仿宋" w:hAnsi="仿宋" w:eastAsia="仿宋" w:cs="仿宋"/>
          <w:b/>
          <w:bCs/>
          <w:highlight w:val="none"/>
          <w:lang w:val="en-US" w:eastAsia="zh-CN"/>
        </w:rPr>
        <w:t>两个标段均适用</w:t>
      </w:r>
      <w:r>
        <w:rPr>
          <w:rFonts w:hint="eastAsia" w:ascii="仿宋" w:hAnsi="仿宋" w:eastAsia="仿宋" w:cs="仿宋"/>
          <w:b/>
          <w:bCs/>
          <w:highlight w:val="none"/>
          <w:lang w:eastAsia="zh-CN"/>
        </w:rPr>
        <w:t>）</w:t>
      </w:r>
    </w:p>
    <w:p w14:paraId="19C862E6">
      <w:pPr>
        <w:pStyle w:val="8"/>
        <w:spacing w:afterLines="0" w:line="500" w:lineRule="exact"/>
        <w:ind w:firstLine="566" w:firstLineChars="200"/>
        <w:rPr>
          <w:rFonts w:ascii="仿宋" w:hAnsi="仿宋" w:eastAsia="仿宋" w:cs="仿宋"/>
          <w:b/>
          <w:bCs/>
          <w:iCs/>
        </w:rPr>
      </w:pPr>
      <w:r>
        <w:rPr>
          <w:rFonts w:hint="eastAsia" w:ascii="仿宋" w:hAnsi="仿宋" w:eastAsia="仿宋" w:cs="仿宋"/>
          <w:b/>
          <w:bCs/>
          <w:iCs/>
          <w:lang w:eastAsia="zh-CN"/>
        </w:rPr>
        <w:t>（一）供应商</w:t>
      </w:r>
      <w:r>
        <w:rPr>
          <w:rFonts w:hint="eastAsia" w:ascii="仿宋" w:hAnsi="仿宋" w:eastAsia="仿宋" w:cs="仿宋"/>
          <w:b/>
          <w:bCs/>
          <w:iCs/>
        </w:rPr>
        <w:t>须承诺：完全满足本</w:t>
      </w:r>
      <w:r>
        <w:rPr>
          <w:rFonts w:hint="eastAsia" w:ascii="仿宋" w:hAnsi="仿宋" w:eastAsia="仿宋" w:cs="仿宋"/>
          <w:b/>
          <w:bCs/>
          <w:iCs/>
          <w:lang w:val="en-US" w:eastAsia="zh-CN"/>
        </w:rPr>
        <w:t>标段</w:t>
      </w:r>
      <w:r>
        <w:rPr>
          <w:rFonts w:hint="eastAsia" w:ascii="仿宋" w:hAnsi="仿宋" w:eastAsia="仿宋" w:cs="仿宋"/>
          <w:b/>
          <w:bCs/>
          <w:iCs/>
        </w:rPr>
        <w:t>全部采购货物数量要求。</w:t>
      </w:r>
    </w:p>
    <w:p w14:paraId="035B30E9">
      <w:pPr>
        <w:spacing w:afterLines="0" w:line="500" w:lineRule="exact"/>
        <w:ind w:firstLine="566" w:firstLineChars="200"/>
        <w:rPr>
          <w:rFonts w:ascii="仿宋" w:hAnsi="仿宋" w:eastAsia="仿宋" w:cs="仿宋"/>
        </w:rPr>
      </w:pPr>
      <w:r>
        <w:rPr>
          <w:rFonts w:hint="eastAsia" w:ascii="仿宋" w:hAnsi="仿宋" w:eastAsia="仿宋" w:cs="仿宋"/>
          <w:b/>
          <w:bCs/>
          <w:iCs/>
          <w:lang w:eastAsia="zh-CN"/>
        </w:rPr>
        <w:t>（</w:t>
      </w:r>
      <w:r>
        <w:rPr>
          <w:rFonts w:hint="eastAsia" w:ascii="仿宋" w:hAnsi="仿宋" w:eastAsia="仿宋" w:cs="仿宋"/>
          <w:b/>
          <w:bCs/>
          <w:iCs/>
          <w:lang w:val="en-US" w:eastAsia="zh-CN"/>
        </w:rPr>
        <w:t>二</w:t>
      </w:r>
      <w:r>
        <w:rPr>
          <w:rFonts w:hint="eastAsia" w:ascii="仿宋" w:hAnsi="仿宋" w:eastAsia="仿宋" w:cs="仿宋"/>
          <w:b/>
          <w:bCs/>
          <w:iCs/>
          <w:lang w:eastAsia="zh-CN"/>
        </w:rPr>
        <w:t>）供应商</w:t>
      </w:r>
      <w:r>
        <w:rPr>
          <w:rFonts w:hint="eastAsia" w:ascii="仿宋" w:hAnsi="仿宋" w:eastAsia="仿宋" w:cs="仿宋"/>
          <w:b/>
          <w:bCs/>
          <w:iCs/>
        </w:rPr>
        <w:t>须承诺：</w:t>
      </w:r>
      <w:r>
        <w:rPr>
          <w:rFonts w:hint="eastAsia" w:ascii="仿宋" w:hAnsi="仿宋" w:eastAsia="仿宋" w:cs="仿宋"/>
          <w:b/>
          <w:bCs/>
          <w:iCs/>
          <w:lang w:val="en-US" w:eastAsia="zh-CN"/>
        </w:rPr>
        <w:t>所投产品</w:t>
      </w:r>
      <w:r>
        <w:rPr>
          <w:rFonts w:hint="eastAsia" w:ascii="仿宋" w:hAnsi="仿宋" w:eastAsia="仿宋" w:cs="仿宋"/>
          <w:b/>
          <w:bCs/>
          <w:iCs/>
        </w:rPr>
        <w:t>完全</w:t>
      </w:r>
      <w:r>
        <w:rPr>
          <w:rFonts w:hint="eastAsia" w:ascii="仿宋" w:hAnsi="仿宋" w:eastAsia="仿宋" w:cs="仿宋"/>
          <w:b/>
          <w:bCs/>
          <w:iCs/>
          <w:lang w:val="en-US" w:eastAsia="zh-CN"/>
        </w:rPr>
        <w:t>满足</w:t>
      </w:r>
      <w:r>
        <w:rPr>
          <w:rFonts w:hint="eastAsia" w:ascii="仿宋" w:hAnsi="仿宋" w:eastAsia="仿宋" w:cs="仿宋"/>
          <w:b/>
          <w:bCs/>
          <w:iCs/>
        </w:rPr>
        <w:t>本</w:t>
      </w:r>
      <w:r>
        <w:rPr>
          <w:rFonts w:hint="eastAsia" w:ascii="仿宋" w:hAnsi="仿宋" w:eastAsia="仿宋" w:cs="仿宋"/>
          <w:b/>
          <w:bCs/>
          <w:iCs/>
          <w:lang w:val="en-US" w:eastAsia="zh-CN"/>
        </w:rPr>
        <w:t>标段“技术参数表”中</w:t>
      </w:r>
      <w:r>
        <w:rPr>
          <w:rFonts w:hint="eastAsia" w:ascii="仿宋" w:hAnsi="仿宋" w:eastAsia="仿宋" w:cs="仿宋"/>
          <w:b/>
          <w:bCs/>
          <w:iCs/>
        </w:rPr>
        <w:t>全部</w:t>
      </w:r>
      <w:r>
        <w:rPr>
          <w:rFonts w:hint="eastAsia" w:ascii="仿宋" w:hAnsi="仿宋" w:eastAsia="仿宋" w:cs="仿宋"/>
          <w:b/>
          <w:bCs/>
          <w:iCs/>
          <w:lang w:val="en-US" w:eastAsia="zh-CN"/>
        </w:rPr>
        <w:t>参数</w:t>
      </w:r>
      <w:r>
        <w:rPr>
          <w:rFonts w:hint="eastAsia" w:ascii="仿宋" w:hAnsi="仿宋" w:eastAsia="仿宋" w:cs="仿宋"/>
          <w:b/>
          <w:bCs/>
          <w:iCs/>
        </w:rPr>
        <w:t>要求。</w:t>
      </w:r>
    </w:p>
    <w:p w14:paraId="4CAE29B9">
      <w:pPr>
        <w:pStyle w:val="2"/>
        <w:spacing w:afterLines="0" w:line="500" w:lineRule="exact"/>
        <w:ind w:firstLine="566" w:firstLineChars="200"/>
        <w:rPr>
          <w:rFonts w:hint="default" w:ascii="仿宋" w:hAnsi="仿宋" w:eastAsia="仿宋" w:cs="仿宋"/>
          <w:b/>
          <w:bCs/>
          <w:iCs w:val="0"/>
          <w:color w:val="auto"/>
          <w:kern w:val="0"/>
          <w:sz w:val="28"/>
          <w:lang w:val="en-US" w:eastAsia="zh-CN"/>
        </w:rPr>
      </w:pPr>
      <w:r>
        <w:rPr>
          <w:rFonts w:hint="eastAsia" w:ascii="仿宋" w:hAnsi="仿宋" w:eastAsia="仿宋" w:cs="仿宋"/>
          <w:b/>
          <w:bCs/>
          <w:iCs w:val="0"/>
          <w:color w:val="auto"/>
          <w:kern w:val="0"/>
          <w:sz w:val="28"/>
          <w:lang w:eastAsia="zh-CN"/>
        </w:rPr>
        <w:t>（</w:t>
      </w:r>
      <w:r>
        <w:rPr>
          <w:rFonts w:hint="eastAsia" w:ascii="仿宋" w:hAnsi="仿宋" w:eastAsia="仿宋" w:cs="仿宋"/>
          <w:b/>
          <w:bCs/>
          <w:iCs w:val="0"/>
          <w:color w:val="auto"/>
          <w:kern w:val="0"/>
          <w:sz w:val="28"/>
          <w:lang w:val="en-US" w:eastAsia="zh-CN"/>
        </w:rPr>
        <w:t>三</w:t>
      </w:r>
      <w:r>
        <w:rPr>
          <w:rFonts w:hint="eastAsia" w:ascii="仿宋" w:hAnsi="仿宋" w:eastAsia="仿宋" w:cs="仿宋"/>
          <w:b/>
          <w:bCs/>
          <w:iCs w:val="0"/>
          <w:color w:val="auto"/>
          <w:kern w:val="0"/>
          <w:sz w:val="28"/>
          <w:lang w:eastAsia="zh-CN"/>
        </w:rPr>
        <w:t>）</w:t>
      </w:r>
      <w:r>
        <w:rPr>
          <w:rFonts w:hint="eastAsia" w:ascii="仿宋" w:hAnsi="仿宋" w:eastAsia="仿宋" w:cs="仿宋"/>
          <w:b/>
          <w:bCs/>
          <w:color w:val="auto"/>
          <w:kern w:val="0"/>
          <w:sz w:val="28"/>
          <w:szCs w:val="28"/>
          <w:lang w:eastAsia="zh-CN"/>
        </w:rPr>
        <w:t>供应商</w:t>
      </w:r>
      <w:r>
        <w:rPr>
          <w:rFonts w:hint="eastAsia" w:ascii="仿宋" w:hAnsi="仿宋" w:eastAsia="仿宋" w:cs="仿宋"/>
          <w:b/>
          <w:bCs/>
          <w:color w:val="auto"/>
          <w:kern w:val="0"/>
          <w:sz w:val="28"/>
          <w:szCs w:val="28"/>
        </w:rPr>
        <w:t>须承诺：</w:t>
      </w:r>
      <w:r>
        <w:rPr>
          <w:rFonts w:hint="eastAsia" w:ascii="仿宋" w:hAnsi="仿宋" w:eastAsia="仿宋" w:cs="仿宋"/>
          <w:b/>
          <w:bCs/>
          <w:color w:val="auto"/>
          <w:kern w:val="0"/>
          <w:sz w:val="28"/>
          <w:szCs w:val="28"/>
          <w:lang w:val="en-US" w:eastAsia="zh-CN"/>
        </w:rPr>
        <w:t>完全按照“其他要求”完成相应内容。</w:t>
      </w:r>
    </w:p>
    <w:p w14:paraId="044B77C2">
      <w:pPr>
        <w:pStyle w:val="2"/>
        <w:spacing w:afterLines="0" w:line="500" w:lineRule="exact"/>
        <w:ind w:firstLine="566" w:firstLineChars="200"/>
        <w:rPr>
          <w:rFonts w:ascii="仿宋" w:hAnsi="仿宋" w:eastAsia="仿宋" w:cs="仿宋"/>
          <w:iCs/>
          <w:color w:val="auto"/>
          <w:sz w:val="28"/>
          <w:szCs w:val="28"/>
        </w:rPr>
      </w:pPr>
      <w:r>
        <w:rPr>
          <w:rFonts w:hint="eastAsia" w:ascii="仿宋" w:hAnsi="仿宋" w:eastAsia="仿宋" w:cs="仿宋"/>
          <w:b/>
          <w:bCs/>
          <w:iCs w:val="0"/>
          <w:color w:val="auto"/>
          <w:kern w:val="0"/>
          <w:sz w:val="28"/>
          <w:lang w:eastAsia="zh-CN"/>
        </w:rPr>
        <w:t>（</w:t>
      </w:r>
      <w:r>
        <w:rPr>
          <w:rFonts w:hint="eastAsia" w:ascii="仿宋" w:hAnsi="仿宋" w:eastAsia="仿宋" w:cs="仿宋"/>
          <w:b/>
          <w:bCs/>
          <w:iCs w:val="0"/>
          <w:color w:val="auto"/>
          <w:kern w:val="0"/>
          <w:sz w:val="28"/>
          <w:lang w:val="en-US" w:eastAsia="zh-CN"/>
        </w:rPr>
        <w:t>四</w:t>
      </w:r>
      <w:r>
        <w:rPr>
          <w:rFonts w:hint="eastAsia" w:ascii="仿宋" w:hAnsi="仿宋" w:eastAsia="仿宋" w:cs="仿宋"/>
          <w:b/>
          <w:bCs/>
          <w:iCs w:val="0"/>
          <w:color w:val="auto"/>
          <w:kern w:val="0"/>
          <w:sz w:val="28"/>
          <w:lang w:eastAsia="zh-CN"/>
        </w:rPr>
        <w:t>）</w:t>
      </w:r>
      <w:r>
        <w:rPr>
          <w:rFonts w:hint="eastAsia" w:ascii="仿宋" w:hAnsi="仿宋" w:eastAsia="仿宋" w:cs="仿宋"/>
          <w:b/>
          <w:bCs/>
          <w:color w:val="auto"/>
          <w:kern w:val="0"/>
          <w:sz w:val="28"/>
          <w:szCs w:val="28"/>
          <w:lang w:eastAsia="zh-CN"/>
        </w:rPr>
        <w:t>供应商</w:t>
      </w:r>
      <w:r>
        <w:rPr>
          <w:rFonts w:hint="eastAsia" w:ascii="仿宋" w:hAnsi="仿宋" w:eastAsia="仿宋" w:cs="仿宋"/>
          <w:b/>
          <w:bCs/>
          <w:color w:val="auto"/>
          <w:kern w:val="0"/>
          <w:sz w:val="28"/>
          <w:szCs w:val="28"/>
        </w:rPr>
        <w:t>须承诺：</w:t>
      </w:r>
      <w:r>
        <w:rPr>
          <w:rFonts w:hint="eastAsia" w:ascii="仿宋" w:hAnsi="仿宋" w:eastAsia="仿宋" w:cs="仿宋"/>
          <w:b/>
          <w:bCs/>
          <w:iCs/>
          <w:color w:val="auto"/>
          <w:kern w:val="2"/>
          <w:sz w:val="28"/>
        </w:rPr>
        <w:t>确保所投产品出厂检测合格、全新、未启封过、未曾使用</w:t>
      </w:r>
      <w:r>
        <w:rPr>
          <w:rFonts w:hint="eastAsia" w:ascii="仿宋" w:hAnsi="仿宋" w:eastAsia="仿宋" w:cs="仿宋"/>
          <w:b/>
          <w:bCs/>
          <w:iCs/>
          <w:color w:val="auto"/>
          <w:kern w:val="2"/>
          <w:sz w:val="28"/>
          <w:lang w:eastAsia="zh-CN"/>
        </w:rPr>
        <w:t>、</w:t>
      </w:r>
      <w:r>
        <w:rPr>
          <w:rFonts w:hint="eastAsia" w:ascii="仿宋" w:hAnsi="仿宋" w:eastAsia="仿宋" w:cs="仿宋"/>
          <w:b/>
          <w:bCs/>
          <w:iCs/>
          <w:color w:val="auto"/>
          <w:kern w:val="2"/>
          <w:sz w:val="28"/>
          <w:lang w:val="en-US" w:eastAsia="zh-CN"/>
        </w:rPr>
        <w:t>可追索查阅</w:t>
      </w:r>
      <w:r>
        <w:rPr>
          <w:rFonts w:hint="eastAsia" w:ascii="仿宋" w:hAnsi="仿宋" w:eastAsia="仿宋" w:cs="仿宋"/>
          <w:b/>
          <w:bCs/>
          <w:iCs/>
          <w:color w:val="auto"/>
          <w:kern w:val="2"/>
          <w:sz w:val="28"/>
        </w:rPr>
        <w:t>，无假货、水货、翻新货且无产权纠纷。</w:t>
      </w:r>
    </w:p>
    <w:p w14:paraId="51EC9F06">
      <w:pPr>
        <w:pStyle w:val="21"/>
        <w:ind w:left="0" w:leftChars="0" w:firstLine="566" w:firstLineChars="200"/>
        <w:rPr>
          <w:rFonts w:hint="eastAsia" w:ascii="仿宋" w:hAnsi="仿宋" w:eastAsia="仿宋" w:cs="仿宋"/>
        </w:rPr>
      </w:pPr>
    </w:p>
    <w:p w14:paraId="021FB452">
      <w:pPr>
        <w:spacing w:line="300" w:lineRule="exact"/>
        <w:ind w:firstLine="426" w:firstLineChars="200"/>
        <w:rPr>
          <w:rFonts w:hint="eastAsia" w:ascii="仿宋" w:hAnsi="仿宋" w:eastAsia="仿宋" w:cs="仿宋"/>
          <w:b/>
          <w:bCs/>
          <w:sz w:val="21"/>
          <w:szCs w:val="21"/>
          <w:highlight w:val="none"/>
          <w:lang w:val="zh-CN"/>
        </w:rPr>
      </w:pPr>
    </w:p>
    <w:p w14:paraId="10FA5CFD">
      <w:pPr>
        <w:spacing w:line="400" w:lineRule="exact"/>
        <w:ind w:firstLine="426" w:firstLineChars="200"/>
        <w:rPr>
          <w:rFonts w:hint="eastAsia" w:ascii="宋体" w:hAnsi="宋体" w:eastAsia="宋体" w:cs="宋体"/>
          <w:b/>
          <w:bCs/>
          <w:sz w:val="21"/>
          <w:szCs w:val="21"/>
          <w:highlight w:val="none"/>
        </w:rPr>
      </w:pPr>
      <w:r>
        <w:rPr>
          <w:rFonts w:hint="eastAsia" w:ascii="宋体" w:hAnsi="宋体" w:eastAsia="宋体" w:cs="宋体"/>
          <w:b/>
          <w:bCs/>
          <w:sz w:val="21"/>
          <w:szCs w:val="21"/>
          <w:highlight w:val="none"/>
          <w:lang w:val="zh-CN"/>
        </w:rPr>
        <w:t>备注：</w:t>
      </w:r>
      <w:r>
        <w:rPr>
          <w:rFonts w:hint="eastAsia" w:ascii="宋体" w:hAnsi="宋体" w:eastAsia="宋体" w:cs="宋体"/>
          <w:b/>
          <w:bCs/>
          <w:sz w:val="21"/>
          <w:szCs w:val="21"/>
          <w:highlight w:val="none"/>
        </w:rPr>
        <w:t>“★”内容项为实质性条款，</w:t>
      </w:r>
      <w:r>
        <w:rPr>
          <w:rFonts w:hint="eastAsia" w:ascii="宋体" w:hAnsi="宋体" w:eastAsia="宋体" w:cs="宋体"/>
          <w:b/>
          <w:bCs/>
          <w:sz w:val="21"/>
          <w:szCs w:val="21"/>
          <w:highlight w:val="none"/>
          <w:lang w:eastAsia="zh-CN"/>
        </w:rPr>
        <w:t>供应商</w:t>
      </w:r>
      <w:r>
        <w:rPr>
          <w:rFonts w:hint="eastAsia" w:ascii="宋体" w:hAnsi="宋体" w:eastAsia="宋体" w:cs="宋体"/>
          <w:b/>
          <w:bCs/>
          <w:sz w:val="21"/>
          <w:szCs w:val="21"/>
          <w:highlight w:val="none"/>
        </w:rPr>
        <w:t>应在第</w:t>
      </w:r>
      <w:r>
        <w:rPr>
          <w:rFonts w:hint="eastAsia" w:ascii="宋体" w:hAnsi="宋体" w:eastAsia="宋体" w:cs="宋体"/>
          <w:b/>
          <w:bCs/>
          <w:sz w:val="21"/>
          <w:szCs w:val="21"/>
          <w:highlight w:val="none"/>
          <w:lang w:val="en-US" w:eastAsia="zh-CN"/>
        </w:rPr>
        <w:t>五</w:t>
      </w:r>
      <w:r>
        <w:rPr>
          <w:rFonts w:hint="eastAsia" w:ascii="宋体" w:hAnsi="宋体" w:eastAsia="宋体" w:cs="宋体"/>
          <w:b/>
          <w:bCs/>
          <w:sz w:val="21"/>
          <w:szCs w:val="21"/>
          <w:highlight w:val="none"/>
        </w:rPr>
        <w:t>章“</w:t>
      </w:r>
      <w:r>
        <w:rPr>
          <w:rFonts w:hint="eastAsia" w:ascii="宋体" w:hAnsi="宋体" w:eastAsia="宋体" w:cs="宋体"/>
          <w:b/>
          <w:bCs/>
          <w:color w:val="000000"/>
          <w:sz w:val="21"/>
          <w:szCs w:val="21"/>
          <w:highlight w:val="none"/>
        </w:rPr>
        <w:t>响应文件构成及格式</w:t>
      </w:r>
      <w:r>
        <w:rPr>
          <w:rFonts w:hint="eastAsia" w:ascii="宋体" w:hAnsi="宋体" w:eastAsia="宋体" w:cs="宋体"/>
          <w:b/>
          <w:bCs/>
          <w:sz w:val="21"/>
          <w:szCs w:val="21"/>
          <w:highlight w:val="none"/>
        </w:rPr>
        <w:t>”中的“</w:t>
      </w:r>
      <w:r>
        <w:rPr>
          <w:rFonts w:hint="eastAsia" w:ascii="宋体" w:hAnsi="宋体" w:eastAsia="宋体" w:cs="宋体"/>
          <w:b/>
          <w:bCs/>
          <w:color w:val="000000"/>
          <w:sz w:val="21"/>
          <w:szCs w:val="21"/>
          <w:highlight w:val="none"/>
        </w:rPr>
        <w:t>实质性条款响应</w:t>
      </w:r>
      <w:r>
        <w:rPr>
          <w:rFonts w:hint="eastAsia" w:ascii="宋体" w:hAnsi="宋体" w:eastAsia="宋体" w:cs="宋体"/>
          <w:b/>
          <w:bCs/>
          <w:sz w:val="21"/>
          <w:szCs w:val="21"/>
          <w:highlight w:val="none"/>
        </w:rPr>
        <w:t>”处逐条响应“★”内容项，未逐条响应、有缺漏将被视为无效投标；</w:t>
      </w:r>
    </w:p>
    <w:bookmarkEnd w:id="159"/>
    <w:bookmarkEnd w:id="160"/>
    <w:bookmarkEnd w:id="161"/>
    <w:bookmarkEnd w:id="182"/>
    <w:bookmarkEnd w:id="183"/>
    <w:bookmarkEnd w:id="184"/>
    <w:bookmarkEnd w:id="185"/>
    <w:bookmarkEnd w:id="186"/>
    <w:bookmarkEnd w:id="187"/>
    <w:bookmarkEnd w:id="203"/>
    <w:bookmarkEnd w:id="204"/>
    <w:bookmarkEnd w:id="205"/>
    <w:bookmarkEnd w:id="206"/>
    <w:bookmarkEnd w:id="207"/>
    <w:p w14:paraId="5C3BC9A7">
      <w:pPr>
        <w:spacing w:line="240" w:lineRule="auto"/>
        <w:jc w:val="left"/>
        <w:outlineLvl w:val="9"/>
        <w:rPr>
          <w:rStyle w:val="61"/>
          <w:rFonts w:hint="eastAsia" w:ascii="仿宋" w:hAnsi="仿宋" w:eastAsia="仿宋" w:cs="仿宋"/>
          <w:b w:val="0"/>
          <w:color w:val="auto"/>
          <w:sz w:val="32"/>
          <w:szCs w:val="32"/>
          <w:highlight w:val="none"/>
        </w:rPr>
      </w:pPr>
      <w:bookmarkStart w:id="208" w:name="_Toc17001"/>
      <w:bookmarkStart w:id="209" w:name="_Toc4773"/>
      <w:bookmarkStart w:id="210" w:name="_Toc445407253"/>
      <w:bookmarkStart w:id="211" w:name="_Toc9416"/>
      <w:bookmarkStart w:id="212" w:name="_Toc7617"/>
      <w:bookmarkStart w:id="213" w:name="_Toc8413"/>
      <w:bookmarkStart w:id="214" w:name="_Toc505073742"/>
      <w:bookmarkStart w:id="215" w:name="_Toc24070"/>
      <w:bookmarkStart w:id="216" w:name="_Toc30265"/>
      <w:r>
        <w:rPr>
          <w:rStyle w:val="61"/>
          <w:rFonts w:hint="eastAsia" w:ascii="仿宋" w:hAnsi="仿宋" w:eastAsia="仿宋" w:cs="仿宋"/>
          <w:b w:val="0"/>
          <w:color w:val="auto"/>
          <w:sz w:val="32"/>
          <w:szCs w:val="32"/>
          <w:highlight w:val="none"/>
        </w:rPr>
        <w:br w:type="page"/>
      </w:r>
    </w:p>
    <w:p w14:paraId="09DF8268">
      <w:pPr>
        <w:spacing w:line="500" w:lineRule="exact"/>
        <w:jc w:val="center"/>
        <w:outlineLvl w:val="0"/>
        <w:rPr>
          <w:rStyle w:val="61"/>
          <w:rFonts w:hint="eastAsia" w:ascii="黑体" w:hAnsi="黑体" w:eastAsia="黑体" w:cs="黑体"/>
          <w:b w:val="0"/>
          <w:bCs/>
          <w:color w:val="auto"/>
          <w:highlight w:val="none"/>
          <w:lang w:eastAsia="zh-CN"/>
        </w:rPr>
      </w:pPr>
      <w:bookmarkStart w:id="217" w:name="_Toc5312"/>
      <w:bookmarkStart w:id="218" w:name="_Toc1634"/>
      <w:bookmarkStart w:id="219" w:name="_Toc30568"/>
      <w:r>
        <w:rPr>
          <w:rStyle w:val="61"/>
          <w:rFonts w:hint="eastAsia" w:ascii="黑体" w:hAnsi="黑体" w:eastAsia="黑体" w:cs="黑体"/>
          <w:b w:val="0"/>
          <w:bCs/>
          <w:color w:val="auto"/>
          <w:sz w:val="32"/>
          <w:szCs w:val="32"/>
          <w:highlight w:val="none"/>
        </w:rPr>
        <w:t>第四章  合同草案条款</w:t>
      </w:r>
      <w:bookmarkEnd w:id="208"/>
      <w:bookmarkEnd w:id="209"/>
      <w:bookmarkEnd w:id="210"/>
      <w:bookmarkEnd w:id="211"/>
      <w:bookmarkEnd w:id="212"/>
      <w:bookmarkEnd w:id="213"/>
      <w:bookmarkEnd w:id="214"/>
      <w:bookmarkEnd w:id="215"/>
      <w:bookmarkEnd w:id="216"/>
      <w:bookmarkEnd w:id="217"/>
      <w:bookmarkEnd w:id="218"/>
      <w:bookmarkEnd w:id="219"/>
    </w:p>
    <w:p w14:paraId="649D6E1A">
      <w:pPr>
        <w:pStyle w:val="5"/>
        <w:spacing w:beforeLines="0" w:afterLines="0" w:line="500" w:lineRule="exact"/>
        <w:ind w:firstLine="566" w:firstLineChars="200"/>
        <w:rPr>
          <w:rFonts w:ascii="仿宋" w:hAnsi="仿宋" w:eastAsia="仿宋" w:cs="仿宋"/>
          <w:color w:val="auto"/>
          <w:kern w:val="2"/>
          <w:sz w:val="28"/>
          <w:szCs w:val="28"/>
          <w:highlight w:val="none"/>
        </w:rPr>
      </w:pPr>
      <w:bookmarkStart w:id="220" w:name="_Toc10158"/>
      <w:bookmarkStart w:id="221" w:name="_Toc8427"/>
      <w:bookmarkStart w:id="222" w:name="_Toc7566"/>
      <w:bookmarkStart w:id="223" w:name="_Toc4166"/>
      <w:bookmarkStart w:id="224" w:name="_Toc29656"/>
      <w:bookmarkStart w:id="225" w:name="_Toc35871572"/>
      <w:bookmarkStart w:id="226" w:name="_Toc23541"/>
      <w:bookmarkStart w:id="227" w:name="_Toc13221"/>
      <w:bookmarkStart w:id="228" w:name="_Toc284"/>
      <w:bookmarkStart w:id="229" w:name="_Toc30955"/>
      <w:bookmarkStart w:id="230" w:name="_Toc12594"/>
      <w:bookmarkStart w:id="231" w:name="_Toc9095"/>
      <w:bookmarkStart w:id="232" w:name="_Toc8274"/>
      <w:bookmarkStart w:id="233" w:name="_Toc19563"/>
      <w:bookmarkStart w:id="234" w:name="_Toc26914"/>
      <w:bookmarkStart w:id="235" w:name="_Toc14082139"/>
      <w:bookmarkStart w:id="236" w:name="_Toc8471"/>
      <w:bookmarkStart w:id="237" w:name="_Toc9085"/>
      <w:bookmarkStart w:id="238" w:name="_Toc4645"/>
      <w:bookmarkStart w:id="239" w:name="_Toc4288"/>
      <w:bookmarkStart w:id="240" w:name="_Toc28365"/>
      <w:bookmarkStart w:id="241" w:name="_Toc20291"/>
      <w:bookmarkStart w:id="242" w:name="_Toc11772"/>
      <w:bookmarkStart w:id="243" w:name="_Toc27989"/>
      <w:bookmarkStart w:id="244" w:name="_Toc25553"/>
      <w:bookmarkStart w:id="245" w:name="_Toc29080"/>
      <w:bookmarkStart w:id="246" w:name="_Toc17255"/>
      <w:bookmarkStart w:id="247" w:name="_Toc445407254"/>
      <w:bookmarkStart w:id="248" w:name="_Toc505073743"/>
      <w:r>
        <w:rPr>
          <w:rFonts w:hint="eastAsia" w:ascii="仿宋" w:hAnsi="仿宋" w:eastAsia="仿宋" w:cs="仿宋"/>
          <w:color w:val="auto"/>
          <w:kern w:val="2"/>
          <w:sz w:val="28"/>
          <w:szCs w:val="28"/>
          <w:highlight w:val="none"/>
        </w:rPr>
        <w:t>一、交货条件</w:t>
      </w:r>
      <w:bookmarkEnd w:id="220"/>
      <w:bookmarkEnd w:id="221"/>
    </w:p>
    <w:p w14:paraId="5990E725">
      <w:pPr>
        <w:keepNext w:val="0"/>
        <w:keepLines w:val="0"/>
        <w:pageBreakBefore w:val="0"/>
        <w:numPr>
          <w:ilvl w:val="0"/>
          <w:numId w:val="0"/>
        </w:numPr>
        <w:kinsoku/>
        <w:wordWrap/>
        <w:overflowPunct/>
        <w:topLinePunct w:val="0"/>
        <w:bidi w:val="0"/>
        <w:spacing w:beforeLines="0" w:afterLines="0" w:line="500" w:lineRule="exact"/>
        <w:ind w:firstLine="566" w:firstLineChars="200"/>
        <w:jc w:val="both"/>
        <w:textAlignment w:val="auto"/>
        <w:outlineLvl w:val="0"/>
        <w:rPr>
          <w:rFonts w:hint="eastAsia" w:ascii="仿宋" w:hAnsi="仿宋" w:eastAsia="仿宋" w:cs="仿宋"/>
          <w:b/>
          <w:bCs/>
          <w:color w:val="auto"/>
          <w:spacing w:val="-4"/>
          <w:highlight w:val="none"/>
        </w:rPr>
      </w:pPr>
      <w:r>
        <w:rPr>
          <w:rFonts w:hint="eastAsia" w:ascii="仿宋" w:hAnsi="仿宋" w:eastAsia="仿宋" w:cs="仿宋"/>
          <w:b/>
          <w:bCs/>
          <w:color w:val="auto"/>
          <w:highlight w:val="none"/>
        </w:rPr>
        <w:t>（一）交货地</w:t>
      </w:r>
      <w:r>
        <w:rPr>
          <w:rFonts w:hint="eastAsia" w:ascii="仿宋" w:hAnsi="仿宋" w:eastAsia="仿宋" w:cs="仿宋"/>
          <w:b/>
          <w:bCs/>
          <w:color w:val="auto"/>
          <w:spacing w:val="-4"/>
          <w:highlight w:val="none"/>
        </w:rPr>
        <w:t>点：</w:t>
      </w:r>
    </w:p>
    <w:p w14:paraId="3CE73E37">
      <w:pPr>
        <w:keepNext w:val="0"/>
        <w:keepLines w:val="0"/>
        <w:pageBreakBefore w:val="0"/>
        <w:numPr>
          <w:ilvl w:val="0"/>
          <w:numId w:val="0"/>
        </w:numPr>
        <w:kinsoku/>
        <w:wordWrap/>
        <w:overflowPunct/>
        <w:topLinePunct w:val="0"/>
        <w:bidi w:val="0"/>
        <w:spacing w:beforeLines="0" w:afterLines="0" w:line="500" w:lineRule="exact"/>
        <w:ind w:firstLine="550" w:firstLineChars="200"/>
        <w:jc w:val="both"/>
        <w:textAlignment w:val="auto"/>
        <w:outlineLvl w:val="0"/>
        <w:rPr>
          <w:rFonts w:hint="eastAsia" w:ascii="仿宋" w:hAnsi="仿宋" w:eastAsia="仿宋" w:cs="仿宋"/>
          <w:color w:val="auto"/>
          <w:spacing w:val="-4"/>
          <w:sz w:val="28"/>
          <w:szCs w:val="28"/>
          <w:highlight w:val="none"/>
          <w:u w:val="none"/>
          <w:lang w:val="en-US" w:eastAsia="zh-CN"/>
        </w:rPr>
      </w:pPr>
      <w:r>
        <w:rPr>
          <w:rFonts w:hint="eastAsia" w:ascii="仿宋" w:hAnsi="仿宋" w:eastAsia="仿宋" w:cs="仿宋"/>
          <w:color w:val="auto"/>
          <w:spacing w:val="-4"/>
          <w:highlight w:val="none"/>
          <w:lang w:val="en-US" w:eastAsia="zh-CN"/>
        </w:rPr>
        <w:t>第一标段：</w:t>
      </w:r>
      <w:r>
        <w:rPr>
          <w:rFonts w:hint="eastAsia" w:ascii="仿宋" w:hAnsi="仿宋" w:eastAsia="仿宋" w:cs="仿宋"/>
          <w:color w:val="auto"/>
          <w:spacing w:val="-4"/>
          <w:sz w:val="28"/>
          <w:szCs w:val="28"/>
          <w:highlight w:val="none"/>
          <w:u w:val="none"/>
          <w:lang w:val="en-US" w:eastAsia="zh-CN"/>
        </w:rPr>
        <w:t>西安邮电大学长安校区基础教学楼B段</w:t>
      </w:r>
    </w:p>
    <w:p w14:paraId="60D48151">
      <w:pPr>
        <w:keepNext w:val="0"/>
        <w:keepLines w:val="0"/>
        <w:pageBreakBefore w:val="0"/>
        <w:numPr>
          <w:ilvl w:val="0"/>
          <w:numId w:val="0"/>
        </w:numPr>
        <w:kinsoku/>
        <w:wordWrap/>
        <w:overflowPunct/>
        <w:topLinePunct w:val="0"/>
        <w:bidi w:val="0"/>
        <w:spacing w:beforeLines="0" w:afterLines="0" w:line="500" w:lineRule="exact"/>
        <w:ind w:firstLine="550" w:firstLineChars="200"/>
        <w:jc w:val="both"/>
        <w:textAlignment w:val="auto"/>
        <w:outlineLvl w:val="0"/>
        <w:rPr>
          <w:rFonts w:hint="eastAsia" w:ascii="仿宋" w:hAnsi="仿宋" w:eastAsia="仿宋" w:cs="仿宋"/>
          <w:color w:val="auto"/>
          <w:highlight w:val="none"/>
          <w:lang w:val="en-US" w:eastAsia="zh-CN"/>
        </w:rPr>
      </w:pPr>
      <w:r>
        <w:rPr>
          <w:rFonts w:hint="eastAsia" w:ascii="仿宋" w:hAnsi="仿宋" w:eastAsia="仿宋" w:cs="仿宋"/>
          <w:color w:val="auto"/>
          <w:spacing w:val="-4"/>
          <w:sz w:val="28"/>
          <w:szCs w:val="28"/>
          <w:highlight w:val="none"/>
          <w:u w:val="none"/>
          <w:lang w:val="en-US" w:eastAsia="zh-CN"/>
        </w:rPr>
        <w:t>第二标段：西安邮电大学雁塔校区南院7号楼</w:t>
      </w:r>
    </w:p>
    <w:p w14:paraId="6E3CFEBC">
      <w:pPr>
        <w:keepNext/>
        <w:keepLines/>
        <w:numPr>
          <w:ilvl w:val="0"/>
          <w:numId w:val="3"/>
        </w:numPr>
        <w:spacing w:beforeLines="0" w:afterLines="0" w:line="500" w:lineRule="exact"/>
        <w:ind w:firstLine="566" w:firstLineChars="200"/>
        <w:rPr>
          <w:rFonts w:hint="eastAsia" w:ascii="仿宋" w:hAnsi="仿宋" w:eastAsia="仿宋" w:cs="仿宋"/>
          <w:b/>
          <w:bCs/>
          <w:color w:val="auto"/>
          <w:highlight w:val="none"/>
        </w:rPr>
      </w:pPr>
      <w:r>
        <w:rPr>
          <w:rFonts w:hint="eastAsia" w:ascii="仿宋" w:hAnsi="仿宋" w:eastAsia="仿宋" w:cs="仿宋"/>
          <w:b/>
          <w:bCs/>
          <w:color w:val="auto"/>
          <w:highlight w:val="none"/>
        </w:rPr>
        <w:t>交货期：</w:t>
      </w:r>
    </w:p>
    <w:p w14:paraId="0139A5E0">
      <w:pPr>
        <w:keepNext/>
        <w:keepLines/>
        <w:numPr>
          <w:ilvl w:val="-1"/>
          <w:numId w:val="0"/>
        </w:numPr>
        <w:spacing w:beforeLines="0" w:afterLines="0" w:line="500" w:lineRule="exact"/>
        <w:ind w:firstLine="566" w:firstLineChars="200"/>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第一标段：2026年8月15日之前。</w:t>
      </w:r>
    </w:p>
    <w:p w14:paraId="624B0C8D">
      <w:pPr>
        <w:keepNext/>
        <w:keepLines/>
        <w:spacing w:beforeLines="0" w:afterLines="0" w:line="500" w:lineRule="exact"/>
        <w:ind w:firstLine="566"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第二标段：</w:t>
      </w:r>
      <w:r>
        <w:rPr>
          <w:rFonts w:hint="eastAsia" w:ascii="仿宋" w:hAnsi="仿宋" w:eastAsia="仿宋" w:cs="仿宋"/>
          <w:color w:val="auto"/>
          <w:sz w:val="28"/>
          <w:szCs w:val="28"/>
          <w:highlight w:val="none"/>
          <w:u w:val="none"/>
          <w:lang w:val="en-US" w:eastAsia="zh-CN"/>
        </w:rPr>
        <w:t>合同签订后30个日历日内完成全部供货、安装、交付验收。</w:t>
      </w:r>
    </w:p>
    <w:p w14:paraId="7F50C145">
      <w:pPr>
        <w:keepNext/>
        <w:keepLines/>
        <w:numPr>
          <w:ilvl w:val="0"/>
          <w:numId w:val="3"/>
        </w:numPr>
        <w:spacing w:beforeLines="0" w:afterLines="0" w:line="500" w:lineRule="exact"/>
        <w:ind w:firstLine="566" w:firstLineChars="200"/>
        <w:rPr>
          <w:rFonts w:hint="eastAsia" w:ascii="仿宋" w:hAnsi="仿宋" w:eastAsia="仿宋" w:cs="仿宋"/>
          <w:color w:val="auto"/>
          <w:highlight w:val="none"/>
          <w:lang w:val="en-US" w:eastAsia="zh-CN"/>
        </w:rPr>
      </w:pPr>
      <w:r>
        <w:rPr>
          <w:rFonts w:hint="eastAsia" w:ascii="仿宋" w:hAnsi="仿宋" w:eastAsia="仿宋" w:cs="仿宋"/>
          <w:b/>
          <w:bCs/>
          <w:color w:val="auto"/>
          <w:highlight w:val="none"/>
        </w:rPr>
        <w:t>质保期：</w:t>
      </w:r>
      <w:r>
        <w:rPr>
          <w:rFonts w:hint="eastAsia" w:ascii="仿宋" w:hAnsi="仿宋" w:eastAsia="仿宋" w:cs="仿宋"/>
          <w:b w:val="0"/>
          <w:bCs w:val="0"/>
          <w:color w:val="auto"/>
          <w:spacing w:val="-4"/>
          <w:highlight w:val="none"/>
          <w:lang w:val="en-US" w:eastAsia="zh-CN"/>
        </w:rPr>
        <w:t>5年</w:t>
      </w:r>
      <w:r>
        <w:rPr>
          <w:rFonts w:hint="eastAsia" w:ascii="仿宋" w:hAnsi="仿宋" w:eastAsia="仿宋" w:cs="仿宋"/>
          <w:color w:val="auto"/>
          <w:highlight w:val="none"/>
          <w:lang w:val="en-US" w:eastAsia="zh-CN"/>
        </w:rPr>
        <w:t>。</w:t>
      </w:r>
    </w:p>
    <w:p w14:paraId="6AB65401">
      <w:pPr>
        <w:pStyle w:val="5"/>
        <w:spacing w:line="500" w:lineRule="exact"/>
        <w:ind w:firstLine="566" w:firstLineChars="200"/>
        <w:rPr>
          <w:rFonts w:ascii="仿宋" w:hAnsi="仿宋" w:eastAsia="仿宋" w:cs="仿宋"/>
          <w:color w:val="auto"/>
          <w:kern w:val="2"/>
          <w:sz w:val="28"/>
          <w:szCs w:val="28"/>
          <w:highlight w:val="none"/>
        </w:rPr>
      </w:pPr>
      <w:bookmarkStart w:id="249" w:name="_Toc30438"/>
      <w:bookmarkStart w:id="250" w:name="_Toc29874"/>
      <w:r>
        <w:rPr>
          <w:rFonts w:hint="eastAsia" w:ascii="仿宋" w:hAnsi="仿宋" w:eastAsia="仿宋" w:cs="仿宋"/>
          <w:color w:val="auto"/>
          <w:kern w:val="2"/>
          <w:sz w:val="28"/>
          <w:szCs w:val="28"/>
          <w:highlight w:val="none"/>
        </w:rPr>
        <w:t>二、合同价款</w:t>
      </w:r>
      <w:bookmarkEnd w:id="249"/>
      <w:bookmarkEnd w:id="250"/>
    </w:p>
    <w:p w14:paraId="605B9D56">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合同总价一次性包死，不受市场价格变化因素</w:t>
      </w:r>
      <w:r>
        <w:rPr>
          <w:rFonts w:hint="eastAsia" w:ascii="仿宋" w:hAnsi="仿宋" w:eastAsia="仿宋" w:cs="仿宋"/>
          <w:b w:val="0"/>
          <w:bCs w:val="0"/>
          <w:color w:val="auto"/>
          <w:sz w:val="28"/>
          <w:szCs w:val="28"/>
          <w:highlight w:val="none"/>
          <w:u w:val="none"/>
          <w:lang w:val="en-US" w:eastAsia="zh-CN"/>
        </w:rPr>
        <w:t>和空调安装位置</w:t>
      </w:r>
      <w:r>
        <w:rPr>
          <w:rFonts w:hint="eastAsia" w:ascii="仿宋" w:hAnsi="仿宋" w:eastAsia="仿宋" w:cs="仿宋"/>
          <w:color w:val="auto"/>
          <w:highlight w:val="none"/>
        </w:rPr>
        <w:t>的影响。</w:t>
      </w:r>
    </w:p>
    <w:p w14:paraId="29ECDB1A">
      <w:pPr>
        <w:pStyle w:val="5"/>
        <w:spacing w:line="500" w:lineRule="exact"/>
        <w:ind w:firstLine="566" w:firstLineChars="200"/>
        <w:rPr>
          <w:rFonts w:ascii="仿宋" w:hAnsi="仿宋" w:eastAsia="仿宋" w:cs="仿宋"/>
          <w:color w:val="auto"/>
          <w:kern w:val="2"/>
          <w:sz w:val="28"/>
          <w:szCs w:val="28"/>
          <w:highlight w:val="none"/>
        </w:rPr>
      </w:pPr>
      <w:bookmarkStart w:id="251" w:name="_Toc6310"/>
      <w:bookmarkStart w:id="252" w:name="_Toc9960"/>
      <w:r>
        <w:rPr>
          <w:rFonts w:hint="eastAsia" w:ascii="仿宋" w:hAnsi="仿宋" w:eastAsia="仿宋" w:cs="仿宋"/>
          <w:color w:val="auto"/>
          <w:kern w:val="2"/>
          <w:sz w:val="28"/>
          <w:szCs w:val="28"/>
          <w:highlight w:val="none"/>
        </w:rPr>
        <w:t>三、款项结算</w:t>
      </w:r>
      <w:bookmarkEnd w:id="251"/>
      <w:bookmarkEnd w:id="252"/>
    </w:p>
    <w:p w14:paraId="12980E78">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（一）支付方式：银行转账</w:t>
      </w:r>
    </w:p>
    <w:p w14:paraId="33FC4F63">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（二）货币单位：人民币</w:t>
      </w:r>
    </w:p>
    <w:p w14:paraId="11622FAE">
      <w:pPr>
        <w:keepNext/>
        <w:keepLines/>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（三）结算方式：</w:t>
      </w:r>
    </w:p>
    <w:p w14:paraId="70CB81F0">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本项目</w:t>
      </w:r>
      <w:r>
        <w:rPr>
          <w:rFonts w:hint="eastAsia" w:ascii="仿宋" w:hAnsi="仿宋" w:eastAsia="仿宋" w:cs="仿宋"/>
          <w:color w:val="auto"/>
          <w:highlight w:val="none"/>
          <w:lang w:val="en-US" w:eastAsia="zh-CN"/>
        </w:rPr>
        <w:t>合同签订后10个工作日支付合同款的40%</w:t>
      </w:r>
      <w:r>
        <w:rPr>
          <w:rFonts w:hint="eastAsia" w:ascii="仿宋" w:hAnsi="仿宋" w:eastAsia="仿宋" w:cs="仿宋"/>
          <w:color w:val="auto"/>
          <w:highlight w:val="none"/>
        </w:rPr>
        <w:t>，全部</w:t>
      </w:r>
      <w:r>
        <w:rPr>
          <w:rFonts w:hint="eastAsia" w:ascii="仿宋" w:hAnsi="仿宋" w:eastAsia="仿宋" w:cs="仿宋"/>
          <w:color w:val="auto"/>
          <w:highlight w:val="none"/>
          <w:lang w:val="en-US" w:eastAsia="zh-CN"/>
        </w:rPr>
        <w:t>货物安装到位</w:t>
      </w:r>
      <w:r>
        <w:rPr>
          <w:rFonts w:hint="eastAsia" w:ascii="仿宋" w:hAnsi="仿宋" w:eastAsia="仿宋" w:cs="仿宋"/>
          <w:color w:val="auto"/>
          <w:highlight w:val="none"/>
        </w:rPr>
        <w:t>，验收合格后，</w:t>
      </w:r>
      <w:r>
        <w:rPr>
          <w:rFonts w:hint="eastAsia" w:ascii="仿宋" w:hAnsi="仿宋" w:eastAsia="仿宋" w:cs="仿宋"/>
          <w:color w:val="auto"/>
          <w:highlight w:val="none"/>
          <w:lang w:val="en-US" w:eastAsia="zh-CN"/>
        </w:rPr>
        <w:t xml:space="preserve">10工作日内支付合同款的60% </w:t>
      </w:r>
      <w:r>
        <w:rPr>
          <w:rFonts w:hint="eastAsia" w:ascii="仿宋" w:hAnsi="仿宋" w:eastAsia="仿宋" w:cs="仿宋"/>
          <w:color w:val="auto"/>
          <w:highlight w:val="none"/>
        </w:rPr>
        <w:t>。</w:t>
      </w:r>
    </w:p>
    <w:p w14:paraId="7592A935">
      <w:pPr>
        <w:widowControl w:val="0"/>
        <w:spacing w:line="500" w:lineRule="exact"/>
        <w:ind w:firstLine="566" w:firstLineChars="200"/>
        <w:rPr>
          <w:rFonts w:hint="eastAsia" w:ascii="仿宋" w:hAnsi="仿宋" w:eastAsia="仿宋" w:cs="仿宋"/>
          <w:strike/>
          <w:color w:val="auto"/>
          <w:highlight w:val="none"/>
          <w:lang w:eastAsia="zh-CN"/>
        </w:rPr>
      </w:pPr>
      <w:r>
        <w:rPr>
          <w:rFonts w:hint="eastAsia" w:ascii="仿宋" w:hAnsi="仿宋" w:eastAsia="仿宋" w:cs="仿宋"/>
          <w:color w:val="auto"/>
          <w:highlight w:val="none"/>
        </w:rPr>
        <w:t>（四）履约保证金</w:t>
      </w:r>
    </w:p>
    <w:p w14:paraId="0E6A37DD">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1、履约保证金的收取</w:t>
      </w:r>
    </w:p>
    <w:p w14:paraId="31DBADDB">
      <w:pPr>
        <w:widowControl w:val="0"/>
        <w:spacing w:line="500" w:lineRule="exact"/>
        <w:ind w:firstLine="566" w:firstLineChars="200"/>
        <w:rPr>
          <w:rFonts w:hint="default" w:ascii="仿宋" w:hAnsi="仿宋" w:eastAsia="仿宋" w:cs="仿宋"/>
          <w:color w:val="auto"/>
          <w:highlight w:val="none"/>
          <w:lang w:val="en-US"/>
        </w:rPr>
      </w:pPr>
      <w:r>
        <w:rPr>
          <w:rFonts w:hint="eastAsia" w:ascii="仿宋" w:hAnsi="仿宋" w:eastAsia="仿宋" w:cs="仿宋"/>
          <w:color w:val="auto"/>
          <w:highlight w:val="none"/>
        </w:rPr>
        <w:t>成交后，成交供应商须向采购人交纳履约保证金（履约保证金应采取支票、本票、汇票、保函等非现金形式提交），履约保证金的数额为合同金额的5%（取整）。</w:t>
      </w:r>
      <w:r>
        <w:rPr>
          <w:rFonts w:hint="eastAsia" w:ascii="仿宋" w:hAnsi="仿宋" w:eastAsia="仿宋" w:cs="仿宋"/>
          <w:color w:val="auto"/>
          <w:highlight w:val="none"/>
          <w:lang w:val="en-US" w:eastAsia="zh-CN"/>
        </w:rPr>
        <w:t>具体金额及支付方式由采购人与成交供应商商定。</w:t>
      </w:r>
    </w:p>
    <w:p w14:paraId="727E8747">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2、退还的时间及方式</w:t>
      </w:r>
    </w:p>
    <w:p w14:paraId="2631912F">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（1）成交供应商在合同履约完成且双方无争议后，采购人在</w:t>
      </w:r>
      <w:r>
        <w:rPr>
          <w:rFonts w:hint="eastAsia" w:ascii="仿宋" w:hAnsi="仿宋" w:eastAsia="仿宋" w:cs="仿宋"/>
          <w:color w:val="auto"/>
          <w:highlight w:val="none"/>
          <w:lang w:val="en-US" w:eastAsia="zh-CN"/>
        </w:rPr>
        <w:t>10</w:t>
      </w:r>
      <w:r>
        <w:rPr>
          <w:rFonts w:hint="eastAsia" w:ascii="仿宋" w:hAnsi="仿宋" w:eastAsia="仿宋" w:cs="仿宋"/>
          <w:color w:val="auto"/>
          <w:highlight w:val="none"/>
        </w:rPr>
        <w:t>个工作日内，全额无息退还履约保证金。</w:t>
      </w:r>
    </w:p>
    <w:p w14:paraId="566C7CC7">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（2）退还方式：按照原方式退回</w:t>
      </w:r>
    </w:p>
    <w:p w14:paraId="49D3D001">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3、不予退还的情形和逾期退还的违约责任由采购人与成交供应商在政府采购合同中进一步明确。</w:t>
      </w:r>
    </w:p>
    <w:p w14:paraId="39A2A952">
      <w:pPr>
        <w:widowControl/>
        <w:spacing w:line="240" w:lineRule="auto"/>
        <w:ind w:firstLine="426" w:firstLineChars="200"/>
        <w:rPr>
          <w:rFonts w:hint="eastAsia" w:ascii="仿宋" w:hAnsi="仿宋" w:eastAsia="仿宋" w:cs="仿宋"/>
          <w:b w:val="0"/>
          <w:bCs w:val="0"/>
          <w:color w:val="auto"/>
          <w:sz w:val="21"/>
          <w:szCs w:val="21"/>
          <w:highlight w:val="none"/>
        </w:rPr>
      </w:pPr>
      <w:r>
        <w:rPr>
          <w:rFonts w:hint="eastAsia" w:ascii="仿宋" w:hAnsi="仿宋" w:eastAsia="仿宋" w:cs="仿宋"/>
          <w:b w:val="0"/>
          <w:bCs w:val="0"/>
          <w:color w:val="auto"/>
          <w:sz w:val="21"/>
          <w:szCs w:val="21"/>
          <w:highlight w:val="none"/>
        </w:rPr>
        <w:t>备注：履约保证金的相关事宜，按照《陕西省财政厅关于进一步加大政府采购支持中小企业力度的通知》（陕财办采〔2022〕5号）的有关规定执行。</w:t>
      </w:r>
    </w:p>
    <w:p w14:paraId="1B05781D">
      <w:pPr>
        <w:widowControl w:val="0"/>
        <w:spacing w:line="500" w:lineRule="exact"/>
        <w:ind w:firstLine="566" w:firstLineChars="200"/>
        <w:outlineLvl w:val="1"/>
        <w:rPr>
          <w:rFonts w:ascii="仿宋" w:hAnsi="仿宋" w:eastAsia="仿宋" w:cs="仿宋"/>
          <w:b/>
          <w:bCs/>
          <w:color w:val="auto"/>
          <w:highlight w:val="none"/>
        </w:rPr>
      </w:pPr>
      <w:bookmarkStart w:id="253" w:name="_Toc153"/>
      <w:bookmarkStart w:id="254" w:name="_Toc20193"/>
      <w:r>
        <w:rPr>
          <w:rFonts w:hint="eastAsia" w:ascii="仿宋" w:hAnsi="仿宋" w:eastAsia="仿宋" w:cs="仿宋"/>
          <w:b/>
          <w:bCs/>
          <w:color w:val="auto"/>
          <w:highlight w:val="none"/>
        </w:rPr>
        <w:t>四、在签订合同前，成交供应商应按照谈判文件第三章《采购内容及采购要求》中所有承诺事项要求落实，如未在规定时限内按要求完成所承诺事项的，则视为主动放弃成交资格。</w:t>
      </w:r>
      <w:bookmarkEnd w:id="253"/>
      <w:bookmarkEnd w:id="254"/>
    </w:p>
    <w:p w14:paraId="1A9E37B0">
      <w:pPr>
        <w:widowControl w:val="0"/>
        <w:adjustRightInd w:val="0"/>
        <w:snapToGrid w:val="0"/>
        <w:spacing w:line="500" w:lineRule="exact"/>
        <w:ind w:firstLine="566" w:firstLineChars="200"/>
        <w:outlineLvl w:val="1"/>
        <w:rPr>
          <w:rFonts w:ascii="仿宋" w:hAnsi="仿宋" w:eastAsia="仿宋" w:cs="仿宋"/>
          <w:b/>
          <w:bCs/>
          <w:color w:val="auto"/>
          <w:highlight w:val="none"/>
        </w:rPr>
      </w:pPr>
      <w:bookmarkStart w:id="255" w:name="_Toc15532"/>
      <w:bookmarkStart w:id="256" w:name="_Toc30650"/>
      <w:r>
        <w:rPr>
          <w:rFonts w:hint="eastAsia" w:ascii="仿宋" w:hAnsi="仿宋" w:eastAsia="仿宋" w:cs="仿宋"/>
          <w:b/>
          <w:bCs/>
          <w:color w:val="auto"/>
          <w:highlight w:val="none"/>
        </w:rPr>
        <w:t>五、运输及包装</w:t>
      </w:r>
      <w:bookmarkEnd w:id="255"/>
      <w:bookmarkEnd w:id="256"/>
    </w:p>
    <w:p w14:paraId="4C650023">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（一）运输由成交供应商负责，运杂费已包含在合同总价内。</w:t>
      </w:r>
    </w:p>
    <w:p w14:paraId="6AF84A89">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二）运输方式由成交供应商自行选择，保证采购人收到的是无任何损伤的货物，否则，因此造成的损失由成交供应商自行承担。同时，成交供应商必须保证如期交付，不得断货，否则，因断货造成的损失由成交供应商负责赔偿。</w:t>
      </w:r>
    </w:p>
    <w:p w14:paraId="5C491E45">
      <w:pPr>
        <w:pStyle w:val="2"/>
        <w:widowControl w:val="0"/>
        <w:numPr>
          <w:ilvl w:val="255"/>
          <w:numId w:val="0"/>
        </w:numPr>
        <w:spacing w:afterLines="0" w:line="500" w:lineRule="exact"/>
        <w:ind w:firstLine="566" w:firstLineChars="200"/>
        <w:rPr>
          <w:rFonts w:ascii="仿宋" w:hAnsi="仿宋" w:eastAsia="仿宋" w:cs="仿宋"/>
          <w:color w:val="auto"/>
          <w:sz w:val="28"/>
          <w:highlight w:val="none"/>
        </w:rPr>
      </w:pPr>
      <w:r>
        <w:rPr>
          <w:rFonts w:hint="eastAsia" w:ascii="仿宋" w:hAnsi="仿宋" w:eastAsia="仿宋" w:cs="仿宋"/>
          <w:color w:val="auto"/>
          <w:sz w:val="28"/>
          <w:highlight w:val="none"/>
        </w:rPr>
        <w:t>（三）成交供应商提供的产品及相关快递服务的包装要求，按照《商品包装政府采购需求标准（试行）》、《快递包装政府采购需求标准（试行）》执行。</w:t>
      </w:r>
    </w:p>
    <w:p w14:paraId="73114C3E">
      <w:pPr>
        <w:pStyle w:val="5"/>
        <w:keepNext w:val="0"/>
        <w:keepLines w:val="0"/>
        <w:widowControl w:val="0"/>
        <w:spacing w:line="500" w:lineRule="exact"/>
        <w:ind w:firstLine="566" w:firstLineChars="200"/>
        <w:rPr>
          <w:rFonts w:hint="eastAsia" w:ascii="仿宋" w:hAnsi="仿宋" w:eastAsia="仿宋" w:cs="仿宋"/>
          <w:color w:val="auto"/>
          <w:kern w:val="2"/>
          <w:sz w:val="28"/>
          <w:szCs w:val="28"/>
          <w:highlight w:val="none"/>
          <w:lang w:eastAsia="zh-CN"/>
        </w:rPr>
      </w:pPr>
      <w:bookmarkStart w:id="257" w:name="_Toc22790"/>
      <w:bookmarkStart w:id="258" w:name="_Toc17959"/>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lang w:val="en-US" w:eastAsia="zh-CN"/>
        </w:rPr>
        <w:t>四</w:t>
      </w:r>
      <w:r>
        <w:rPr>
          <w:rFonts w:hint="eastAsia" w:ascii="仿宋" w:hAnsi="仿宋" w:eastAsia="仿宋" w:cs="仿宋"/>
          <w:color w:val="auto"/>
          <w:kern w:val="2"/>
          <w:sz w:val="28"/>
          <w:szCs w:val="28"/>
          <w:highlight w:val="none"/>
          <w:lang w:eastAsia="zh-CN"/>
        </w:rPr>
        <w:t>）</w:t>
      </w:r>
      <w:r>
        <w:rPr>
          <w:rFonts w:hint="eastAsia" w:ascii="仿宋" w:hAnsi="仿宋" w:eastAsia="仿宋" w:cs="仿宋"/>
          <w:color w:val="auto"/>
          <w:kern w:val="2"/>
          <w:sz w:val="28"/>
          <w:szCs w:val="28"/>
          <w:highlight w:val="none"/>
          <w:lang w:val="en-US" w:eastAsia="zh-CN"/>
        </w:rPr>
        <w:t xml:space="preserve">所有家具产品采用防潮、防震、防刮专用包装，分类打包、标识清晰，运输过程中做好防护，杜绝磕碰、变形、漆面损坏、板材受潮等问题，运输、装卸费用全部由供应商承担； </w:t>
      </w:r>
    </w:p>
    <w:p w14:paraId="39DA2503">
      <w:pPr>
        <w:pStyle w:val="5"/>
        <w:keepNext w:val="0"/>
        <w:keepLines w:val="0"/>
        <w:widowControl w:val="0"/>
        <w:spacing w:line="500" w:lineRule="exact"/>
        <w:ind w:firstLine="566" w:firstLineChars="200"/>
        <w:rPr>
          <w:rFonts w:ascii="仿宋" w:hAnsi="仿宋" w:eastAsia="仿宋" w:cs="仿宋"/>
          <w:color w:val="auto"/>
          <w:sz w:val="28"/>
          <w:szCs w:val="28"/>
          <w:highlight w:val="none"/>
        </w:rPr>
      </w:pPr>
      <w:r>
        <w:rPr>
          <w:rFonts w:hint="eastAsia" w:ascii="仿宋" w:hAnsi="仿宋" w:eastAsia="仿宋" w:cs="仿宋"/>
          <w:color w:val="auto"/>
          <w:kern w:val="2"/>
          <w:sz w:val="28"/>
          <w:szCs w:val="28"/>
          <w:highlight w:val="none"/>
        </w:rPr>
        <w:t>六、</w:t>
      </w:r>
      <w:r>
        <w:rPr>
          <w:rFonts w:hint="eastAsia" w:ascii="仿宋" w:hAnsi="仿宋" w:eastAsia="仿宋" w:cs="仿宋"/>
          <w:color w:val="auto"/>
          <w:sz w:val="28"/>
          <w:szCs w:val="28"/>
          <w:highlight w:val="none"/>
        </w:rPr>
        <w:t>验收</w:t>
      </w:r>
      <w:bookmarkEnd w:id="257"/>
      <w:bookmarkEnd w:id="258"/>
    </w:p>
    <w:p w14:paraId="4272C1C0">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成交供应商货物经过双方检验认可后，签署验收报告，产品保修期自验收合格之日起算，由成交供应商提供产品保修文件。</w:t>
      </w:r>
    </w:p>
    <w:p w14:paraId="7B852D8F">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当满足以下条件时，采购人才向成交供应商签发货物验收报告：</w:t>
      </w:r>
    </w:p>
    <w:p w14:paraId="48399EA3">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（一）成交供应商已按照合同规定提供了全部产品及完整的技术资料。</w:t>
      </w:r>
    </w:p>
    <w:p w14:paraId="157644FE">
      <w:pPr>
        <w:widowControl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（二）货物符合谈判文件和响应文件技术规格要求，性能满足要求。</w:t>
      </w:r>
    </w:p>
    <w:p w14:paraId="47F537AC">
      <w:pPr>
        <w:widowControl w:val="0"/>
        <w:spacing w:line="500" w:lineRule="exact"/>
        <w:ind w:firstLine="566"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rPr>
        <w:t>（三）</w:t>
      </w:r>
      <w:r>
        <w:rPr>
          <w:rFonts w:hint="eastAsia" w:ascii="仿宋" w:hAnsi="仿宋" w:eastAsia="仿宋" w:cs="仿宋"/>
          <w:color w:val="auto"/>
          <w:highlight w:val="none"/>
          <w:lang w:val="en-US" w:eastAsia="zh-CN"/>
        </w:rPr>
        <w:t>本项目验收严格按照国家行业标准、招标文件要求、投标承诺及合同约定执行。验收内容包含产品规格参数、材质工艺、环保指标、安全性能、外观质量、安装效果、使用功能等。所有产品甲醛释放量、重金属等环保指标达标，结构安全稳固、无破损、无变形、无异味，安装规范、功能齐全，整体符合校园公寓使用标准，一次性验收合格。若验收不合格，供应商需无条件免费整改、更换，直至验收合格，承担全部整改费用及逾期责任。。</w:t>
      </w:r>
    </w:p>
    <w:p w14:paraId="4DF202F0">
      <w:pPr>
        <w:widowControl w:val="0"/>
        <w:spacing w:line="500" w:lineRule="exact"/>
        <w:ind w:firstLine="566" w:firstLineChars="200"/>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（四）成交供应商未按合同要求提供服务或服务质量不能满足合同要求，采购人有权依据《中华人民共和国民法典》有关条款及合同约定终止合同，并要求成交供应商承担违约责任。</w:t>
      </w:r>
    </w:p>
    <w:p w14:paraId="11DCE0DC">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lang w:val="en-US" w:eastAsia="zh-CN"/>
        </w:rPr>
      </w:pPr>
      <w:bookmarkStart w:id="259" w:name="_Toc15904"/>
      <w:bookmarkStart w:id="260" w:name="_Toc19764"/>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五</w:t>
      </w:r>
      <w:r>
        <w:rPr>
          <w:rFonts w:hint="eastAsia" w:ascii="仿宋" w:hAnsi="仿宋" w:eastAsia="仿宋" w:cs="仿宋"/>
          <w:b w:val="0"/>
          <w:bCs w:val="0"/>
          <w:color w:val="auto"/>
          <w:kern w:val="2"/>
          <w:sz w:val="28"/>
          <w:szCs w:val="28"/>
          <w:highlight w:val="none"/>
          <w:lang w:eastAsia="zh-CN"/>
        </w:rPr>
        <w:t>）</w:t>
      </w:r>
      <w:r>
        <w:rPr>
          <w:rFonts w:hint="eastAsia" w:ascii="仿宋" w:hAnsi="仿宋" w:eastAsia="仿宋" w:cs="仿宋"/>
          <w:b w:val="0"/>
          <w:bCs w:val="0"/>
          <w:color w:val="auto"/>
          <w:kern w:val="2"/>
          <w:sz w:val="28"/>
          <w:szCs w:val="28"/>
          <w:highlight w:val="none"/>
          <w:lang w:val="en-US" w:eastAsia="zh-CN"/>
        </w:rPr>
        <w:t xml:space="preserve">严格按照政府采购相关法律法规以及《财政部关于进一步加强政府采购需求和履约验收管理的指导意见》（财库【2016】205号）的要求，文件中的相关规定，合同条款要求及相关法律法规或行业规定等进行验收。 </w:t>
      </w:r>
    </w:p>
    <w:p w14:paraId="79BBB14D">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验收主体：由西安邮电大学后勤管理部门、采购管理部门及相关工作人员组成验收小组开展验收工作；</w:t>
      </w:r>
    </w:p>
    <w:p w14:paraId="06C181C4">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验收方法：采用现场查验、实物核对、功能测试、资料审核相结合的方式；</w:t>
      </w:r>
    </w:p>
    <w:p w14:paraId="04304881">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验收程序：供应商完成供货安装后提交验收申请→验收小组现场核查产品数量、规格、材质、工艺、安装质量、使用功能→核对产品检测报告、合格证明等资料→出具验收结论，合格则签字确认，不合格则限期整改复验；</w:t>
      </w:r>
    </w:p>
    <w:p w14:paraId="2DDDEBF1">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lang w:val="en-US" w:eastAsia="zh-CN"/>
        </w:rPr>
      </w:pPr>
      <w:r>
        <w:rPr>
          <w:rFonts w:hint="eastAsia" w:ascii="仿宋" w:hAnsi="仿宋" w:eastAsia="仿宋" w:cs="仿宋"/>
          <w:b w:val="0"/>
          <w:bCs w:val="0"/>
          <w:color w:val="auto"/>
          <w:kern w:val="2"/>
          <w:sz w:val="28"/>
          <w:szCs w:val="28"/>
          <w:highlight w:val="none"/>
          <w:lang w:val="en-US" w:eastAsia="zh-CN"/>
        </w:rPr>
        <w:t>验收内容：产品数量、规格参数、材质标准、环保指标、安全性能、安装质量、外观完整性、使用功能、售后服务资料等；</w:t>
      </w:r>
    </w:p>
    <w:p w14:paraId="1608B07F">
      <w:pPr>
        <w:pStyle w:val="5"/>
        <w:keepNext w:val="0"/>
        <w:keepLines w:val="0"/>
        <w:widowControl w:val="0"/>
        <w:kinsoku w:val="0"/>
        <w:overflowPunct w:val="0"/>
        <w:autoSpaceDE w:val="0"/>
        <w:autoSpaceDN w:val="0"/>
        <w:spacing w:line="500" w:lineRule="exact"/>
        <w:ind w:firstLine="566" w:firstLineChars="200"/>
        <w:rPr>
          <w:rFonts w:hint="eastAsia" w:ascii="仿宋" w:hAnsi="仿宋" w:eastAsia="仿宋" w:cs="仿宋"/>
          <w:b w:val="0"/>
          <w:bCs w:val="0"/>
          <w:color w:val="auto"/>
          <w:kern w:val="2"/>
          <w:sz w:val="28"/>
          <w:szCs w:val="28"/>
          <w:highlight w:val="none"/>
        </w:rPr>
      </w:pPr>
      <w:r>
        <w:rPr>
          <w:rFonts w:hint="eastAsia" w:ascii="仿宋" w:hAnsi="仿宋" w:eastAsia="仿宋" w:cs="仿宋"/>
          <w:b w:val="0"/>
          <w:bCs w:val="0"/>
          <w:color w:val="auto"/>
          <w:kern w:val="2"/>
          <w:sz w:val="28"/>
          <w:szCs w:val="28"/>
          <w:highlight w:val="none"/>
          <w:lang w:val="en-US" w:eastAsia="zh-CN"/>
        </w:rPr>
        <w:t xml:space="preserve">验收标准：严格按照招标文件、投标文件、合同约定及国家现行行业标准执行，全部指标达标即为验收合格。 </w:t>
      </w:r>
    </w:p>
    <w:p w14:paraId="6932269E">
      <w:pPr>
        <w:pStyle w:val="5"/>
        <w:keepNext w:val="0"/>
        <w:keepLines w:val="0"/>
        <w:widowControl w:val="0"/>
        <w:kinsoku w:val="0"/>
        <w:overflowPunct w:val="0"/>
        <w:autoSpaceDE w:val="0"/>
        <w:autoSpaceDN w:val="0"/>
        <w:spacing w:line="500" w:lineRule="exact"/>
        <w:ind w:firstLine="566" w:firstLineChars="200"/>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七、产品保修</w:t>
      </w:r>
      <w:bookmarkEnd w:id="259"/>
      <w:bookmarkEnd w:id="260"/>
      <w:r>
        <w:rPr>
          <w:rFonts w:hint="eastAsia" w:ascii="仿宋" w:hAnsi="仿宋" w:eastAsia="仿宋" w:cs="仿宋"/>
          <w:color w:val="auto"/>
          <w:sz w:val="28"/>
          <w:szCs w:val="28"/>
          <w:highlight w:val="none"/>
          <w:lang w:val="en-US" w:eastAsia="zh-CN"/>
        </w:rPr>
        <w:t>及履约</w:t>
      </w:r>
    </w:p>
    <w:p w14:paraId="65D4577F">
      <w:pPr>
        <w:widowControl w:val="0"/>
        <w:numPr>
          <w:ilvl w:val="-1"/>
          <w:numId w:val="0"/>
        </w:numPr>
        <w:wordWrap/>
        <w:overflowPunct/>
        <w:autoSpaceDE/>
        <w:autoSpaceDN/>
        <w:spacing w:afterLines="-2147483648" w:line="500" w:lineRule="exact"/>
        <w:ind w:firstLine="566" w:firstLineChars="200"/>
        <w:rPr>
          <w:rFonts w:hint="default" w:ascii="仿宋" w:hAnsi="仿宋" w:eastAsia="仿宋" w:cs="仿宋"/>
          <w:b w:val="0"/>
          <w:bCs w:val="0"/>
          <w:color w:val="auto"/>
          <w:sz w:val="28"/>
          <w:szCs w:val="28"/>
          <w:highlight w:val="none"/>
          <w:u w:val="none"/>
          <w:lang w:val="en-US" w:eastAsia="zh-CN"/>
        </w:rPr>
      </w:pPr>
      <w:r>
        <w:rPr>
          <w:rFonts w:hint="default" w:ascii="仿宋" w:hAnsi="仿宋" w:eastAsia="仿宋" w:cs="仿宋"/>
          <w:b w:val="0"/>
          <w:bCs w:val="0"/>
          <w:color w:val="auto"/>
          <w:sz w:val="28"/>
          <w:szCs w:val="28"/>
          <w:highlight w:val="none"/>
          <w:u w:val="none"/>
          <w:lang w:val="en-US" w:eastAsia="zh-CN"/>
        </w:rPr>
        <w:t>质保期内，产品出现质量问题、结构损坏、配件故障、环保不达标等所有问题，供应商需在接到采购人通知后24小时内响应，48小时内完成维修、更换；无法现场修复的，需免费更换全新正品同规格产品，承担所有人工、材料、运输费用。因产品质量问题造成安全事故或财产损失的，供应商承担全部责任及损失。质保期内同一问题重复出现2次及以上的，采购人有权要求无条件退换货</w:t>
      </w:r>
      <w:r>
        <w:rPr>
          <w:rFonts w:hint="eastAsia" w:ascii="仿宋" w:hAnsi="仿宋" w:eastAsia="仿宋" w:cs="仿宋"/>
          <w:b w:val="0"/>
          <w:bCs w:val="0"/>
          <w:color w:val="auto"/>
          <w:sz w:val="28"/>
          <w:szCs w:val="28"/>
          <w:highlight w:val="none"/>
          <w:u w:val="none"/>
          <w:lang w:val="en-US" w:eastAsia="zh-CN"/>
        </w:rPr>
        <w:t>。</w:t>
      </w:r>
    </w:p>
    <w:p w14:paraId="60076BC0">
      <w:pPr>
        <w:widowControl w:val="0"/>
        <w:numPr>
          <w:ilvl w:val="-1"/>
          <w:numId w:val="0"/>
        </w:numPr>
        <w:wordWrap/>
        <w:overflowPunct/>
        <w:autoSpaceDE/>
        <w:autoSpaceDN/>
        <w:spacing w:afterLines="0" w:line="500" w:lineRule="exact"/>
        <w:ind w:firstLine="566" w:firstLineChars="200"/>
        <w:rPr>
          <w:rFonts w:hint="eastAsia" w:ascii="仿宋" w:hAnsi="仿宋" w:eastAsia="仿宋" w:cs="仿宋"/>
          <w:sz w:val="28"/>
          <w:szCs w:val="28"/>
          <w:u w:val="single"/>
          <w:lang w:val="en-US" w:eastAsia="zh-CN"/>
        </w:rPr>
      </w:pPr>
      <w:r>
        <w:rPr>
          <w:rFonts w:hint="eastAsia" w:ascii="仿宋" w:hAnsi="仿宋" w:eastAsia="仿宋" w:cs="仿宋"/>
          <w:b/>
          <w:bCs/>
          <w:sz w:val="28"/>
          <w:szCs w:val="28"/>
          <w:u w:val="none"/>
          <w:lang w:val="en-US" w:eastAsia="zh-CN"/>
        </w:rPr>
        <w:t>八、采购人、成交供应商的权利义务</w:t>
      </w:r>
    </w:p>
    <w:p w14:paraId="5417E5F5">
      <w:pPr>
        <w:pStyle w:val="5"/>
        <w:keepNext w:val="0"/>
        <w:keepLines w:val="0"/>
        <w:widowControl w:val="0"/>
        <w:kinsoku/>
        <w:overflowPunct w:val="0"/>
        <w:autoSpaceDE w:val="0"/>
        <w:autoSpaceDN w:val="0"/>
        <w:spacing w:afterLines="0" w:line="500" w:lineRule="exact"/>
        <w:ind w:firstLine="566" w:firstLineChars="200"/>
        <w:rPr>
          <w:rFonts w:hint="eastAsia" w:ascii="仿宋" w:hAnsi="仿宋" w:eastAsia="仿宋" w:cs="仿宋"/>
          <w:b w:val="0"/>
          <w:bCs w:val="0"/>
          <w:color w:val="auto"/>
          <w:kern w:val="2"/>
          <w:sz w:val="28"/>
          <w:szCs w:val="28"/>
          <w:highlight w:val="none"/>
          <w:u w:val="none"/>
          <w:lang w:val="en-US" w:eastAsia="zh-CN"/>
        </w:rPr>
      </w:pPr>
      <w:bookmarkStart w:id="261" w:name="_Toc32572"/>
      <w:bookmarkStart w:id="262" w:name="_Toc2893"/>
      <w:r>
        <w:rPr>
          <w:rFonts w:hint="eastAsia" w:ascii="仿宋" w:hAnsi="仿宋" w:eastAsia="仿宋" w:cs="仿宋"/>
          <w:b w:val="0"/>
          <w:bCs w:val="0"/>
          <w:color w:val="auto"/>
          <w:kern w:val="2"/>
          <w:sz w:val="28"/>
          <w:szCs w:val="28"/>
          <w:highlight w:val="none"/>
          <w:u w:val="none"/>
          <w:lang w:val="en-US" w:eastAsia="zh-CN"/>
        </w:rPr>
        <w:t>（1）采购人权利义务：采购人有权对货物质量、供货进度、安装施工全过程进行监督、核查、验收；及时配合供应商完成现场对接、场地交付；验收合格后按合同约定及时支付货款；向供应商提供必要的现场施工条件。</w:t>
      </w:r>
    </w:p>
    <w:p w14:paraId="0C19A5AD">
      <w:pPr>
        <w:pStyle w:val="5"/>
        <w:keepNext w:val="0"/>
        <w:keepLines w:val="0"/>
        <w:widowControl w:val="0"/>
        <w:kinsoku/>
        <w:overflowPunct w:val="0"/>
        <w:autoSpaceDE w:val="0"/>
        <w:autoSpaceDN w:val="0"/>
        <w:spacing w:afterLines="0" w:line="500" w:lineRule="exact"/>
        <w:ind w:firstLine="566" w:firstLineChars="200"/>
        <w:rPr>
          <w:rFonts w:hint="eastAsia" w:ascii="仿宋" w:hAnsi="仿宋" w:eastAsia="仿宋" w:cs="仿宋"/>
          <w:b w:val="0"/>
          <w:bCs w:val="0"/>
          <w:color w:val="auto"/>
          <w:kern w:val="2"/>
          <w:sz w:val="28"/>
          <w:szCs w:val="28"/>
          <w:highlight w:val="none"/>
          <w:u w:val="none"/>
          <w:lang w:val="en-US" w:eastAsia="zh-CN"/>
        </w:rPr>
      </w:pPr>
      <w:r>
        <w:rPr>
          <w:rFonts w:hint="eastAsia" w:ascii="仿宋" w:hAnsi="仿宋" w:eastAsia="仿宋" w:cs="仿宋"/>
          <w:b w:val="0"/>
          <w:bCs w:val="0"/>
          <w:color w:val="auto"/>
          <w:kern w:val="2"/>
          <w:sz w:val="28"/>
          <w:szCs w:val="28"/>
          <w:highlight w:val="none"/>
          <w:u w:val="none"/>
          <w:lang w:val="en-US" w:eastAsia="zh-CN"/>
        </w:rPr>
        <w:t>（2）成交供应商权利义务：严格按照招标文件、投标承诺及合同约定供货、安装、交付产品；保证产品质量、环保、安全达标；全程负责施工安全、现场保洁、成品保护；按约定提供售后服务及质保保障；配合采购人完成验收、资料归档等工作；承担施工及供货期间的全部安全责任、质量责任。</w:t>
      </w:r>
    </w:p>
    <w:p w14:paraId="06EAACE0">
      <w:pPr>
        <w:pStyle w:val="5"/>
        <w:keepNext w:val="0"/>
        <w:keepLines w:val="0"/>
        <w:widowControl w:val="0"/>
        <w:kinsoku w:val="0"/>
        <w:overflowPunct w:val="0"/>
        <w:autoSpaceDE w:val="0"/>
        <w:autoSpaceDN w:val="0"/>
        <w:spacing w:afterLines="0" w:line="500" w:lineRule="exact"/>
        <w:ind w:firstLine="566" w:firstLineChars="200"/>
        <w:rPr>
          <w:rFonts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九</w:t>
      </w:r>
      <w:r>
        <w:rPr>
          <w:rFonts w:hint="eastAsia" w:ascii="仿宋" w:hAnsi="仿宋" w:eastAsia="仿宋" w:cs="仿宋"/>
          <w:color w:val="auto"/>
          <w:sz w:val="28"/>
          <w:szCs w:val="28"/>
          <w:highlight w:val="none"/>
        </w:rPr>
        <w:t>、违约责任</w:t>
      </w:r>
      <w:bookmarkEnd w:id="261"/>
      <w:bookmarkEnd w:id="262"/>
    </w:p>
    <w:p w14:paraId="1153B8ED">
      <w:pPr>
        <w:adjustRightInd w:val="0"/>
        <w:snapToGrid w:val="0"/>
        <w:spacing w:line="500" w:lineRule="exact"/>
        <w:ind w:firstLine="566" w:firstLineChars="200"/>
        <w:rPr>
          <w:rFonts w:hint="eastAsia" w:ascii="仿宋" w:hAnsi="仿宋" w:eastAsia="仿宋" w:cs="仿宋"/>
        </w:rPr>
      </w:pPr>
      <w:r>
        <w:rPr>
          <w:rFonts w:hint="eastAsia" w:ascii="仿宋" w:hAnsi="仿宋" w:eastAsia="仿宋" w:cs="仿宋"/>
        </w:rPr>
        <w:t>（一）按《中华人民共和国民法典》中的相关条款执行。</w:t>
      </w:r>
    </w:p>
    <w:p w14:paraId="7889FE74">
      <w:pPr>
        <w:adjustRightInd w:val="0"/>
        <w:snapToGrid w:val="0"/>
        <w:spacing w:line="500" w:lineRule="exact"/>
        <w:ind w:firstLine="566" w:firstLineChars="200"/>
        <w:rPr>
          <w:rFonts w:hint="eastAsia" w:ascii="仿宋" w:hAnsi="仿宋" w:eastAsia="仿宋" w:cs="仿宋"/>
        </w:rPr>
      </w:pPr>
      <w:r>
        <w:rPr>
          <w:rFonts w:hint="eastAsia" w:ascii="仿宋" w:hAnsi="仿宋" w:eastAsia="仿宋" w:cs="仿宋"/>
        </w:rPr>
        <w:t>（二）未按合同要求提供服务或服务质量不能满足合同要求，采购人有权依据《中华人民共和国民法典》有关条款及合同约定终止合同，并要求成交供应商承担违约责任。</w:t>
      </w:r>
    </w:p>
    <w:p w14:paraId="002456FA">
      <w:pPr>
        <w:widowControl w:val="0"/>
        <w:kinsoku w:val="0"/>
        <w:overflowPunct w:val="0"/>
        <w:autoSpaceDE w:val="0"/>
        <w:autoSpaceDN w:val="0"/>
        <w:spacing w:afterLines="0"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成交供应商未按合同约定的交货日期交货的，每逾期一日，向采购人支付逾期交付货物价款的</w:t>
      </w:r>
      <w:r>
        <w:rPr>
          <w:rFonts w:hint="eastAsia" w:ascii="仿宋" w:hAnsi="仿宋" w:eastAsia="仿宋" w:cs="仿宋"/>
          <w:color w:val="auto"/>
          <w:highlight w:val="none"/>
          <w:u w:val="single"/>
          <w:lang w:val="en-US" w:eastAsia="zh-CN"/>
        </w:rPr>
        <w:t>1</w:t>
      </w:r>
      <w:r>
        <w:rPr>
          <w:rFonts w:hint="eastAsia" w:ascii="仿宋" w:hAnsi="仿宋" w:eastAsia="仿宋" w:cs="仿宋"/>
          <w:color w:val="auto"/>
          <w:highlight w:val="none"/>
          <w:u w:val="single"/>
        </w:rPr>
        <w:t>%</w:t>
      </w:r>
      <w:r>
        <w:rPr>
          <w:rFonts w:hint="eastAsia" w:ascii="仿宋" w:hAnsi="仿宋" w:eastAsia="仿宋" w:cs="仿宋"/>
          <w:color w:val="auto"/>
          <w:highlight w:val="none"/>
        </w:rPr>
        <w:t>的违约金，但不超过合同总金额的10%。成交供应商支付逾期交货违约金并不免除其交货的责任。</w:t>
      </w:r>
    </w:p>
    <w:p w14:paraId="60F84467">
      <w:pPr>
        <w:widowControl w:val="0"/>
        <w:spacing w:afterLines="0"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）如成交供应商在政府采购合同规定的交货日期后</w:t>
      </w:r>
      <w:r>
        <w:rPr>
          <w:rFonts w:hint="eastAsia" w:ascii="仿宋" w:hAnsi="仿宋" w:eastAsia="仿宋" w:cs="仿宋"/>
          <w:color w:val="auto"/>
          <w:highlight w:val="none"/>
          <w:u w:val="single"/>
        </w:rPr>
        <w:t>10</w:t>
      </w:r>
      <w:r>
        <w:rPr>
          <w:rFonts w:hint="eastAsia" w:ascii="仿宋" w:hAnsi="仿宋" w:eastAsia="仿宋" w:cs="仿宋"/>
          <w:color w:val="auto"/>
          <w:highlight w:val="none"/>
        </w:rPr>
        <w:t>天内仍未能交货，则视为成交供应商不能交货，采购人有权解除政府采购合同，成交供应商除退还已收取的货款外，还应向采购人偿付政府采购合同总金额</w:t>
      </w:r>
      <w:r>
        <w:rPr>
          <w:rFonts w:hint="eastAsia" w:ascii="仿宋" w:hAnsi="仿宋" w:eastAsia="仿宋" w:cs="仿宋"/>
          <w:color w:val="auto"/>
          <w:highlight w:val="none"/>
          <w:u w:val="single"/>
        </w:rPr>
        <w:t>10%</w:t>
      </w:r>
      <w:r>
        <w:rPr>
          <w:rFonts w:hint="eastAsia" w:ascii="仿宋" w:hAnsi="仿宋" w:eastAsia="仿宋" w:cs="仿宋"/>
          <w:color w:val="auto"/>
          <w:highlight w:val="none"/>
        </w:rPr>
        <w:t>的违约金。</w:t>
      </w:r>
    </w:p>
    <w:p w14:paraId="65F223B3">
      <w:pPr>
        <w:widowControl w:val="0"/>
        <w:spacing w:afterLines="0"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w:t>
      </w:r>
      <w:r>
        <w:rPr>
          <w:rFonts w:hint="eastAsia" w:ascii="仿宋" w:hAnsi="仿宋" w:eastAsia="仿宋" w:cs="仿宋"/>
          <w:color w:val="auto"/>
          <w:highlight w:val="none"/>
          <w:lang w:val="en-US" w:eastAsia="zh-CN"/>
        </w:rPr>
        <w:t>五</w:t>
      </w:r>
      <w:r>
        <w:rPr>
          <w:rFonts w:hint="eastAsia" w:ascii="仿宋" w:hAnsi="仿宋" w:eastAsia="仿宋" w:cs="仿宋"/>
          <w:color w:val="auto"/>
          <w:highlight w:val="none"/>
        </w:rPr>
        <w:t>）成交供应商</w:t>
      </w:r>
      <w:r>
        <w:rPr>
          <w:rFonts w:ascii="仿宋" w:hAnsi="仿宋" w:eastAsia="仿宋" w:cs="仿宋"/>
          <w:color w:val="auto"/>
          <w:highlight w:val="none"/>
        </w:rPr>
        <w:t>所交付</w:t>
      </w:r>
      <w:r>
        <w:rPr>
          <w:rFonts w:hint="eastAsia" w:ascii="仿宋" w:hAnsi="仿宋" w:eastAsia="仿宋" w:cs="仿宋"/>
          <w:color w:val="auto"/>
          <w:highlight w:val="none"/>
        </w:rPr>
        <w:t>货物及伴随的</w:t>
      </w:r>
      <w:r>
        <w:rPr>
          <w:rFonts w:ascii="仿宋" w:hAnsi="仿宋" w:eastAsia="仿宋" w:cs="仿宋"/>
          <w:color w:val="auto"/>
          <w:highlight w:val="none"/>
        </w:rPr>
        <w:t>工程或服务不符合其</w:t>
      </w:r>
      <w:r>
        <w:rPr>
          <w:rFonts w:hint="eastAsia" w:ascii="仿宋" w:hAnsi="仿宋" w:eastAsia="仿宋" w:cs="仿宋"/>
          <w:color w:val="auto"/>
          <w:highlight w:val="none"/>
          <w:lang w:eastAsia="zh-CN"/>
        </w:rPr>
        <w:t>响应</w:t>
      </w:r>
      <w:r>
        <w:rPr>
          <w:rFonts w:ascii="仿宋" w:hAnsi="仿宋" w:eastAsia="仿宋" w:cs="仿宋"/>
          <w:color w:val="auto"/>
          <w:highlight w:val="none"/>
        </w:rPr>
        <w:t>承诺，</w:t>
      </w:r>
      <w:r>
        <w:rPr>
          <w:rFonts w:hint="eastAsia" w:ascii="仿宋" w:hAnsi="仿宋" w:eastAsia="仿宋" w:cs="仿宋"/>
          <w:color w:val="auto"/>
          <w:highlight w:val="none"/>
        </w:rPr>
        <w:t>存在</w:t>
      </w:r>
      <w:r>
        <w:rPr>
          <w:rFonts w:ascii="仿宋" w:hAnsi="仿宋" w:eastAsia="仿宋" w:cs="仿宋"/>
          <w:color w:val="auto"/>
          <w:highlight w:val="none"/>
        </w:rPr>
        <w:t>偷工减料、以次充好</w:t>
      </w:r>
      <w:r>
        <w:rPr>
          <w:rFonts w:hint="eastAsia" w:ascii="仿宋" w:hAnsi="仿宋" w:eastAsia="仿宋" w:cs="仿宋"/>
          <w:color w:val="auto"/>
          <w:highlight w:val="none"/>
        </w:rPr>
        <w:t>情形的</w:t>
      </w:r>
      <w:r>
        <w:rPr>
          <w:rFonts w:ascii="仿宋" w:hAnsi="仿宋" w:eastAsia="仿宋" w:cs="仿宋"/>
          <w:color w:val="auto"/>
          <w:highlight w:val="none"/>
        </w:rPr>
        <w:t>，</w:t>
      </w:r>
      <w:r>
        <w:rPr>
          <w:rFonts w:hint="eastAsia" w:ascii="仿宋" w:hAnsi="仿宋" w:eastAsia="仿宋" w:cs="仿宋"/>
          <w:color w:val="auto"/>
          <w:highlight w:val="none"/>
        </w:rPr>
        <w:t>采购人要求更换一次后仍不符合约定的，采购人有权解除政府采购合同，</w:t>
      </w:r>
      <w:r>
        <w:rPr>
          <w:rFonts w:ascii="仿宋" w:hAnsi="仿宋" w:eastAsia="仿宋" w:cs="仿宋"/>
          <w:color w:val="auto"/>
          <w:highlight w:val="none"/>
        </w:rPr>
        <w:t>没收履约保证金，并</w:t>
      </w:r>
      <w:r>
        <w:rPr>
          <w:rFonts w:hint="eastAsia" w:ascii="仿宋" w:hAnsi="仿宋" w:eastAsia="仿宋" w:cs="仿宋"/>
          <w:color w:val="auto"/>
          <w:highlight w:val="none"/>
        </w:rPr>
        <w:t>将有关情况上报政府采购监管部门</w:t>
      </w:r>
      <w:r>
        <w:rPr>
          <w:rFonts w:ascii="仿宋" w:hAnsi="仿宋" w:eastAsia="仿宋" w:cs="仿宋"/>
          <w:color w:val="auto"/>
          <w:highlight w:val="none"/>
        </w:rPr>
        <w:t>处理。</w:t>
      </w:r>
    </w:p>
    <w:p w14:paraId="1AD75194">
      <w:pPr>
        <w:pStyle w:val="5"/>
        <w:spacing w:afterLines="0" w:line="500" w:lineRule="exact"/>
        <w:ind w:firstLine="566" w:firstLineChars="200"/>
        <w:rPr>
          <w:rFonts w:ascii="仿宋" w:hAnsi="仿宋" w:eastAsia="仿宋" w:cs="仿宋"/>
          <w:color w:val="auto"/>
          <w:sz w:val="28"/>
          <w:szCs w:val="28"/>
          <w:highlight w:val="none"/>
        </w:rPr>
      </w:pPr>
      <w:bookmarkStart w:id="263" w:name="_Toc17726"/>
      <w:bookmarkStart w:id="264" w:name="_Toc9100"/>
      <w:r>
        <w:rPr>
          <w:rFonts w:hint="eastAsia" w:ascii="仿宋" w:hAnsi="仿宋" w:eastAsia="仿宋" w:cs="仿宋"/>
          <w:color w:val="auto"/>
          <w:sz w:val="28"/>
          <w:szCs w:val="28"/>
          <w:highlight w:val="none"/>
          <w:lang w:val="en-US" w:eastAsia="zh-CN"/>
        </w:rPr>
        <w:t>十</w:t>
      </w:r>
      <w:r>
        <w:rPr>
          <w:rFonts w:hint="eastAsia" w:ascii="仿宋" w:hAnsi="仿宋" w:eastAsia="仿宋" w:cs="仿宋"/>
          <w:color w:val="auto"/>
          <w:sz w:val="28"/>
          <w:szCs w:val="28"/>
          <w:highlight w:val="none"/>
        </w:rPr>
        <w:t>、争议解决</w:t>
      </w:r>
      <w:bookmarkEnd w:id="263"/>
      <w:bookmarkEnd w:id="264"/>
    </w:p>
    <w:p w14:paraId="45142678">
      <w:pPr>
        <w:spacing w:afterLines="0"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执行本合同中产生纠纷，由采购人与成交供应商双方协商解决；协商不成，向有管辖权的人民法院提起诉讼。</w:t>
      </w:r>
    </w:p>
    <w:p w14:paraId="76B89952">
      <w:pPr>
        <w:pStyle w:val="5"/>
        <w:spacing w:afterLines="0" w:line="500" w:lineRule="exact"/>
        <w:ind w:firstLine="566" w:firstLineChars="200"/>
        <w:rPr>
          <w:rFonts w:ascii="仿宋" w:hAnsi="仿宋" w:eastAsia="仿宋" w:cs="仿宋"/>
          <w:color w:val="auto"/>
          <w:sz w:val="28"/>
          <w:szCs w:val="28"/>
          <w:highlight w:val="none"/>
        </w:rPr>
      </w:pPr>
      <w:bookmarkStart w:id="265" w:name="_Toc12619"/>
      <w:bookmarkStart w:id="266" w:name="_Toc31918"/>
      <w:r>
        <w:rPr>
          <w:rFonts w:hint="eastAsia" w:ascii="仿宋" w:hAnsi="仿宋" w:eastAsia="仿宋" w:cs="仿宋"/>
          <w:color w:val="auto"/>
          <w:sz w:val="28"/>
          <w:szCs w:val="28"/>
          <w:highlight w:val="none"/>
        </w:rPr>
        <w:t>十</w:t>
      </w:r>
      <w:r>
        <w:rPr>
          <w:rFonts w:hint="eastAsia" w:ascii="仿宋" w:hAnsi="仿宋" w:eastAsia="仿宋" w:cs="仿宋"/>
          <w:color w:val="auto"/>
          <w:sz w:val="28"/>
          <w:szCs w:val="28"/>
          <w:highlight w:val="none"/>
          <w:lang w:val="en-US" w:eastAsia="zh-CN"/>
        </w:rPr>
        <w:t>一</w:t>
      </w:r>
      <w:r>
        <w:rPr>
          <w:rFonts w:hint="eastAsia" w:ascii="仿宋" w:hAnsi="仿宋" w:eastAsia="仿宋" w:cs="仿宋"/>
          <w:color w:val="auto"/>
          <w:sz w:val="28"/>
          <w:szCs w:val="28"/>
          <w:highlight w:val="none"/>
        </w:rPr>
        <w:t>、合同生效及其他</w:t>
      </w:r>
      <w:bookmarkEnd w:id="265"/>
      <w:bookmarkEnd w:id="266"/>
    </w:p>
    <w:p w14:paraId="42F02DED">
      <w:pPr>
        <w:spacing w:afterLines="0"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一</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本合同自签订之日起生效。</w:t>
      </w:r>
    </w:p>
    <w:p w14:paraId="588214AA">
      <w:pPr>
        <w:spacing w:afterLines="0" w:line="500" w:lineRule="exact"/>
        <w:ind w:firstLine="566" w:firstLineChars="200"/>
        <w:rPr>
          <w:rFonts w:hint="eastAsia" w:ascii="仿宋" w:hAnsi="仿宋" w:eastAsia="仿宋" w:cs="仿宋"/>
          <w:color w:val="auto"/>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二</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合同份数由采购人和成交供应商具体商定。</w:t>
      </w:r>
    </w:p>
    <w:p w14:paraId="5B291E40">
      <w:pPr>
        <w:spacing w:before="0" w:afterLines="0" w:line="500" w:lineRule="exact"/>
        <w:ind w:firstLine="566" w:firstLineChars="200"/>
        <w:jc w:val="left"/>
        <w:outlineLvl w:val="9"/>
        <w:rPr>
          <w:rStyle w:val="61"/>
          <w:rFonts w:hint="eastAsia" w:ascii="仿宋" w:hAnsi="仿宋" w:eastAsia="仿宋" w:cs="仿宋"/>
          <w:b w:val="0"/>
          <w:color w:val="auto"/>
          <w:sz w:val="32"/>
          <w:szCs w:val="32"/>
          <w:highlight w:val="none"/>
        </w:rPr>
      </w:pPr>
      <w:r>
        <w:rPr>
          <w:rFonts w:hint="eastAsia" w:ascii="仿宋" w:hAnsi="仿宋" w:eastAsia="仿宋" w:cs="仿宋"/>
          <w:color w:val="auto"/>
          <w:highlight w:val="none"/>
          <w:lang w:eastAsia="zh-CN"/>
        </w:rPr>
        <w:t>（</w:t>
      </w:r>
      <w:r>
        <w:rPr>
          <w:rFonts w:hint="eastAsia" w:ascii="仿宋" w:hAnsi="仿宋" w:eastAsia="仿宋" w:cs="仿宋"/>
          <w:color w:val="auto"/>
          <w:highlight w:val="none"/>
          <w:lang w:val="en-US" w:eastAsia="zh-CN"/>
        </w:rPr>
        <w:t>三</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未尽事宜由双方在签订合同时具体明确。</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Start w:id="267" w:name="_Toc2017"/>
      <w:bookmarkStart w:id="268" w:name="_Toc2234"/>
      <w:bookmarkStart w:id="269" w:name="_Toc13167"/>
    </w:p>
    <w:p w14:paraId="42B6EA7C">
      <w:pPr>
        <w:spacing w:before="120" w:line="360" w:lineRule="auto"/>
        <w:jc w:val="center"/>
        <w:outlineLvl w:val="0"/>
        <w:rPr>
          <w:rFonts w:hint="eastAsia" w:ascii="仿宋" w:hAnsi="仿宋" w:eastAsia="仿宋" w:cs="仿宋"/>
          <w:bCs/>
          <w:color w:val="auto"/>
          <w:sz w:val="32"/>
          <w:szCs w:val="32"/>
          <w:highlight w:val="none"/>
        </w:rPr>
      </w:pPr>
      <w:r>
        <w:rPr>
          <w:rStyle w:val="61"/>
          <w:rFonts w:hint="eastAsia" w:ascii="仿宋" w:hAnsi="仿宋" w:eastAsia="仿宋" w:cs="仿宋"/>
          <w:b w:val="0"/>
          <w:color w:val="auto"/>
          <w:sz w:val="32"/>
          <w:szCs w:val="32"/>
          <w:highlight w:val="none"/>
        </w:rPr>
        <w:br w:type="page"/>
      </w:r>
      <w:bookmarkStart w:id="270" w:name="_Toc4118"/>
      <w:bookmarkStart w:id="271" w:name="_Toc12763"/>
      <w:bookmarkStart w:id="272" w:name="_Toc4957"/>
      <w:bookmarkStart w:id="273" w:name="_Toc24168"/>
      <w:bookmarkStart w:id="274" w:name="_Toc1533"/>
      <w:bookmarkStart w:id="275" w:name="_Toc19868"/>
      <w:bookmarkStart w:id="276" w:name="_Toc16528"/>
      <w:r>
        <w:rPr>
          <w:rStyle w:val="61"/>
          <w:rFonts w:hint="eastAsia" w:ascii="黑体" w:hAnsi="黑体" w:eastAsia="黑体" w:cs="黑体"/>
          <w:b w:val="0"/>
          <w:color w:val="auto"/>
          <w:sz w:val="32"/>
          <w:szCs w:val="32"/>
          <w:highlight w:val="none"/>
        </w:rPr>
        <w:t>第五章  响应文件构成及格式</w:t>
      </w:r>
      <w:bookmarkEnd w:id="247"/>
      <w:bookmarkEnd w:id="248"/>
      <w:bookmarkEnd w:id="267"/>
      <w:bookmarkEnd w:id="268"/>
      <w:bookmarkEnd w:id="269"/>
      <w:bookmarkEnd w:id="270"/>
      <w:bookmarkEnd w:id="271"/>
      <w:bookmarkEnd w:id="272"/>
      <w:bookmarkEnd w:id="273"/>
      <w:bookmarkEnd w:id="274"/>
      <w:bookmarkEnd w:id="275"/>
      <w:bookmarkEnd w:id="276"/>
    </w:p>
    <w:p w14:paraId="1E5217FB">
      <w:pPr>
        <w:pStyle w:val="58"/>
        <w:spacing w:line="240" w:lineRule="auto"/>
        <w:ind w:firstLine="253" w:firstLineChars="70"/>
        <w:jc w:val="center"/>
        <w:rPr>
          <w:rFonts w:ascii="仿宋" w:hAnsi="仿宋" w:eastAsia="仿宋" w:cs="仿宋"/>
          <w:color w:val="auto"/>
          <w:sz w:val="36"/>
          <w:szCs w:val="36"/>
          <w:highlight w:val="none"/>
        </w:rPr>
      </w:pPr>
    </w:p>
    <w:tbl>
      <w:tblPr>
        <w:tblStyle w:val="28"/>
        <w:tblW w:w="8190" w:type="dxa"/>
        <w:tblInd w:w="42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0"/>
      </w:tblGrid>
      <w:tr w14:paraId="04981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8190" w:type="dxa"/>
          </w:tcPr>
          <w:p w14:paraId="656324F7">
            <w:pPr>
              <w:spacing w:before="120"/>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注释：</w:t>
            </w:r>
            <w:r>
              <w:rPr>
                <w:rFonts w:ascii="仿宋" w:hAnsi="仿宋" w:eastAsia="仿宋" w:cs="仿宋"/>
                <w:color w:val="auto"/>
                <w:sz w:val="24"/>
                <w:szCs w:val="24"/>
                <w:highlight w:val="none"/>
              </w:rPr>
              <w:t xml:space="preserve"> </w:t>
            </w:r>
          </w:p>
          <w:p w14:paraId="6F565647">
            <w:pPr>
              <w:spacing w:before="120" w:line="420" w:lineRule="exact"/>
              <w:ind w:firstLine="486" w:firstLineChars="200"/>
              <w:jc w:val="left"/>
              <w:rPr>
                <w:rFonts w:ascii="仿宋" w:hAnsi="仿宋" w:eastAsia="仿宋" w:cs="仿宋"/>
                <w:color w:val="auto"/>
                <w:sz w:val="24"/>
                <w:szCs w:val="24"/>
                <w:highlight w:val="none"/>
              </w:rPr>
            </w:pPr>
            <w:r>
              <w:rPr>
                <w:rFonts w:ascii="仿宋" w:hAnsi="仿宋" w:eastAsia="仿宋" w:cs="仿宋"/>
                <w:color w:val="auto"/>
                <w:sz w:val="24"/>
                <w:szCs w:val="24"/>
                <w:highlight w:val="none"/>
              </w:rPr>
              <w:t>1、本章分为</w:t>
            </w:r>
            <w:r>
              <w:rPr>
                <w:rFonts w:hint="eastAsia" w:ascii="仿宋" w:hAnsi="仿宋" w:eastAsia="仿宋" w:cs="仿宋"/>
                <w:color w:val="auto"/>
                <w:sz w:val="24"/>
                <w:szCs w:val="24"/>
                <w:highlight w:val="none"/>
              </w:rPr>
              <w:t>三</w:t>
            </w:r>
            <w:r>
              <w:rPr>
                <w:rFonts w:ascii="仿宋" w:hAnsi="仿宋" w:eastAsia="仿宋" w:cs="仿宋"/>
                <w:color w:val="auto"/>
                <w:sz w:val="24"/>
                <w:szCs w:val="24"/>
                <w:highlight w:val="none"/>
              </w:rPr>
              <w:t>部分，是为方便</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制作响应文件设计。第一、二部分应按要求或给定格式选择填报。</w:t>
            </w:r>
          </w:p>
          <w:p w14:paraId="304B0B54">
            <w:pPr>
              <w:spacing w:before="120" w:line="420" w:lineRule="exact"/>
              <w:ind w:firstLine="486" w:firstLineChars="200"/>
              <w:jc w:val="left"/>
              <w:rPr>
                <w:rFonts w:hint="eastAsia" w:ascii="仿宋" w:hAnsi="仿宋" w:eastAsia="仿宋" w:cs="仿宋"/>
                <w:color w:val="auto"/>
                <w:highlight w:val="none"/>
              </w:rPr>
            </w:pPr>
            <w:r>
              <w:rPr>
                <w:rFonts w:ascii="仿宋" w:hAnsi="仿宋" w:eastAsia="仿宋" w:cs="仿宋"/>
                <w:color w:val="auto"/>
                <w:sz w:val="24"/>
                <w:szCs w:val="24"/>
                <w:highlight w:val="none"/>
              </w:rPr>
              <w:t>2、第三部分响应方案格式仅供参考，</w:t>
            </w:r>
            <w:r>
              <w:rPr>
                <w:rFonts w:hint="eastAsia" w:ascii="仿宋" w:hAnsi="仿宋" w:eastAsia="仿宋" w:cs="仿宋"/>
                <w:color w:val="auto"/>
                <w:sz w:val="24"/>
                <w:szCs w:val="24"/>
                <w:highlight w:val="none"/>
              </w:rPr>
              <w:t>供应商</w:t>
            </w:r>
            <w:r>
              <w:rPr>
                <w:rFonts w:ascii="仿宋" w:hAnsi="仿宋" w:eastAsia="仿宋" w:cs="仿宋"/>
                <w:color w:val="auto"/>
                <w:sz w:val="24"/>
                <w:szCs w:val="24"/>
                <w:highlight w:val="none"/>
              </w:rPr>
              <w:t>应根据项目特点，结合本次</w:t>
            </w:r>
            <w:r>
              <w:rPr>
                <w:rFonts w:hint="eastAsia" w:ascii="仿宋" w:hAnsi="仿宋" w:eastAsia="仿宋" w:cs="仿宋"/>
                <w:color w:val="auto"/>
                <w:sz w:val="24"/>
                <w:szCs w:val="24"/>
                <w:highlight w:val="none"/>
              </w:rPr>
              <w:t>谈判</w:t>
            </w:r>
            <w:r>
              <w:rPr>
                <w:rFonts w:ascii="仿宋" w:hAnsi="仿宋" w:eastAsia="仿宋" w:cs="仿宋"/>
                <w:color w:val="auto"/>
                <w:sz w:val="24"/>
                <w:szCs w:val="24"/>
                <w:highlight w:val="none"/>
              </w:rPr>
              <w:t>要求，对有关表格进行补充或修改，但不得对实质性文件的相关条款作出变动。</w:t>
            </w:r>
          </w:p>
        </w:tc>
      </w:tr>
    </w:tbl>
    <w:p w14:paraId="7059BD80">
      <w:pPr>
        <w:pStyle w:val="58"/>
        <w:spacing w:line="240" w:lineRule="auto"/>
        <w:ind w:firstLine="0" w:firstLineChars="0"/>
        <w:jc w:val="center"/>
        <w:rPr>
          <w:rFonts w:hint="eastAsia" w:ascii="仿宋" w:hAnsi="仿宋" w:eastAsia="仿宋" w:cs="仿宋"/>
          <w:color w:val="auto"/>
          <w:sz w:val="36"/>
          <w:highlight w:val="none"/>
        </w:rPr>
      </w:pPr>
    </w:p>
    <w:p w14:paraId="36A762ED">
      <w:pPr>
        <w:pStyle w:val="58"/>
        <w:spacing w:line="240" w:lineRule="auto"/>
        <w:ind w:firstLine="0" w:firstLineChars="0"/>
        <w:jc w:val="center"/>
        <w:rPr>
          <w:rFonts w:hint="eastAsia" w:ascii="仿宋" w:hAnsi="仿宋" w:eastAsia="仿宋" w:cs="仿宋"/>
          <w:color w:val="auto"/>
          <w:sz w:val="36"/>
          <w:highlight w:val="none"/>
        </w:rPr>
      </w:pPr>
    </w:p>
    <w:p w14:paraId="1E9DB8C9">
      <w:pPr>
        <w:pStyle w:val="58"/>
        <w:spacing w:line="240" w:lineRule="auto"/>
        <w:ind w:firstLine="0" w:firstLineChars="0"/>
        <w:jc w:val="center"/>
        <w:rPr>
          <w:rFonts w:hint="eastAsia" w:ascii="仿宋" w:hAnsi="仿宋" w:eastAsia="仿宋" w:cs="仿宋"/>
          <w:color w:val="auto"/>
          <w:sz w:val="36"/>
          <w:highlight w:val="none"/>
        </w:rPr>
      </w:pPr>
    </w:p>
    <w:p w14:paraId="5E074590">
      <w:pPr>
        <w:pStyle w:val="58"/>
        <w:spacing w:line="240" w:lineRule="auto"/>
        <w:ind w:firstLine="0" w:firstLineChars="0"/>
        <w:jc w:val="center"/>
        <w:rPr>
          <w:rFonts w:hint="eastAsia" w:ascii="仿宋" w:hAnsi="仿宋" w:eastAsia="仿宋" w:cs="仿宋"/>
          <w:color w:val="auto"/>
          <w:sz w:val="36"/>
          <w:highlight w:val="none"/>
        </w:rPr>
      </w:pPr>
    </w:p>
    <w:p w14:paraId="29D984A8">
      <w:pPr>
        <w:pStyle w:val="58"/>
        <w:spacing w:line="240" w:lineRule="auto"/>
        <w:ind w:firstLine="0" w:firstLineChars="0"/>
        <w:jc w:val="center"/>
        <w:rPr>
          <w:rFonts w:hint="eastAsia" w:ascii="仿宋" w:hAnsi="仿宋" w:eastAsia="仿宋" w:cs="仿宋"/>
          <w:color w:val="auto"/>
          <w:sz w:val="36"/>
          <w:highlight w:val="none"/>
        </w:rPr>
      </w:pPr>
    </w:p>
    <w:p w14:paraId="3BCCB05A">
      <w:pPr>
        <w:pStyle w:val="58"/>
        <w:spacing w:line="240" w:lineRule="auto"/>
        <w:ind w:firstLine="0" w:firstLineChars="0"/>
        <w:jc w:val="center"/>
        <w:rPr>
          <w:rFonts w:hint="eastAsia" w:ascii="仿宋" w:hAnsi="仿宋" w:eastAsia="仿宋" w:cs="仿宋"/>
          <w:color w:val="auto"/>
          <w:sz w:val="36"/>
          <w:highlight w:val="none"/>
        </w:rPr>
      </w:pPr>
    </w:p>
    <w:p w14:paraId="10D0A438">
      <w:pPr>
        <w:spacing w:line="240" w:lineRule="auto"/>
        <w:jc w:val="left"/>
        <w:rPr>
          <w:rFonts w:hint="eastAsia" w:ascii="仿宋" w:hAnsi="仿宋" w:eastAsia="仿宋" w:cs="仿宋"/>
          <w:color w:val="auto"/>
          <w:sz w:val="30"/>
          <w:szCs w:val="30"/>
          <w:highlight w:val="none"/>
        </w:rPr>
      </w:pPr>
      <w:r>
        <w:rPr>
          <w:rFonts w:hint="eastAsia" w:ascii="仿宋" w:hAnsi="仿宋" w:eastAsia="仿宋" w:cs="仿宋"/>
          <w:b/>
          <w:color w:val="auto"/>
          <w:sz w:val="36"/>
          <w:highlight w:val="none"/>
        </w:rPr>
        <w:br w:type="page"/>
      </w:r>
      <w:r>
        <w:rPr>
          <w:rFonts w:hint="eastAsia" w:ascii="仿宋" w:hAnsi="仿宋" w:eastAsia="仿宋" w:cs="仿宋"/>
          <w:color w:val="auto"/>
          <w:sz w:val="30"/>
          <w:szCs w:val="30"/>
          <w:highlight w:val="none"/>
        </w:rPr>
        <w:t>封面格式</w:t>
      </w:r>
    </w:p>
    <w:p w14:paraId="5C7B8E27">
      <w:pPr>
        <w:spacing w:line="240" w:lineRule="auto"/>
        <w:ind w:firstLine="253" w:firstLineChars="70"/>
        <w:jc w:val="center"/>
        <w:rPr>
          <w:rFonts w:hint="eastAsia" w:ascii="仿宋" w:hAnsi="仿宋" w:eastAsia="仿宋" w:cs="仿宋"/>
          <w:color w:val="auto"/>
          <w:sz w:val="36"/>
          <w:szCs w:val="36"/>
          <w:highlight w:val="none"/>
        </w:rPr>
      </w:pPr>
    </w:p>
    <w:p w14:paraId="3C93FBAB">
      <w:pPr>
        <w:spacing w:line="240" w:lineRule="auto"/>
        <w:ind w:right="11"/>
        <w:jc w:val="center"/>
        <w:rPr>
          <w:rFonts w:hint="eastAsia" w:ascii="仿宋" w:hAnsi="仿宋" w:eastAsia="仿宋" w:cs="仿宋"/>
          <w:color w:val="auto"/>
          <w:sz w:val="52"/>
          <w:szCs w:val="52"/>
          <w:highlight w:val="none"/>
        </w:rPr>
      </w:pPr>
      <w:r>
        <w:rPr>
          <w:rFonts w:hint="eastAsia" w:ascii="仿宋" w:hAnsi="仿宋" w:eastAsia="仿宋" w:cs="仿宋"/>
          <w:b w:val="0"/>
          <w:bCs w:val="0"/>
          <w:color w:val="auto"/>
          <w:sz w:val="60"/>
          <w:szCs w:val="60"/>
          <w:highlight w:val="none"/>
        </w:rPr>
        <w:t>陕西省政府采购货物项目</w:t>
      </w:r>
    </w:p>
    <w:p w14:paraId="78461534">
      <w:pPr>
        <w:spacing w:line="500" w:lineRule="exact"/>
        <w:ind w:right="11"/>
        <w:rPr>
          <w:rFonts w:hint="eastAsia" w:ascii="仿宋" w:hAnsi="仿宋" w:eastAsia="仿宋" w:cs="仿宋"/>
          <w:color w:val="auto"/>
          <w:highlight w:val="none"/>
          <w:u w:val="single"/>
        </w:rPr>
      </w:pPr>
    </w:p>
    <w:p w14:paraId="7B6208BB">
      <w:pPr>
        <w:spacing w:line="500" w:lineRule="exact"/>
        <w:ind w:right="11"/>
        <w:rPr>
          <w:rFonts w:hint="eastAsia" w:ascii="仿宋" w:hAnsi="仿宋" w:eastAsia="仿宋" w:cs="仿宋"/>
          <w:color w:val="auto"/>
          <w:highlight w:val="none"/>
          <w:u w:val="single"/>
        </w:rPr>
      </w:pPr>
    </w:p>
    <w:p w14:paraId="18DF4F43">
      <w:pPr>
        <w:spacing w:line="240" w:lineRule="auto"/>
        <w:jc w:val="center"/>
        <w:rPr>
          <w:rFonts w:hint="eastAsia" w:ascii="仿宋" w:hAnsi="仿宋" w:eastAsia="仿宋" w:cs="仿宋"/>
          <w:color w:val="auto"/>
          <w:sz w:val="96"/>
          <w:szCs w:val="96"/>
          <w:highlight w:val="none"/>
        </w:rPr>
      </w:pPr>
      <w:r>
        <w:rPr>
          <w:rFonts w:hint="eastAsia" w:ascii="仿宋" w:hAnsi="仿宋" w:eastAsia="仿宋" w:cs="仿宋"/>
          <w:color w:val="auto"/>
          <w:spacing w:val="323"/>
          <w:kern w:val="0"/>
          <w:sz w:val="96"/>
          <w:szCs w:val="96"/>
          <w:highlight w:val="none"/>
        </w:rPr>
        <w:t>响应文</w:t>
      </w:r>
      <w:r>
        <w:rPr>
          <w:rFonts w:hint="eastAsia" w:ascii="仿宋" w:hAnsi="仿宋" w:eastAsia="仿宋" w:cs="仿宋"/>
          <w:color w:val="auto"/>
          <w:kern w:val="0"/>
          <w:sz w:val="96"/>
          <w:szCs w:val="96"/>
          <w:highlight w:val="none"/>
        </w:rPr>
        <w:t>件</w:t>
      </w:r>
    </w:p>
    <w:p w14:paraId="3F43308B">
      <w:pPr>
        <w:spacing w:line="240" w:lineRule="auto"/>
        <w:jc w:val="center"/>
        <w:rPr>
          <w:rFonts w:hint="eastAsia" w:ascii="仿宋" w:hAnsi="仿宋" w:eastAsia="仿宋" w:cs="仿宋"/>
          <w:color w:val="auto"/>
          <w:sz w:val="36"/>
          <w:highlight w:val="none"/>
        </w:rPr>
      </w:pPr>
    </w:p>
    <w:p w14:paraId="2F0F631B">
      <w:pPr>
        <w:pStyle w:val="18"/>
        <w:rPr>
          <w:rFonts w:hint="eastAsia" w:ascii="仿宋" w:hAnsi="仿宋" w:eastAsia="仿宋" w:cs="仿宋"/>
          <w:color w:val="auto"/>
          <w:highlight w:val="none"/>
        </w:rPr>
      </w:pPr>
    </w:p>
    <w:p w14:paraId="66064FC6">
      <w:pPr>
        <w:pStyle w:val="18"/>
        <w:rPr>
          <w:rFonts w:hint="eastAsia" w:ascii="仿宋" w:hAnsi="仿宋" w:eastAsia="仿宋" w:cs="仿宋"/>
          <w:color w:val="auto"/>
          <w:highlight w:val="none"/>
        </w:rPr>
      </w:pPr>
    </w:p>
    <w:p w14:paraId="03AA0CE6">
      <w:pPr>
        <w:pStyle w:val="8"/>
        <w:rPr>
          <w:rFonts w:hint="eastAsia" w:ascii="仿宋" w:hAnsi="仿宋" w:eastAsia="仿宋" w:cs="仿宋"/>
          <w:color w:val="auto"/>
          <w:sz w:val="36"/>
          <w:highlight w:val="none"/>
        </w:rPr>
      </w:pPr>
    </w:p>
    <w:p w14:paraId="778FC6CC">
      <w:pPr>
        <w:pStyle w:val="8"/>
        <w:rPr>
          <w:rFonts w:hint="eastAsia" w:ascii="仿宋" w:hAnsi="仿宋" w:eastAsia="仿宋" w:cs="仿宋"/>
          <w:color w:val="auto"/>
          <w:sz w:val="36"/>
          <w:highlight w:val="none"/>
        </w:rPr>
      </w:pPr>
    </w:p>
    <w:p w14:paraId="325E539E">
      <w:pPr>
        <w:pStyle w:val="8"/>
        <w:rPr>
          <w:rFonts w:hint="eastAsia" w:ascii="仿宋" w:hAnsi="仿宋" w:eastAsia="仿宋" w:cs="仿宋"/>
          <w:color w:val="auto"/>
          <w:sz w:val="36"/>
          <w:highlight w:val="none"/>
        </w:rPr>
      </w:pPr>
    </w:p>
    <w:p w14:paraId="5251CF97">
      <w:pPr>
        <w:pStyle w:val="18"/>
        <w:rPr>
          <w:rFonts w:hint="eastAsia" w:ascii="仿宋" w:hAnsi="仿宋" w:eastAsia="仿宋" w:cs="仿宋"/>
          <w:color w:val="auto"/>
          <w:highlight w:val="none"/>
        </w:rPr>
      </w:pPr>
    </w:p>
    <w:p w14:paraId="03805106">
      <w:pPr>
        <w:pStyle w:val="18"/>
        <w:rPr>
          <w:rFonts w:hint="eastAsia" w:ascii="仿宋" w:hAnsi="仿宋" w:eastAsia="仿宋" w:cs="仿宋"/>
          <w:color w:val="auto"/>
          <w:highlight w:val="none"/>
        </w:rPr>
      </w:pPr>
    </w:p>
    <w:p w14:paraId="2BD6D966">
      <w:pPr>
        <w:pStyle w:val="58"/>
        <w:spacing w:line="240" w:lineRule="auto"/>
        <w:ind w:firstLine="1698" w:firstLineChars="468"/>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项目名称：</w:t>
      </w:r>
      <w:r>
        <w:rPr>
          <w:rFonts w:hint="eastAsia" w:ascii="仿宋" w:hAnsi="仿宋" w:eastAsia="仿宋" w:cs="仿宋"/>
          <w:color w:val="auto"/>
          <w:sz w:val="36"/>
          <w:highlight w:val="none"/>
          <w:u w:val="single"/>
        </w:rPr>
        <w:t xml:space="preserve">             </w:t>
      </w:r>
    </w:p>
    <w:p w14:paraId="6CBE6441">
      <w:pPr>
        <w:pStyle w:val="58"/>
        <w:spacing w:line="240" w:lineRule="auto"/>
        <w:ind w:firstLine="1698" w:firstLineChars="468"/>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项目编号：</w:t>
      </w:r>
      <w:r>
        <w:rPr>
          <w:rFonts w:hint="eastAsia" w:ascii="仿宋" w:hAnsi="仿宋" w:eastAsia="仿宋" w:cs="仿宋"/>
          <w:color w:val="auto"/>
          <w:sz w:val="36"/>
          <w:highlight w:val="none"/>
          <w:u w:val="single"/>
        </w:rPr>
        <w:t xml:space="preserve">             </w:t>
      </w:r>
    </w:p>
    <w:p w14:paraId="56207DCF">
      <w:pPr>
        <w:pStyle w:val="58"/>
        <w:spacing w:line="240" w:lineRule="auto"/>
        <w:ind w:firstLine="1698" w:firstLineChars="468"/>
        <w:rPr>
          <w:rFonts w:hint="eastAsia" w:ascii="仿宋" w:hAnsi="仿宋" w:eastAsia="仿宋" w:cs="仿宋"/>
          <w:color w:val="auto"/>
          <w:sz w:val="36"/>
          <w:highlight w:val="none"/>
          <w:lang w:val="en-US" w:eastAsia="zh-CN"/>
        </w:rPr>
      </w:pPr>
      <w:r>
        <w:rPr>
          <w:rFonts w:hint="eastAsia" w:ascii="仿宋" w:hAnsi="仿宋" w:eastAsia="仿宋" w:cs="仿宋"/>
          <w:color w:val="auto"/>
          <w:sz w:val="36"/>
          <w:highlight w:val="none"/>
          <w:lang w:val="en-US" w:eastAsia="zh-CN"/>
        </w:rPr>
        <w:t>标段编号：</w:t>
      </w:r>
      <w:r>
        <w:rPr>
          <w:rFonts w:hint="eastAsia" w:ascii="仿宋" w:hAnsi="仿宋" w:eastAsia="仿宋" w:cs="仿宋"/>
          <w:color w:val="auto"/>
          <w:sz w:val="36"/>
          <w:highlight w:val="none"/>
          <w:u w:val="single"/>
        </w:rPr>
        <w:t xml:space="preserve">             </w:t>
      </w:r>
    </w:p>
    <w:p w14:paraId="1F2621D8">
      <w:pPr>
        <w:pStyle w:val="58"/>
        <w:spacing w:line="240" w:lineRule="auto"/>
        <w:ind w:firstLine="1698" w:firstLineChars="468"/>
        <w:rPr>
          <w:rFonts w:hint="eastAsia" w:ascii="仿宋" w:hAnsi="仿宋" w:eastAsia="仿宋" w:cs="仿宋"/>
          <w:color w:val="auto"/>
          <w:sz w:val="36"/>
          <w:highlight w:val="none"/>
          <w:lang w:val="en-US" w:eastAsia="zh-CN"/>
        </w:rPr>
      </w:pPr>
      <w:r>
        <w:rPr>
          <w:rFonts w:hint="eastAsia" w:ascii="仿宋" w:hAnsi="仿宋" w:eastAsia="仿宋" w:cs="仿宋"/>
          <w:color w:val="auto"/>
          <w:sz w:val="36"/>
          <w:highlight w:val="none"/>
          <w:lang w:val="en-US" w:eastAsia="zh-CN"/>
        </w:rPr>
        <w:t>标段名称：</w:t>
      </w:r>
      <w:r>
        <w:rPr>
          <w:rFonts w:hint="eastAsia" w:ascii="仿宋" w:hAnsi="仿宋" w:eastAsia="仿宋" w:cs="仿宋"/>
          <w:color w:val="auto"/>
          <w:sz w:val="36"/>
          <w:highlight w:val="none"/>
          <w:u w:val="single"/>
        </w:rPr>
        <w:t xml:space="preserve">             </w:t>
      </w:r>
    </w:p>
    <w:p w14:paraId="13485C3B">
      <w:pPr>
        <w:pStyle w:val="58"/>
        <w:spacing w:line="240" w:lineRule="auto"/>
        <w:ind w:firstLine="1698" w:firstLineChars="468"/>
        <w:rPr>
          <w:rFonts w:hint="eastAsia" w:ascii="仿宋" w:hAnsi="仿宋" w:eastAsia="仿宋" w:cs="仿宋"/>
          <w:color w:val="auto"/>
          <w:sz w:val="36"/>
          <w:highlight w:val="none"/>
        </w:rPr>
      </w:pPr>
      <w:r>
        <w:rPr>
          <w:rFonts w:hint="eastAsia" w:ascii="仿宋" w:hAnsi="仿宋" w:eastAsia="仿宋" w:cs="仿宋"/>
          <w:color w:val="auto"/>
          <w:sz w:val="36"/>
          <w:highlight w:val="none"/>
        </w:rPr>
        <w:t>供 应 商：</w:t>
      </w:r>
      <w:r>
        <w:rPr>
          <w:rFonts w:hint="eastAsia" w:ascii="仿宋" w:hAnsi="仿宋" w:eastAsia="仿宋" w:cs="仿宋"/>
          <w:color w:val="auto"/>
          <w:sz w:val="36"/>
          <w:highlight w:val="none"/>
          <w:u w:val="single"/>
        </w:rPr>
        <w:t xml:space="preserve">             </w:t>
      </w:r>
      <w:r>
        <w:rPr>
          <w:rFonts w:hint="eastAsia" w:ascii="仿宋" w:hAnsi="仿宋" w:eastAsia="仿宋" w:cs="仿宋"/>
          <w:color w:val="auto"/>
          <w:sz w:val="36"/>
          <w:highlight w:val="none"/>
        </w:rPr>
        <w:t>（公章）</w:t>
      </w:r>
    </w:p>
    <w:p w14:paraId="382AB675">
      <w:pPr>
        <w:pStyle w:val="58"/>
        <w:spacing w:line="240" w:lineRule="auto"/>
        <w:ind w:firstLine="1698" w:firstLineChars="468"/>
        <w:rPr>
          <w:rFonts w:hint="eastAsia" w:ascii="仿宋" w:hAnsi="仿宋" w:eastAsia="仿宋" w:cs="仿宋"/>
          <w:color w:val="auto"/>
          <w:sz w:val="36"/>
          <w:highlight w:val="none"/>
          <w:u w:val="single"/>
        </w:rPr>
      </w:pPr>
      <w:r>
        <w:rPr>
          <w:rFonts w:hint="eastAsia" w:ascii="仿宋" w:hAnsi="仿宋" w:eastAsia="仿宋" w:cs="仿宋"/>
          <w:color w:val="auto"/>
          <w:sz w:val="36"/>
          <w:highlight w:val="none"/>
        </w:rPr>
        <w:t>时　  间：</w:t>
      </w:r>
      <w:r>
        <w:rPr>
          <w:rFonts w:hint="eastAsia" w:ascii="仿宋" w:hAnsi="仿宋" w:eastAsia="仿宋" w:cs="仿宋"/>
          <w:color w:val="auto"/>
          <w:sz w:val="36"/>
          <w:highlight w:val="none"/>
          <w:u w:val="single"/>
        </w:rPr>
        <w:t xml:space="preserve">             </w:t>
      </w:r>
    </w:p>
    <w:p w14:paraId="5775F26D">
      <w:pPr>
        <w:pStyle w:val="58"/>
        <w:ind w:firstLine="0" w:firstLineChars="0"/>
        <w:jc w:val="both"/>
        <w:rPr>
          <w:rFonts w:hint="eastAsia" w:ascii="仿宋" w:hAnsi="仿宋" w:eastAsia="仿宋" w:cs="仿宋"/>
          <w:color w:val="auto"/>
          <w:sz w:val="36"/>
          <w:highlight w:val="none"/>
        </w:rPr>
      </w:pPr>
    </w:p>
    <w:p w14:paraId="6A194E36">
      <w:pPr>
        <w:pStyle w:val="58"/>
        <w:ind w:firstLine="0" w:firstLineChars="0"/>
        <w:jc w:val="center"/>
        <w:rPr>
          <w:rFonts w:hint="eastAsia" w:ascii="仿宋" w:hAnsi="仿宋" w:eastAsia="仿宋" w:cs="仿宋"/>
          <w:b/>
          <w:color w:val="auto"/>
          <w:sz w:val="36"/>
          <w:highlight w:val="none"/>
        </w:rPr>
      </w:pPr>
      <w:r>
        <w:rPr>
          <w:rFonts w:hint="eastAsia" w:ascii="仿宋" w:hAnsi="仿宋" w:eastAsia="仿宋" w:cs="仿宋"/>
          <w:b/>
          <w:color w:val="auto"/>
          <w:sz w:val="36"/>
          <w:highlight w:val="none"/>
        </w:rPr>
        <w:br w:type="page"/>
      </w:r>
    </w:p>
    <w:p w14:paraId="5E62BF9C">
      <w:pPr>
        <w:pStyle w:val="58"/>
        <w:ind w:firstLine="0" w:firstLineChars="0"/>
        <w:jc w:val="center"/>
        <w:rPr>
          <w:rFonts w:hint="eastAsia" w:ascii="仿宋" w:hAnsi="仿宋" w:eastAsia="仿宋" w:cs="仿宋"/>
          <w:b/>
          <w:color w:val="auto"/>
          <w:sz w:val="36"/>
          <w:szCs w:val="36"/>
          <w:highlight w:val="none"/>
        </w:rPr>
      </w:pPr>
      <w:r>
        <w:rPr>
          <w:rFonts w:hint="eastAsia" w:ascii="仿宋" w:hAnsi="仿宋" w:eastAsia="仿宋" w:cs="仿宋"/>
          <w:b/>
          <w:color w:val="auto"/>
          <w:sz w:val="36"/>
          <w:highlight w:val="none"/>
        </w:rPr>
        <w:t>目 录</w:t>
      </w:r>
    </w:p>
    <w:p w14:paraId="04493E86">
      <w:pPr>
        <w:tabs>
          <w:tab w:val="right" w:leader="hyphen" w:pos="8504"/>
        </w:tabs>
        <w:spacing w:line="500" w:lineRule="exact"/>
        <w:ind w:left="1981" w:leftChars="200" w:right="849" w:rightChars="300" w:hanging="1415" w:hangingChars="500"/>
        <w:rPr>
          <w:rFonts w:ascii="仿宋" w:hAnsi="仿宋" w:eastAsia="仿宋" w:cs="仿宋"/>
          <w:b/>
          <w:bCs/>
          <w:color w:val="auto"/>
          <w:highlight w:val="none"/>
        </w:rPr>
      </w:pPr>
      <w:r>
        <w:rPr>
          <w:rFonts w:hint="eastAsia" w:ascii="仿宋" w:hAnsi="仿宋" w:eastAsia="仿宋" w:cs="仿宋"/>
          <w:b/>
          <w:bCs/>
          <w:color w:val="auto"/>
          <w:highlight w:val="none"/>
        </w:rPr>
        <w:t>第一部分  资格证明文件</w:t>
      </w:r>
      <w:r>
        <w:rPr>
          <w:rFonts w:hint="eastAsia" w:ascii="仿宋" w:hAnsi="仿宋" w:eastAsia="仿宋" w:cs="仿宋"/>
          <w:b/>
          <w:bCs/>
          <w:color w:val="auto"/>
          <w:highlight w:val="none"/>
        </w:rPr>
        <w:tab/>
      </w:r>
      <w:r>
        <w:rPr>
          <w:rFonts w:hint="eastAsia" w:ascii="仿宋" w:hAnsi="仿宋" w:eastAsia="仿宋" w:cs="仿宋"/>
          <w:b/>
          <w:bCs/>
          <w:color w:val="auto"/>
          <w:highlight w:val="none"/>
        </w:rPr>
        <w:t>X</w:t>
      </w:r>
    </w:p>
    <w:p w14:paraId="3620B524">
      <w:pPr>
        <w:tabs>
          <w:tab w:val="right" w:leader="hyphen" w:pos="8504"/>
        </w:tabs>
        <w:spacing w:line="500" w:lineRule="exact"/>
        <w:ind w:left="1981" w:leftChars="200" w:right="849" w:rightChars="300" w:hanging="1415" w:hangingChars="500"/>
        <w:rPr>
          <w:rFonts w:ascii="仿宋" w:hAnsi="仿宋" w:eastAsia="仿宋" w:cs="仿宋"/>
          <w:color w:val="auto"/>
          <w:highlight w:val="none"/>
        </w:rPr>
      </w:pPr>
      <w:r>
        <w:rPr>
          <w:rFonts w:hint="eastAsia" w:ascii="仿宋" w:hAnsi="仿宋" w:eastAsia="仿宋" w:cs="仿宋"/>
          <w:color w:val="auto"/>
          <w:highlight w:val="none"/>
        </w:rPr>
        <w:t>　　　一、营业执照等主体资格证明文件</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5E01A091">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二、财务状况报告</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5080834E">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三、社保缴纳证明</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56C62A5C">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四、税收缴纳证明</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14476E68">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五、信用记录</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1CF6CA4B">
      <w:pPr>
        <w:tabs>
          <w:tab w:val="right" w:leader="hyphen" w:pos="8504"/>
        </w:tabs>
        <w:spacing w:line="500" w:lineRule="exact"/>
        <w:ind w:left="1981" w:leftChars="200" w:right="849" w:rightChars="300" w:hanging="1415" w:hangingChars="500"/>
        <w:rPr>
          <w:rFonts w:ascii="仿宋" w:hAnsi="仿宋" w:eastAsia="仿宋" w:cs="仿宋"/>
          <w:color w:val="auto"/>
          <w:highlight w:val="none"/>
        </w:rPr>
      </w:pPr>
      <w:r>
        <w:rPr>
          <w:rFonts w:hint="eastAsia" w:ascii="仿宋" w:hAnsi="仿宋" w:eastAsia="仿宋" w:cs="仿宋"/>
          <w:color w:val="auto"/>
          <w:highlight w:val="none"/>
        </w:rPr>
        <w:t>　　  六、控股管理关系</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799E3577">
      <w:pPr>
        <w:tabs>
          <w:tab w:val="right" w:leader="hyphen" w:pos="8504"/>
        </w:tabs>
        <w:spacing w:line="500" w:lineRule="exact"/>
        <w:ind w:left="1981" w:leftChars="200" w:right="849" w:rightChars="300" w:hanging="1415" w:hangingChars="500"/>
        <w:rPr>
          <w:rFonts w:ascii="仿宋" w:hAnsi="仿宋" w:eastAsia="仿宋" w:cs="仿宋"/>
          <w:color w:val="auto"/>
          <w:highlight w:val="none"/>
        </w:rPr>
      </w:pPr>
      <w:r>
        <w:rPr>
          <w:rFonts w:hint="eastAsia" w:ascii="仿宋" w:hAnsi="仿宋" w:eastAsia="仿宋" w:cs="仿宋"/>
          <w:color w:val="auto"/>
          <w:highlight w:val="none"/>
        </w:rPr>
        <w:t xml:space="preserve">      七、书面声明</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55973BDB">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八、法定代表人授权委托书</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7242A64C">
      <w:pPr>
        <w:widowControl w:val="0"/>
        <w:tabs>
          <w:tab w:val="right" w:leader="hyphen" w:pos="8504"/>
        </w:tabs>
        <w:spacing w:line="500" w:lineRule="exact"/>
        <w:ind w:left="1734" w:leftChars="513" w:right="849" w:rightChars="300" w:hanging="283" w:hangingChars="100"/>
        <w:rPr>
          <w:rFonts w:hint="eastAsia" w:ascii="仿宋" w:hAnsi="仿宋" w:eastAsia="仿宋" w:cs="仿宋"/>
          <w:color w:val="000000"/>
        </w:rPr>
      </w:pPr>
      <w:r>
        <w:rPr>
          <w:rFonts w:hint="eastAsia" w:ascii="仿宋" w:hAnsi="仿宋" w:eastAsia="仿宋" w:cs="仿宋"/>
          <w:color w:val="000000"/>
        </w:rPr>
        <w:t>九、落实政府采购政策须满足的资格要求</w:t>
      </w:r>
      <w:r>
        <w:rPr>
          <w:rFonts w:hint="eastAsia" w:ascii="仿宋" w:hAnsi="仿宋" w:eastAsia="仿宋" w:cs="仿宋"/>
          <w:color w:val="000000"/>
        </w:rPr>
        <w:tab/>
      </w:r>
      <w:r>
        <w:rPr>
          <w:rFonts w:hint="eastAsia" w:ascii="仿宋" w:hAnsi="仿宋" w:eastAsia="仿宋" w:cs="仿宋"/>
          <w:color w:val="000000"/>
        </w:rPr>
        <w:t>X</w:t>
      </w:r>
    </w:p>
    <w:p w14:paraId="06B66D35">
      <w:pPr>
        <w:tabs>
          <w:tab w:val="right" w:leader="hyphen" w:pos="8504"/>
        </w:tabs>
        <w:spacing w:line="500" w:lineRule="exact"/>
        <w:ind w:left="1981" w:leftChars="500" w:right="849" w:rightChars="300" w:hanging="566" w:hangingChars="200"/>
        <w:rPr>
          <w:rFonts w:ascii="仿宋" w:hAnsi="仿宋" w:eastAsia="仿宋" w:cs="仿宋"/>
          <w:color w:val="auto"/>
          <w:highlight w:val="none"/>
        </w:rPr>
      </w:pPr>
      <w:r>
        <w:rPr>
          <w:rFonts w:hint="eastAsia" w:ascii="仿宋" w:hAnsi="仿宋" w:eastAsia="仿宋" w:cs="仿宋"/>
          <w:color w:val="auto"/>
          <w:highlight w:val="none"/>
          <w:lang w:val="en-US" w:eastAsia="zh-CN"/>
        </w:rPr>
        <w:t>十</w:t>
      </w:r>
      <w:r>
        <w:rPr>
          <w:rFonts w:hint="eastAsia" w:ascii="仿宋" w:hAnsi="仿宋" w:eastAsia="仿宋" w:cs="仿宋"/>
          <w:color w:val="auto"/>
          <w:highlight w:val="none"/>
        </w:rPr>
        <w:t>、本项目不接受联合体</w:t>
      </w:r>
      <w:r>
        <w:rPr>
          <w:rFonts w:hint="eastAsia" w:ascii="仿宋" w:hAnsi="仿宋" w:eastAsia="仿宋" w:cs="仿宋"/>
          <w:color w:val="auto"/>
          <w:highlight w:val="none"/>
          <w:lang w:eastAsia="zh-CN"/>
        </w:rPr>
        <w:t>响应</w:t>
      </w:r>
      <w:r>
        <w:rPr>
          <w:rFonts w:hint="eastAsia" w:ascii="仿宋" w:hAnsi="仿宋" w:eastAsia="仿宋" w:cs="仿宋"/>
          <w:color w:val="auto"/>
          <w:highlight w:val="none"/>
        </w:rPr>
        <w:t>，不允许分包</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1DF719E7">
      <w:pPr>
        <w:tabs>
          <w:tab w:val="right" w:leader="hyphen" w:pos="8504"/>
        </w:tabs>
        <w:spacing w:line="500" w:lineRule="exact"/>
        <w:ind w:left="1981" w:leftChars="200" w:right="849" w:rightChars="300" w:hanging="1415" w:hangingChars="500"/>
        <w:rPr>
          <w:rFonts w:ascii="仿宋" w:hAnsi="仿宋" w:eastAsia="仿宋" w:cs="仿宋"/>
          <w:b/>
          <w:bCs/>
          <w:color w:val="auto"/>
          <w:highlight w:val="none"/>
        </w:rPr>
      </w:pPr>
      <w:r>
        <w:rPr>
          <w:rFonts w:hint="eastAsia" w:ascii="仿宋" w:hAnsi="仿宋" w:eastAsia="仿宋" w:cs="仿宋"/>
          <w:b/>
          <w:bCs/>
          <w:color w:val="auto"/>
          <w:highlight w:val="none"/>
        </w:rPr>
        <w:t>第二部分  符合性证明文件</w:t>
      </w:r>
      <w:r>
        <w:rPr>
          <w:rFonts w:hint="eastAsia" w:ascii="仿宋" w:hAnsi="仿宋" w:eastAsia="仿宋" w:cs="仿宋"/>
          <w:b/>
          <w:bCs/>
          <w:color w:val="auto"/>
          <w:highlight w:val="none"/>
        </w:rPr>
        <w:tab/>
      </w:r>
      <w:r>
        <w:rPr>
          <w:rFonts w:hint="eastAsia" w:ascii="仿宋" w:hAnsi="仿宋" w:eastAsia="仿宋" w:cs="仿宋"/>
          <w:b/>
          <w:bCs/>
          <w:color w:val="auto"/>
          <w:highlight w:val="none"/>
        </w:rPr>
        <w:t>X</w:t>
      </w:r>
    </w:p>
    <w:p w14:paraId="47A16B53">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一、响应函格式</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0AF6A9AE">
      <w:pPr>
        <w:tabs>
          <w:tab w:val="right" w:leader="hyphen" w:pos="8504"/>
        </w:tabs>
        <w:spacing w:line="500" w:lineRule="exact"/>
        <w:ind w:left="1734" w:leftChars="513" w:right="849" w:rightChars="300" w:hanging="283" w:hangingChars="100"/>
        <w:rPr>
          <w:rFonts w:ascii="仿宋" w:hAnsi="仿宋" w:eastAsia="仿宋" w:cs="仿宋"/>
          <w:color w:val="auto"/>
          <w:highlight w:val="none"/>
        </w:rPr>
      </w:pPr>
      <w:r>
        <w:rPr>
          <w:rFonts w:hint="eastAsia" w:ascii="仿宋" w:hAnsi="仿宋" w:eastAsia="仿宋" w:cs="仿宋"/>
          <w:color w:val="auto"/>
          <w:highlight w:val="none"/>
        </w:rPr>
        <w:t>二、第一次谈判报价表</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73D90679">
      <w:pPr>
        <w:tabs>
          <w:tab w:val="right" w:leader="hyphen" w:pos="8504"/>
        </w:tabs>
        <w:spacing w:line="500" w:lineRule="exact"/>
        <w:ind w:right="849" w:rightChars="300" w:firstLine="1981" w:firstLineChars="700"/>
        <w:rPr>
          <w:rFonts w:ascii="仿宋" w:hAnsi="仿宋" w:eastAsia="仿宋" w:cs="仿宋"/>
          <w:color w:val="auto"/>
          <w:highlight w:val="none"/>
        </w:rPr>
      </w:pPr>
      <w:r>
        <w:rPr>
          <w:rFonts w:hint="eastAsia" w:ascii="仿宋" w:hAnsi="仿宋" w:eastAsia="仿宋" w:cs="仿宋"/>
          <w:color w:val="auto"/>
          <w:highlight w:val="none"/>
        </w:rPr>
        <w:t>分项报价表</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5108D96B">
      <w:pPr>
        <w:numPr>
          <w:ilvl w:val="255"/>
          <w:numId w:val="0"/>
        </w:num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三、供应商承诺书</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0E8CE174">
      <w:pPr>
        <w:tabs>
          <w:tab w:val="right" w:leader="hyphen" w:pos="8504"/>
        </w:tabs>
        <w:spacing w:line="500" w:lineRule="exact"/>
        <w:ind w:right="849" w:rightChars="300" w:firstLine="1981" w:firstLineChars="700"/>
        <w:outlineLvl w:val="9"/>
        <w:rPr>
          <w:rFonts w:ascii="仿宋" w:hAnsi="仿宋" w:eastAsia="仿宋" w:cs="仿宋"/>
          <w:color w:val="auto"/>
          <w:highlight w:val="none"/>
        </w:rPr>
      </w:pPr>
      <w:bookmarkStart w:id="277" w:name="_Toc17394"/>
      <w:bookmarkStart w:id="278" w:name="_Toc706"/>
      <w:bookmarkStart w:id="279" w:name="_Toc21909"/>
      <w:bookmarkStart w:id="280" w:name="_Toc787"/>
      <w:bookmarkStart w:id="281" w:name="_Toc29788"/>
      <w:bookmarkStart w:id="282" w:name="_Toc27070"/>
      <w:r>
        <w:rPr>
          <w:rFonts w:hint="eastAsia" w:ascii="仿宋" w:hAnsi="仿宋" w:eastAsia="仿宋" w:cs="仿宋"/>
          <w:color w:val="auto"/>
          <w:highlight w:val="none"/>
        </w:rPr>
        <w:t>（一）质量安全责任承诺书</w:t>
      </w:r>
      <w:r>
        <w:rPr>
          <w:rFonts w:hint="eastAsia" w:ascii="仿宋" w:hAnsi="仿宋" w:eastAsia="仿宋" w:cs="仿宋"/>
          <w:color w:val="auto"/>
          <w:highlight w:val="none"/>
        </w:rPr>
        <w:tab/>
      </w:r>
      <w:r>
        <w:rPr>
          <w:rFonts w:hint="eastAsia" w:ascii="仿宋" w:hAnsi="仿宋" w:eastAsia="仿宋" w:cs="仿宋"/>
          <w:color w:val="auto"/>
          <w:highlight w:val="none"/>
        </w:rPr>
        <w:t>X</w:t>
      </w:r>
      <w:bookmarkEnd w:id="277"/>
      <w:bookmarkEnd w:id="278"/>
      <w:bookmarkEnd w:id="279"/>
      <w:bookmarkEnd w:id="280"/>
      <w:bookmarkEnd w:id="281"/>
      <w:bookmarkEnd w:id="282"/>
    </w:p>
    <w:p w14:paraId="27FC2A3F">
      <w:pPr>
        <w:tabs>
          <w:tab w:val="right" w:leader="hyphen" w:pos="8504"/>
        </w:tabs>
        <w:spacing w:line="500" w:lineRule="exact"/>
        <w:ind w:right="849" w:rightChars="300" w:firstLine="1981" w:firstLineChars="700"/>
        <w:rPr>
          <w:rFonts w:ascii="仿宋" w:hAnsi="仿宋" w:eastAsia="仿宋" w:cs="仿宋"/>
          <w:color w:val="auto"/>
          <w:highlight w:val="none"/>
        </w:rPr>
      </w:pPr>
      <w:r>
        <w:rPr>
          <w:rFonts w:hint="eastAsia" w:ascii="仿宋" w:hAnsi="仿宋" w:eastAsia="仿宋" w:cs="仿宋"/>
          <w:color w:val="auto"/>
          <w:highlight w:val="none"/>
        </w:rPr>
        <w:t>（二）拒绝政府采购领域商业贿赂承诺书</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0EA88494">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四、</w:t>
      </w:r>
      <w:r>
        <w:rPr>
          <w:rFonts w:hint="eastAsia" w:ascii="仿宋" w:hAnsi="仿宋" w:eastAsia="仿宋" w:cs="仿宋"/>
          <w:color w:val="000000"/>
          <w:lang w:val="en-US" w:eastAsia="zh-CN"/>
        </w:rPr>
        <w:t>实质性条款响应</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2A72ABD1">
      <w:pPr>
        <w:tabs>
          <w:tab w:val="right" w:leader="hyphen" w:pos="8504"/>
        </w:tabs>
        <w:spacing w:line="500" w:lineRule="exact"/>
        <w:ind w:left="1981" w:leftChars="200" w:right="849" w:rightChars="300" w:hanging="1415" w:hangingChars="500"/>
        <w:rPr>
          <w:rFonts w:ascii="仿宋" w:hAnsi="仿宋" w:eastAsia="仿宋" w:cs="仿宋"/>
          <w:color w:val="auto"/>
          <w:highlight w:val="none"/>
        </w:rPr>
      </w:pPr>
      <w:r>
        <w:rPr>
          <w:rFonts w:hint="eastAsia" w:ascii="仿宋" w:hAnsi="仿宋" w:eastAsia="仿宋" w:cs="仿宋"/>
          <w:color w:val="auto"/>
          <w:highlight w:val="none"/>
        </w:rPr>
        <w:t xml:space="preserve">      五、合同草案条款响应</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3586DD8C">
      <w:pPr>
        <w:tabs>
          <w:tab w:val="right" w:leader="hyphen" w:pos="8504"/>
        </w:tabs>
        <w:spacing w:line="500" w:lineRule="exact"/>
        <w:ind w:right="849" w:rightChars="300"/>
        <w:rPr>
          <w:rFonts w:ascii="仿宋" w:hAnsi="仿宋" w:eastAsia="仿宋" w:cs="仿宋"/>
          <w:b/>
          <w:bCs/>
          <w:color w:val="auto"/>
          <w:highlight w:val="none"/>
        </w:rPr>
      </w:pPr>
      <w:r>
        <w:rPr>
          <w:rFonts w:hint="eastAsia" w:ascii="仿宋" w:hAnsi="仿宋" w:eastAsia="仿宋" w:cs="仿宋"/>
          <w:color w:val="auto"/>
          <w:highlight w:val="none"/>
        </w:rPr>
        <w:t xml:space="preserve">   </w:t>
      </w:r>
      <w:r>
        <w:rPr>
          <w:rFonts w:hint="eastAsia" w:ascii="仿宋" w:hAnsi="仿宋" w:eastAsia="仿宋" w:cs="仿宋"/>
          <w:b/>
          <w:bCs/>
          <w:color w:val="auto"/>
          <w:highlight w:val="none"/>
        </w:rPr>
        <w:t xml:space="preserve"> 第三部分  响应方案</w:t>
      </w:r>
      <w:r>
        <w:rPr>
          <w:rFonts w:hint="eastAsia" w:ascii="仿宋" w:hAnsi="仿宋" w:eastAsia="仿宋" w:cs="仿宋"/>
          <w:color w:val="auto"/>
          <w:highlight w:val="none"/>
        </w:rPr>
        <w:tab/>
      </w:r>
      <w:r>
        <w:rPr>
          <w:rFonts w:hint="eastAsia" w:ascii="仿宋" w:hAnsi="仿宋" w:eastAsia="仿宋" w:cs="仿宋"/>
          <w:b/>
          <w:bCs/>
          <w:color w:val="auto"/>
          <w:highlight w:val="none"/>
        </w:rPr>
        <w:t>X</w:t>
      </w:r>
    </w:p>
    <w:p w14:paraId="022A601E">
      <w:p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一、</w:t>
      </w:r>
      <w:r>
        <w:rPr>
          <w:rFonts w:hint="eastAsia" w:ascii="仿宋" w:hAnsi="仿宋" w:eastAsia="仿宋" w:cs="仿宋"/>
          <w:lang w:val="en-US" w:eastAsia="zh-CN"/>
        </w:rPr>
        <w:t>对本国产品的支持政策</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62B9CEBB">
      <w:pPr>
        <w:numPr>
          <w:ilvl w:val="0"/>
          <w:numId w:val="4"/>
        </w:numPr>
        <w:tabs>
          <w:tab w:val="right" w:leader="hyphen" w:pos="8504"/>
        </w:tabs>
        <w:spacing w:line="500" w:lineRule="exact"/>
        <w:ind w:right="849" w:rightChars="300" w:firstLine="1415" w:firstLineChars="500"/>
        <w:rPr>
          <w:rFonts w:ascii="仿宋" w:hAnsi="仿宋" w:eastAsia="仿宋" w:cs="仿宋"/>
          <w:color w:val="auto"/>
          <w:highlight w:val="none"/>
        </w:rPr>
      </w:pPr>
      <w:r>
        <w:rPr>
          <w:rFonts w:hint="eastAsia" w:ascii="仿宋" w:hAnsi="仿宋" w:eastAsia="仿宋" w:cs="仿宋"/>
          <w:color w:val="auto"/>
          <w:highlight w:val="none"/>
        </w:rPr>
        <w:t>响应方案</w:t>
      </w:r>
      <w:r>
        <w:rPr>
          <w:rFonts w:hint="eastAsia" w:ascii="仿宋" w:hAnsi="仿宋" w:eastAsia="仿宋" w:cs="仿宋"/>
          <w:color w:val="auto"/>
          <w:highlight w:val="none"/>
        </w:rPr>
        <w:tab/>
      </w:r>
      <w:r>
        <w:rPr>
          <w:rFonts w:hint="eastAsia" w:ascii="仿宋" w:hAnsi="仿宋" w:eastAsia="仿宋" w:cs="仿宋"/>
          <w:color w:val="auto"/>
          <w:highlight w:val="none"/>
        </w:rPr>
        <w:t>X</w:t>
      </w:r>
    </w:p>
    <w:p w14:paraId="78B58CCB">
      <w:pPr>
        <w:pStyle w:val="5"/>
        <w:jc w:val="center"/>
        <w:rPr>
          <w:rFonts w:hint="eastAsia" w:ascii="仿宋" w:hAnsi="仿宋" w:eastAsia="仿宋" w:cs="仿宋"/>
          <w:b w:val="0"/>
          <w:bCs w:val="0"/>
          <w:color w:val="auto"/>
          <w:sz w:val="32"/>
          <w:szCs w:val="32"/>
          <w:highlight w:val="none"/>
        </w:rPr>
      </w:pPr>
      <w:r>
        <w:rPr>
          <w:rFonts w:hint="eastAsia" w:ascii="仿宋" w:hAnsi="仿宋" w:eastAsia="仿宋" w:cs="仿宋"/>
          <w:b w:val="0"/>
          <w:color w:val="auto"/>
          <w:highlight w:val="none"/>
        </w:rPr>
        <w:br w:type="page"/>
      </w:r>
      <w:bookmarkStart w:id="283" w:name="_Toc22373"/>
      <w:bookmarkStart w:id="284" w:name="_Toc186"/>
      <w:bookmarkStart w:id="285" w:name="_Toc19251"/>
      <w:bookmarkStart w:id="286" w:name="_Toc9524"/>
      <w:bookmarkStart w:id="287" w:name="_Toc12040"/>
      <w:bookmarkStart w:id="288" w:name="_Toc31471"/>
      <w:bookmarkStart w:id="289" w:name="_Toc4607"/>
      <w:bookmarkStart w:id="290" w:name="_Toc16283"/>
      <w:bookmarkStart w:id="291" w:name="_Toc18508"/>
      <w:bookmarkStart w:id="292" w:name="_Toc8580"/>
      <w:r>
        <w:rPr>
          <w:rStyle w:val="61"/>
          <w:rFonts w:hint="eastAsia" w:ascii="黑体" w:hAnsi="黑体" w:eastAsia="黑体" w:cs="黑体"/>
          <w:b w:val="0"/>
          <w:bCs w:val="0"/>
          <w:color w:val="auto"/>
          <w:sz w:val="32"/>
          <w:szCs w:val="32"/>
          <w:highlight w:val="none"/>
        </w:rPr>
        <w:t>第一部分  资格证明文件</w:t>
      </w:r>
      <w:bookmarkEnd w:id="283"/>
      <w:bookmarkEnd w:id="284"/>
      <w:bookmarkEnd w:id="285"/>
      <w:bookmarkEnd w:id="286"/>
      <w:bookmarkEnd w:id="287"/>
      <w:bookmarkEnd w:id="288"/>
      <w:bookmarkEnd w:id="289"/>
      <w:bookmarkEnd w:id="290"/>
      <w:bookmarkEnd w:id="291"/>
      <w:bookmarkEnd w:id="292"/>
    </w:p>
    <w:p w14:paraId="1DC60EBC">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供应商应按照谈判文件第一章第十项所列“供应商资格要求”逐一提供全部资格证明文件。缺少其中任何一项，其响应文件将被视为无效文件。</w:t>
      </w:r>
    </w:p>
    <w:p w14:paraId="558C6E62">
      <w:pPr>
        <w:spacing w:line="500" w:lineRule="exact"/>
        <w:ind w:firstLine="0" w:firstLineChars="0"/>
        <w:rPr>
          <w:rFonts w:ascii="仿宋" w:hAnsi="仿宋" w:eastAsia="仿宋" w:cs="仿宋"/>
          <w:color w:val="auto"/>
          <w:highlight w:val="none"/>
        </w:rPr>
      </w:pPr>
      <w:r>
        <w:rPr>
          <w:rFonts w:hint="eastAsia" w:ascii="仿宋" w:hAnsi="仿宋" w:eastAsia="仿宋" w:cs="仿宋"/>
          <w:color w:val="auto"/>
          <w:highlight w:val="none"/>
        </w:rPr>
        <w:t>其中，《供应商信用记录书面声明函》《控股管理关系》《书面声明》《法定代表人授权委托书》</w:t>
      </w:r>
      <w:r>
        <w:rPr>
          <w:rFonts w:hint="eastAsia" w:ascii="仿宋" w:hAnsi="仿宋" w:eastAsia="仿宋" w:cs="仿宋"/>
          <w:highlight w:val="none"/>
        </w:rPr>
        <w:t>《残疾人福利性单位声明函》</w:t>
      </w:r>
      <w:r>
        <w:rPr>
          <w:rFonts w:hint="eastAsia" w:ascii="仿宋" w:hAnsi="仿宋" w:eastAsia="仿宋" w:cs="仿宋"/>
          <w:color w:val="auto"/>
          <w:highlight w:val="none"/>
        </w:rPr>
        <w:t>《非联合体不分包投标声明》须按下文给定格式填写。特别说明，法定代表人亲自参加谈判的，可不提供法定代表人授权委托书，但须提供其本人身份证（正反面）复印件。</w:t>
      </w:r>
    </w:p>
    <w:p w14:paraId="0A67A15F">
      <w:pPr>
        <w:pStyle w:val="6"/>
        <w:spacing w:line="500" w:lineRule="exact"/>
        <w:ind w:firstLine="566" w:firstLineChars="200"/>
        <w:jc w:val="left"/>
        <w:rPr>
          <w:rFonts w:ascii="仿宋" w:hAnsi="仿宋" w:eastAsia="仿宋" w:cs="仿宋"/>
          <w:color w:val="auto"/>
          <w:sz w:val="28"/>
          <w:szCs w:val="28"/>
          <w:highlight w:val="none"/>
          <w:u w:val="none"/>
        </w:rPr>
      </w:pPr>
      <w:bookmarkStart w:id="293" w:name="_Toc25209"/>
      <w:r>
        <w:rPr>
          <w:rFonts w:hint="eastAsia" w:ascii="仿宋" w:hAnsi="仿宋" w:eastAsia="仿宋" w:cs="仿宋"/>
          <w:color w:val="auto"/>
          <w:sz w:val="28"/>
          <w:szCs w:val="28"/>
          <w:highlight w:val="none"/>
          <w:u w:val="none"/>
        </w:rPr>
        <w:t>一、营业执照等主体资格证明文件</w:t>
      </w:r>
      <w:bookmarkEnd w:id="293"/>
    </w:p>
    <w:p w14:paraId="4EF15F5E">
      <w:pPr>
        <w:pStyle w:val="6"/>
        <w:spacing w:line="500" w:lineRule="exact"/>
        <w:ind w:firstLine="566" w:firstLineChars="200"/>
        <w:jc w:val="left"/>
        <w:rPr>
          <w:rFonts w:ascii="仿宋" w:hAnsi="仿宋" w:eastAsia="仿宋" w:cs="仿宋"/>
          <w:color w:val="auto"/>
          <w:sz w:val="28"/>
          <w:szCs w:val="28"/>
          <w:highlight w:val="none"/>
          <w:u w:val="none"/>
        </w:rPr>
      </w:pPr>
      <w:bookmarkStart w:id="294" w:name="_Toc16748"/>
      <w:r>
        <w:rPr>
          <w:rFonts w:hint="eastAsia" w:ascii="仿宋" w:hAnsi="仿宋" w:eastAsia="仿宋" w:cs="仿宋"/>
          <w:color w:val="auto"/>
          <w:sz w:val="28"/>
          <w:szCs w:val="28"/>
          <w:highlight w:val="none"/>
          <w:u w:val="none"/>
        </w:rPr>
        <w:t>二、财务状况报告</w:t>
      </w:r>
      <w:bookmarkEnd w:id="294"/>
    </w:p>
    <w:p w14:paraId="401B0DB1">
      <w:pPr>
        <w:pStyle w:val="6"/>
        <w:spacing w:line="500" w:lineRule="exact"/>
        <w:ind w:firstLine="566" w:firstLineChars="200"/>
        <w:jc w:val="left"/>
        <w:rPr>
          <w:rFonts w:ascii="仿宋" w:hAnsi="仿宋" w:eastAsia="仿宋" w:cs="仿宋"/>
          <w:color w:val="auto"/>
          <w:sz w:val="28"/>
          <w:szCs w:val="28"/>
          <w:highlight w:val="none"/>
          <w:u w:val="none"/>
        </w:rPr>
      </w:pPr>
      <w:bookmarkStart w:id="295" w:name="_Toc2622"/>
      <w:r>
        <w:rPr>
          <w:rFonts w:hint="eastAsia" w:ascii="仿宋" w:hAnsi="仿宋" w:eastAsia="仿宋" w:cs="仿宋"/>
          <w:color w:val="auto"/>
          <w:sz w:val="28"/>
          <w:szCs w:val="28"/>
          <w:highlight w:val="none"/>
          <w:u w:val="none"/>
        </w:rPr>
        <w:t>三、社保缴纳证明</w:t>
      </w:r>
      <w:bookmarkEnd w:id="295"/>
    </w:p>
    <w:p w14:paraId="6559DD92">
      <w:pPr>
        <w:pStyle w:val="6"/>
        <w:spacing w:line="500" w:lineRule="exact"/>
        <w:ind w:firstLine="566" w:firstLineChars="200"/>
        <w:jc w:val="left"/>
        <w:rPr>
          <w:rFonts w:ascii="仿宋" w:hAnsi="仿宋" w:eastAsia="仿宋" w:cs="仿宋"/>
          <w:color w:val="auto"/>
          <w:sz w:val="28"/>
          <w:szCs w:val="28"/>
          <w:highlight w:val="none"/>
          <w:u w:val="none"/>
        </w:rPr>
      </w:pPr>
      <w:bookmarkStart w:id="296" w:name="_Toc16632"/>
      <w:r>
        <w:rPr>
          <w:rFonts w:hint="eastAsia" w:ascii="仿宋" w:hAnsi="仿宋" w:eastAsia="仿宋" w:cs="仿宋"/>
          <w:color w:val="auto"/>
          <w:sz w:val="28"/>
          <w:szCs w:val="28"/>
          <w:highlight w:val="none"/>
          <w:u w:val="none"/>
        </w:rPr>
        <w:t>四、税收缴纳证明</w:t>
      </w:r>
      <w:bookmarkEnd w:id="296"/>
    </w:p>
    <w:p w14:paraId="0730960C">
      <w:pPr>
        <w:pStyle w:val="6"/>
        <w:spacing w:line="500" w:lineRule="exact"/>
        <w:ind w:firstLine="566" w:firstLineChars="200"/>
        <w:jc w:val="left"/>
        <w:rPr>
          <w:rFonts w:ascii="仿宋" w:hAnsi="仿宋" w:eastAsia="仿宋" w:cs="仿宋"/>
          <w:color w:val="auto"/>
          <w:sz w:val="28"/>
          <w:szCs w:val="28"/>
          <w:highlight w:val="none"/>
          <w:u w:val="none"/>
        </w:rPr>
      </w:pPr>
      <w:bookmarkStart w:id="297" w:name="_Toc25259"/>
      <w:r>
        <w:rPr>
          <w:rFonts w:hint="eastAsia" w:ascii="仿宋" w:hAnsi="仿宋" w:eastAsia="仿宋" w:cs="仿宋"/>
          <w:color w:val="auto"/>
          <w:sz w:val="28"/>
          <w:szCs w:val="28"/>
          <w:highlight w:val="none"/>
          <w:u w:val="none"/>
        </w:rPr>
        <w:t>五、信用记录</w:t>
      </w:r>
      <w:bookmarkEnd w:id="297"/>
    </w:p>
    <w:p w14:paraId="0B2CC55D">
      <w:pPr>
        <w:pStyle w:val="56"/>
        <w:jc w:val="center"/>
        <w:outlineLvl w:val="9"/>
        <w:rPr>
          <w:rFonts w:ascii="仿宋" w:hAnsi="仿宋" w:eastAsia="仿宋" w:cs="仿宋"/>
          <w:color w:val="auto"/>
          <w:sz w:val="28"/>
          <w:szCs w:val="28"/>
          <w:highlight w:val="none"/>
        </w:rPr>
      </w:pPr>
    </w:p>
    <w:p w14:paraId="23A5795C">
      <w:pPr>
        <w:pStyle w:val="56"/>
        <w:jc w:val="center"/>
        <w:outlineLvl w:val="9"/>
        <w:rPr>
          <w:rFonts w:ascii="仿宋" w:hAnsi="仿宋" w:eastAsia="仿宋" w:cs="仿宋"/>
          <w:color w:val="auto"/>
          <w:sz w:val="28"/>
          <w:szCs w:val="28"/>
          <w:highlight w:val="none"/>
        </w:rPr>
      </w:pPr>
      <w:r>
        <w:rPr>
          <w:rFonts w:hint="eastAsia" w:ascii="仿宋" w:hAnsi="仿宋" w:eastAsia="仿宋" w:cs="仿宋"/>
          <w:color w:val="auto"/>
          <w:sz w:val="28"/>
          <w:szCs w:val="28"/>
          <w:highlight w:val="none"/>
        </w:rPr>
        <w:t>供应商信用记录书面声明函（格式）</w:t>
      </w:r>
    </w:p>
    <w:p w14:paraId="52670D07">
      <w:pPr>
        <w:spacing w:line="500" w:lineRule="exact"/>
        <w:rPr>
          <w:rFonts w:ascii="仿宋" w:hAnsi="仿宋" w:eastAsia="仿宋" w:cs="仿宋"/>
          <w:color w:val="auto"/>
          <w:highlight w:val="none"/>
        </w:rPr>
      </w:pPr>
      <w:r>
        <w:rPr>
          <w:rFonts w:hint="eastAsia" w:ascii="仿宋" w:hAnsi="仿宋" w:eastAsia="仿宋" w:cs="仿宋"/>
          <w:color w:val="auto"/>
          <w:highlight w:val="none"/>
        </w:rPr>
        <w:t>陕西省省级单位政府采购中心：</w:t>
      </w:r>
    </w:p>
    <w:p w14:paraId="6506EC0A">
      <w:pPr>
        <w:spacing w:line="500" w:lineRule="exact"/>
        <w:ind w:right="11" w:firstLine="566" w:firstLineChars="200"/>
        <w:rPr>
          <w:rFonts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》（项目编号：______）第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标段的谈判供应商，在此郑重声明：</w:t>
      </w:r>
    </w:p>
    <w:p w14:paraId="4C35EF5E">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1、在参加本次政府采购活动前3年内的经营活动中____（填“没有”或“有”）重大违法记录。</w:t>
      </w:r>
      <w:r>
        <w:rPr>
          <w:rFonts w:hint="eastAsia" w:ascii="仿宋" w:hAnsi="仿宋" w:eastAsia="仿宋" w:cs="仿宋"/>
          <w:b/>
          <w:bCs/>
          <w:color w:val="auto"/>
          <w:highlight w:val="none"/>
        </w:rPr>
        <w:t>供应商在参加政府采购活动前3年内因违法经营被禁止在一定期限内参加政府采购活动，期限届满的，可以参加政府采购活动，但应提供期限届满的证明材料。</w:t>
      </w:r>
    </w:p>
    <w:p w14:paraId="39549E5D">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2、我方______（填“未被列入”或“被列入”）失信被执行人名单。</w:t>
      </w:r>
    </w:p>
    <w:p w14:paraId="01C27E9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3、我方______（填“未被列入”或“被列入”）重大税收违法案件当事人名单。</w:t>
      </w:r>
    </w:p>
    <w:p w14:paraId="39DCDA69">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4、我方______（填“未被列入”或“被列入”）政府采购严重违法失信行为记录名单。</w:t>
      </w:r>
    </w:p>
    <w:p w14:paraId="0B77E699">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63525115">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特此声明。</w:t>
      </w:r>
    </w:p>
    <w:p w14:paraId="3E6CC267">
      <w:pPr>
        <w:spacing w:line="500" w:lineRule="exact"/>
        <w:ind w:firstLine="566" w:firstLineChars="200"/>
        <w:rPr>
          <w:rFonts w:ascii="仿宋" w:hAnsi="仿宋" w:eastAsia="仿宋" w:cs="仿宋"/>
          <w:color w:val="auto"/>
          <w:highlight w:val="none"/>
        </w:rPr>
      </w:pPr>
    </w:p>
    <w:p w14:paraId="70EDAF63">
      <w:pPr>
        <w:spacing w:line="500" w:lineRule="exact"/>
        <w:ind w:firstLine="566" w:firstLineChars="200"/>
        <w:jc w:val="center"/>
        <w:rPr>
          <w:rFonts w:ascii="仿宋" w:hAnsi="仿宋" w:eastAsia="仿宋" w:cs="仿宋"/>
          <w:color w:val="auto"/>
          <w:highlight w:val="none"/>
        </w:rPr>
      </w:pPr>
      <w:r>
        <w:rPr>
          <w:rFonts w:hint="eastAsia" w:ascii="仿宋" w:hAnsi="仿宋" w:eastAsia="仿宋" w:cs="仿宋"/>
          <w:color w:val="auto"/>
          <w:highlight w:val="none"/>
        </w:rPr>
        <w:t xml:space="preserve">            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078B00D7">
      <w:pPr>
        <w:spacing w:line="500" w:lineRule="exact"/>
        <w:ind w:firstLine="566" w:firstLineChars="200"/>
        <w:jc w:val="center"/>
        <w:rPr>
          <w:rFonts w:ascii="仿宋" w:hAnsi="仿宋" w:eastAsia="仿宋" w:cs="仿宋"/>
          <w:color w:val="auto"/>
          <w:highlight w:val="none"/>
        </w:rPr>
      </w:pPr>
      <w:r>
        <w:rPr>
          <w:rFonts w:hint="eastAsia" w:ascii="仿宋" w:hAnsi="仿宋" w:eastAsia="仿宋" w:cs="仿宋"/>
          <w:color w:val="auto"/>
          <w:highlight w:val="none"/>
        </w:rPr>
        <w:t xml:space="preserve">            日期：　　年　月　日</w:t>
      </w:r>
    </w:p>
    <w:p w14:paraId="78B27F0A">
      <w:pPr>
        <w:spacing w:line="500" w:lineRule="exact"/>
        <w:ind w:firstLine="566" w:firstLineChars="200"/>
        <w:rPr>
          <w:rFonts w:hint="eastAsia" w:ascii="仿宋" w:hAnsi="仿宋" w:eastAsia="仿宋" w:cs="仿宋"/>
          <w:color w:val="auto"/>
          <w:highlight w:val="none"/>
        </w:rPr>
      </w:pPr>
    </w:p>
    <w:p w14:paraId="0AD4DF33">
      <w:pPr>
        <w:spacing w:line="240" w:lineRule="auto"/>
        <w:jc w:val="left"/>
        <w:rPr>
          <w:rFonts w:hint="eastAsia" w:ascii="仿宋" w:hAnsi="仿宋" w:eastAsia="仿宋" w:cs="仿宋"/>
          <w:color w:val="auto"/>
          <w:sz w:val="30"/>
          <w:szCs w:val="30"/>
          <w:highlight w:val="none"/>
        </w:rPr>
      </w:pPr>
    </w:p>
    <w:p w14:paraId="3BA218B5">
      <w:pPr>
        <w:spacing w:line="240" w:lineRule="auto"/>
        <w:jc w:val="left"/>
        <w:rPr>
          <w:rFonts w:hint="eastAsia" w:ascii="仿宋" w:hAnsi="仿宋" w:eastAsia="仿宋" w:cs="仿宋"/>
          <w:color w:val="auto"/>
          <w:sz w:val="30"/>
          <w:szCs w:val="30"/>
          <w:highlight w:val="none"/>
        </w:rPr>
      </w:pPr>
    </w:p>
    <w:p w14:paraId="4B7A44A2">
      <w:pPr>
        <w:spacing w:line="240" w:lineRule="auto"/>
        <w:jc w:val="left"/>
        <w:rPr>
          <w:rFonts w:hint="eastAsia" w:ascii="仿宋" w:hAnsi="仿宋" w:eastAsia="仿宋" w:cs="仿宋"/>
          <w:color w:val="auto"/>
          <w:sz w:val="30"/>
          <w:szCs w:val="30"/>
          <w:highlight w:val="none"/>
        </w:rPr>
      </w:pPr>
    </w:p>
    <w:p w14:paraId="469DA987">
      <w:pPr>
        <w:pStyle w:val="26"/>
        <w:spacing w:after="190"/>
        <w:ind w:firstLine="213"/>
        <w:rPr>
          <w:rFonts w:hint="eastAsia" w:ascii="仿宋" w:hAnsi="仿宋" w:eastAsia="仿宋" w:cs="仿宋"/>
          <w:sz w:val="21"/>
          <w:szCs w:val="21"/>
          <w:highlight w:val="none"/>
        </w:rPr>
      </w:pPr>
      <w:r>
        <w:rPr>
          <w:rFonts w:hint="eastAsia" w:ascii="宋体" w:hAnsi="宋体" w:cs="宋体"/>
          <w:sz w:val="21"/>
          <w:szCs w:val="21"/>
          <w:highlight w:val="none"/>
        </w:rPr>
        <w:t>备注：项目不分标段的，第___标段空白处填写“/”。</w:t>
      </w:r>
    </w:p>
    <w:p w14:paraId="309FC684">
      <w:pPr>
        <w:pStyle w:val="6"/>
        <w:spacing w:line="500" w:lineRule="exact"/>
        <w:ind w:firstLine="426" w:firstLineChars="200"/>
        <w:jc w:val="left"/>
        <w:rPr>
          <w:rFonts w:ascii="仿宋" w:hAnsi="仿宋" w:eastAsia="仿宋" w:cs="仿宋"/>
          <w:color w:val="auto"/>
          <w:sz w:val="30"/>
          <w:szCs w:val="30"/>
          <w:highlight w:val="none"/>
          <w:u w:val="none"/>
        </w:rPr>
      </w:pPr>
      <w:r>
        <w:rPr>
          <w:rFonts w:hint="eastAsia" w:ascii="仿宋" w:hAnsi="仿宋" w:eastAsia="仿宋" w:cs="仿宋"/>
          <w:color w:val="auto"/>
          <w:sz w:val="21"/>
          <w:szCs w:val="21"/>
          <w:highlight w:val="none"/>
        </w:rPr>
        <w:br w:type="page"/>
      </w:r>
      <w:bookmarkStart w:id="298" w:name="_Toc32669"/>
      <w:r>
        <w:rPr>
          <w:rFonts w:hint="eastAsia" w:ascii="仿宋" w:hAnsi="仿宋" w:eastAsia="仿宋" w:cs="仿宋"/>
          <w:color w:val="auto"/>
          <w:sz w:val="28"/>
          <w:szCs w:val="28"/>
          <w:highlight w:val="none"/>
          <w:u w:val="none"/>
        </w:rPr>
        <w:t>六、控股管理关系</w:t>
      </w:r>
      <w:bookmarkEnd w:id="298"/>
    </w:p>
    <w:p w14:paraId="7C542537">
      <w:pPr>
        <w:pStyle w:val="26"/>
        <w:spacing w:after="190"/>
        <w:ind w:firstLine="566" w:firstLineChars="200"/>
        <w:jc w:val="center"/>
        <w:rPr>
          <w:rFonts w:ascii="仿宋" w:hAnsi="仿宋" w:eastAsia="仿宋" w:cs="仿宋"/>
          <w:b/>
          <w:bCs/>
          <w:sz w:val="28"/>
          <w:szCs w:val="28"/>
          <w:highlight w:val="none"/>
        </w:rPr>
      </w:pPr>
      <w:r>
        <w:rPr>
          <w:rFonts w:hint="eastAsia" w:ascii="仿宋" w:hAnsi="仿宋" w:eastAsia="仿宋" w:cs="仿宋"/>
          <w:b/>
          <w:bCs/>
          <w:sz w:val="28"/>
          <w:szCs w:val="28"/>
          <w:highlight w:val="none"/>
        </w:rPr>
        <w:t>控股管理关系（格式）</w:t>
      </w:r>
    </w:p>
    <w:p w14:paraId="58739EA5">
      <w:pPr>
        <w:spacing w:line="500" w:lineRule="exact"/>
        <w:rPr>
          <w:rFonts w:ascii="仿宋" w:hAnsi="仿宋" w:eastAsia="仿宋" w:cs="仿宋"/>
          <w:color w:val="auto"/>
          <w:highlight w:val="none"/>
        </w:rPr>
      </w:pPr>
      <w:r>
        <w:rPr>
          <w:rFonts w:hint="eastAsia" w:ascii="仿宋" w:hAnsi="仿宋" w:eastAsia="仿宋" w:cs="仿宋"/>
          <w:color w:val="auto"/>
          <w:highlight w:val="none"/>
        </w:rPr>
        <w:t>陕西省省级单位政府采购中心：</w:t>
      </w:r>
    </w:p>
    <w:p w14:paraId="41FD38F0">
      <w:pPr>
        <w:spacing w:line="500" w:lineRule="exact"/>
        <w:ind w:firstLine="566" w:firstLineChars="200"/>
        <w:rPr>
          <w:rFonts w:ascii="仿宋" w:hAnsi="仿宋" w:eastAsia="仿宋" w:cs="仿宋"/>
          <w:b/>
          <w:bCs/>
          <w:color w:val="auto"/>
          <w:sz w:val="30"/>
          <w:szCs w:val="30"/>
          <w:highlight w:val="none"/>
        </w:rPr>
      </w:pPr>
      <w:r>
        <w:rPr>
          <w:rFonts w:hint="eastAsia" w:ascii="仿宋" w:hAnsi="仿宋" w:eastAsia="仿宋" w:cs="仿宋"/>
          <w:color w:val="auto"/>
          <w:highlight w:val="none"/>
        </w:rPr>
        <w:t>我方与以下供应商存在直接控股、管理关系：</w:t>
      </w:r>
    </w:p>
    <w:tbl>
      <w:tblPr>
        <w:tblStyle w:val="28"/>
        <w:tblW w:w="918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686"/>
        <w:gridCol w:w="2855"/>
        <w:gridCol w:w="2646"/>
        <w:gridCol w:w="1993"/>
      </w:tblGrid>
      <w:tr w14:paraId="5DADE54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9180" w:type="dxa"/>
            <w:gridSpan w:val="4"/>
            <w:tcBorders>
              <w:left w:val="single" w:color="auto" w:sz="12" w:space="0"/>
              <w:right w:val="single" w:color="auto" w:sz="12" w:space="0"/>
            </w:tcBorders>
            <w:shd w:val="clear" w:color="auto" w:fill="F7CAAC"/>
            <w:noWrap/>
            <w:vAlign w:val="center"/>
          </w:tcPr>
          <w:p w14:paraId="11247830">
            <w:pPr>
              <w:autoSpaceDE w:val="0"/>
              <w:autoSpaceDN w:val="0"/>
              <w:adjustRightInd w:val="0"/>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存在直接控股、管理关系的相关供应商</w:t>
            </w:r>
          </w:p>
        </w:tc>
      </w:tr>
      <w:tr w14:paraId="376678A9">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21165AD6">
            <w:pPr>
              <w:autoSpaceDE w:val="0"/>
              <w:autoSpaceDN w:val="0"/>
              <w:adjustRightInd w:val="0"/>
              <w:spacing w:line="320" w:lineRule="exact"/>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序号</w:t>
            </w:r>
          </w:p>
        </w:tc>
        <w:tc>
          <w:tcPr>
            <w:tcW w:w="2855" w:type="dxa"/>
            <w:tcBorders>
              <w:right w:val="single" w:color="auto" w:sz="4" w:space="0"/>
            </w:tcBorders>
            <w:noWrap/>
            <w:vAlign w:val="center"/>
          </w:tcPr>
          <w:p w14:paraId="24B840DE">
            <w:pPr>
              <w:autoSpaceDE w:val="0"/>
              <w:autoSpaceDN w:val="0"/>
              <w:adjustRightInd w:val="0"/>
              <w:spacing w:line="320" w:lineRule="exact"/>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直接控股股东名称及出资比例</w:t>
            </w:r>
          </w:p>
        </w:tc>
        <w:tc>
          <w:tcPr>
            <w:tcW w:w="2646" w:type="dxa"/>
            <w:tcBorders>
              <w:left w:val="single" w:color="auto" w:sz="4" w:space="0"/>
              <w:right w:val="single" w:color="auto" w:sz="4" w:space="0"/>
            </w:tcBorders>
            <w:noWrap/>
            <w:vAlign w:val="center"/>
          </w:tcPr>
          <w:p w14:paraId="16D54652">
            <w:pPr>
              <w:autoSpaceDE w:val="0"/>
              <w:autoSpaceDN w:val="0"/>
              <w:adjustRightInd w:val="0"/>
              <w:spacing w:line="320" w:lineRule="exact"/>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直接管理关系单位</w:t>
            </w:r>
          </w:p>
          <w:p w14:paraId="05F77804">
            <w:pPr>
              <w:autoSpaceDE w:val="0"/>
              <w:autoSpaceDN w:val="0"/>
              <w:adjustRightInd w:val="0"/>
              <w:spacing w:line="320" w:lineRule="exact"/>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名称</w:t>
            </w:r>
          </w:p>
        </w:tc>
        <w:tc>
          <w:tcPr>
            <w:tcW w:w="1993" w:type="dxa"/>
            <w:tcBorders>
              <w:left w:val="single" w:color="auto" w:sz="4" w:space="0"/>
              <w:right w:val="single" w:color="auto" w:sz="12" w:space="0"/>
            </w:tcBorders>
            <w:noWrap/>
            <w:vAlign w:val="center"/>
          </w:tcPr>
          <w:p w14:paraId="6BB0687E">
            <w:pPr>
              <w:autoSpaceDE w:val="0"/>
              <w:autoSpaceDN w:val="0"/>
              <w:adjustRightInd w:val="0"/>
              <w:spacing w:line="320" w:lineRule="exact"/>
              <w:jc w:val="center"/>
              <w:rPr>
                <w:rFonts w:ascii="仿宋" w:hAnsi="仿宋" w:eastAsia="仿宋" w:cs="仿宋"/>
                <w:b/>
                <w:color w:val="auto"/>
                <w:kern w:val="0"/>
                <w:sz w:val="24"/>
                <w:szCs w:val="24"/>
                <w:highlight w:val="none"/>
              </w:rPr>
            </w:pPr>
            <w:r>
              <w:rPr>
                <w:rFonts w:hint="eastAsia" w:ascii="仿宋" w:hAnsi="仿宋" w:eastAsia="仿宋" w:cs="仿宋"/>
                <w:b/>
                <w:color w:val="auto"/>
                <w:kern w:val="0"/>
                <w:sz w:val="24"/>
                <w:szCs w:val="24"/>
                <w:highlight w:val="none"/>
              </w:rPr>
              <w:t>备注</w:t>
            </w:r>
          </w:p>
        </w:tc>
      </w:tr>
      <w:tr w14:paraId="0FE29B8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92DDE66">
            <w:pPr>
              <w:autoSpaceDE w:val="0"/>
              <w:autoSpaceDN w:val="0"/>
              <w:adjustRightInd w:val="0"/>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1</w:t>
            </w:r>
          </w:p>
        </w:tc>
        <w:tc>
          <w:tcPr>
            <w:tcW w:w="2855" w:type="dxa"/>
            <w:tcBorders>
              <w:right w:val="single" w:color="auto" w:sz="4" w:space="0"/>
            </w:tcBorders>
            <w:noWrap/>
            <w:vAlign w:val="center"/>
          </w:tcPr>
          <w:p w14:paraId="4FC1BFA7">
            <w:pPr>
              <w:autoSpaceDE w:val="0"/>
              <w:autoSpaceDN w:val="0"/>
              <w:adjustRightInd w:val="0"/>
              <w:spacing w:line="320" w:lineRule="exact"/>
              <w:rPr>
                <w:rFonts w:ascii="仿宋" w:hAnsi="仿宋" w:eastAsia="仿宋" w:cs="仿宋"/>
                <w:bCs/>
                <w:color w:val="auto"/>
                <w:kern w:val="0"/>
                <w:sz w:val="24"/>
                <w:szCs w:val="24"/>
                <w:highlight w:val="none"/>
              </w:rPr>
            </w:pPr>
          </w:p>
        </w:tc>
        <w:tc>
          <w:tcPr>
            <w:tcW w:w="2646" w:type="dxa"/>
            <w:tcBorders>
              <w:left w:val="single" w:color="auto" w:sz="4" w:space="0"/>
              <w:right w:val="single" w:color="auto" w:sz="4" w:space="0"/>
            </w:tcBorders>
            <w:noWrap/>
            <w:vAlign w:val="center"/>
          </w:tcPr>
          <w:p w14:paraId="361F0B7A">
            <w:pPr>
              <w:autoSpaceDE w:val="0"/>
              <w:autoSpaceDN w:val="0"/>
              <w:adjustRightInd w:val="0"/>
              <w:spacing w:line="320" w:lineRule="exact"/>
              <w:rPr>
                <w:rFonts w:ascii="仿宋" w:hAnsi="仿宋" w:eastAsia="仿宋" w:cs="仿宋"/>
                <w:bCs/>
                <w:color w:val="auto"/>
                <w:kern w:val="0"/>
                <w:sz w:val="24"/>
                <w:szCs w:val="24"/>
                <w:highlight w:val="none"/>
              </w:rPr>
            </w:pPr>
          </w:p>
        </w:tc>
        <w:tc>
          <w:tcPr>
            <w:tcW w:w="1993" w:type="dxa"/>
            <w:tcBorders>
              <w:left w:val="single" w:color="auto" w:sz="4" w:space="0"/>
              <w:right w:val="single" w:color="auto" w:sz="12" w:space="0"/>
            </w:tcBorders>
            <w:noWrap/>
            <w:vAlign w:val="center"/>
          </w:tcPr>
          <w:p w14:paraId="734B8502">
            <w:pPr>
              <w:autoSpaceDE w:val="0"/>
              <w:autoSpaceDN w:val="0"/>
              <w:adjustRightInd w:val="0"/>
              <w:spacing w:line="320" w:lineRule="exact"/>
              <w:rPr>
                <w:rFonts w:ascii="仿宋" w:hAnsi="仿宋" w:eastAsia="仿宋" w:cs="仿宋"/>
                <w:bCs/>
                <w:color w:val="auto"/>
                <w:kern w:val="0"/>
                <w:sz w:val="24"/>
                <w:szCs w:val="24"/>
                <w:highlight w:val="none"/>
              </w:rPr>
            </w:pPr>
          </w:p>
        </w:tc>
      </w:tr>
      <w:tr w14:paraId="6CA52B0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432CEA57">
            <w:pPr>
              <w:autoSpaceDE w:val="0"/>
              <w:autoSpaceDN w:val="0"/>
              <w:adjustRightInd w:val="0"/>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2</w:t>
            </w:r>
          </w:p>
        </w:tc>
        <w:tc>
          <w:tcPr>
            <w:tcW w:w="2855" w:type="dxa"/>
            <w:tcBorders>
              <w:right w:val="single" w:color="auto" w:sz="4" w:space="0"/>
            </w:tcBorders>
            <w:noWrap/>
            <w:vAlign w:val="center"/>
          </w:tcPr>
          <w:p w14:paraId="284F337D">
            <w:pPr>
              <w:autoSpaceDE w:val="0"/>
              <w:autoSpaceDN w:val="0"/>
              <w:adjustRightInd w:val="0"/>
              <w:spacing w:line="320" w:lineRule="exact"/>
              <w:rPr>
                <w:rFonts w:ascii="仿宋" w:hAnsi="仿宋" w:eastAsia="仿宋" w:cs="仿宋"/>
                <w:bCs/>
                <w:color w:val="auto"/>
                <w:kern w:val="0"/>
                <w:sz w:val="24"/>
                <w:szCs w:val="24"/>
                <w:highlight w:val="none"/>
              </w:rPr>
            </w:pPr>
          </w:p>
        </w:tc>
        <w:tc>
          <w:tcPr>
            <w:tcW w:w="2646" w:type="dxa"/>
            <w:tcBorders>
              <w:left w:val="single" w:color="auto" w:sz="4" w:space="0"/>
              <w:right w:val="single" w:color="auto" w:sz="4" w:space="0"/>
            </w:tcBorders>
            <w:noWrap/>
            <w:vAlign w:val="center"/>
          </w:tcPr>
          <w:p w14:paraId="27ADF85C">
            <w:pPr>
              <w:autoSpaceDE w:val="0"/>
              <w:autoSpaceDN w:val="0"/>
              <w:adjustRightInd w:val="0"/>
              <w:spacing w:line="320" w:lineRule="exact"/>
              <w:rPr>
                <w:rFonts w:ascii="仿宋" w:hAnsi="仿宋" w:eastAsia="仿宋" w:cs="仿宋"/>
                <w:bCs/>
                <w:color w:val="auto"/>
                <w:kern w:val="0"/>
                <w:sz w:val="24"/>
                <w:szCs w:val="24"/>
                <w:highlight w:val="none"/>
              </w:rPr>
            </w:pPr>
          </w:p>
        </w:tc>
        <w:tc>
          <w:tcPr>
            <w:tcW w:w="1993" w:type="dxa"/>
            <w:tcBorders>
              <w:left w:val="single" w:color="auto" w:sz="4" w:space="0"/>
              <w:right w:val="single" w:color="auto" w:sz="12" w:space="0"/>
            </w:tcBorders>
            <w:noWrap/>
            <w:vAlign w:val="center"/>
          </w:tcPr>
          <w:p w14:paraId="7AB88D10">
            <w:pPr>
              <w:autoSpaceDE w:val="0"/>
              <w:autoSpaceDN w:val="0"/>
              <w:adjustRightInd w:val="0"/>
              <w:spacing w:line="320" w:lineRule="exact"/>
              <w:rPr>
                <w:rFonts w:ascii="仿宋" w:hAnsi="仿宋" w:eastAsia="仿宋" w:cs="仿宋"/>
                <w:bCs/>
                <w:color w:val="auto"/>
                <w:kern w:val="0"/>
                <w:sz w:val="24"/>
                <w:szCs w:val="24"/>
                <w:highlight w:val="none"/>
              </w:rPr>
            </w:pPr>
          </w:p>
        </w:tc>
      </w:tr>
      <w:tr w14:paraId="2752C35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38D4EDB1">
            <w:pPr>
              <w:autoSpaceDE w:val="0"/>
              <w:autoSpaceDN w:val="0"/>
              <w:adjustRightInd w:val="0"/>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3</w:t>
            </w:r>
          </w:p>
        </w:tc>
        <w:tc>
          <w:tcPr>
            <w:tcW w:w="2855" w:type="dxa"/>
            <w:tcBorders>
              <w:right w:val="single" w:color="auto" w:sz="4" w:space="0"/>
            </w:tcBorders>
            <w:noWrap/>
            <w:vAlign w:val="center"/>
          </w:tcPr>
          <w:p w14:paraId="422027B1">
            <w:pPr>
              <w:autoSpaceDE w:val="0"/>
              <w:autoSpaceDN w:val="0"/>
              <w:adjustRightInd w:val="0"/>
              <w:spacing w:line="320" w:lineRule="exact"/>
              <w:rPr>
                <w:rFonts w:ascii="仿宋" w:hAnsi="仿宋" w:eastAsia="仿宋" w:cs="仿宋"/>
                <w:bCs/>
                <w:color w:val="auto"/>
                <w:kern w:val="0"/>
                <w:sz w:val="24"/>
                <w:szCs w:val="24"/>
                <w:highlight w:val="none"/>
              </w:rPr>
            </w:pPr>
          </w:p>
        </w:tc>
        <w:tc>
          <w:tcPr>
            <w:tcW w:w="2646" w:type="dxa"/>
            <w:tcBorders>
              <w:left w:val="single" w:color="auto" w:sz="4" w:space="0"/>
              <w:right w:val="single" w:color="auto" w:sz="4" w:space="0"/>
            </w:tcBorders>
            <w:noWrap/>
            <w:vAlign w:val="center"/>
          </w:tcPr>
          <w:p w14:paraId="62D016AF">
            <w:pPr>
              <w:autoSpaceDE w:val="0"/>
              <w:autoSpaceDN w:val="0"/>
              <w:adjustRightInd w:val="0"/>
              <w:spacing w:line="320" w:lineRule="exact"/>
              <w:rPr>
                <w:rFonts w:ascii="仿宋" w:hAnsi="仿宋" w:eastAsia="仿宋" w:cs="仿宋"/>
                <w:bCs/>
                <w:color w:val="auto"/>
                <w:kern w:val="0"/>
                <w:sz w:val="24"/>
                <w:szCs w:val="24"/>
                <w:highlight w:val="none"/>
              </w:rPr>
            </w:pPr>
          </w:p>
        </w:tc>
        <w:tc>
          <w:tcPr>
            <w:tcW w:w="1993" w:type="dxa"/>
            <w:tcBorders>
              <w:left w:val="single" w:color="auto" w:sz="4" w:space="0"/>
              <w:right w:val="single" w:color="auto" w:sz="12" w:space="0"/>
            </w:tcBorders>
            <w:noWrap/>
            <w:vAlign w:val="center"/>
          </w:tcPr>
          <w:p w14:paraId="204D9B9E">
            <w:pPr>
              <w:autoSpaceDE w:val="0"/>
              <w:autoSpaceDN w:val="0"/>
              <w:adjustRightInd w:val="0"/>
              <w:spacing w:line="320" w:lineRule="exact"/>
              <w:rPr>
                <w:rFonts w:ascii="仿宋" w:hAnsi="仿宋" w:eastAsia="仿宋" w:cs="仿宋"/>
                <w:bCs/>
                <w:color w:val="auto"/>
                <w:kern w:val="0"/>
                <w:sz w:val="24"/>
                <w:szCs w:val="24"/>
                <w:highlight w:val="none"/>
              </w:rPr>
            </w:pPr>
          </w:p>
        </w:tc>
      </w:tr>
      <w:tr w14:paraId="264BBE6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686" w:type="dxa"/>
            <w:tcBorders>
              <w:left w:val="single" w:color="auto" w:sz="12" w:space="0"/>
            </w:tcBorders>
            <w:noWrap/>
            <w:vAlign w:val="center"/>
          </w:tcPr>
          <w:p w14:paraId="1C9F502C">
            <w:pPr>
              <w:autoSpaceDE w:val="0"/>
              <w:autoSpaceDN w:val="0"/>
              <w:adjustRightInd w:val="0"/>
              <w:spacing w:line="320" w:lineRule="exact"/>
              <w:jc w:val="center"/>
              <w:rPr>
                <w:rFonts w:ascii="仿宋" w:hAnsi="仿宋" w:eastAsia="仿宋" w:cs="仿宋"/>
                <w:color w:val="auto"/>
                <w:kern w:val="0"/>
                <w:sz w:val="24"/>
                <w:szCs w:val="24"/>
                <w:highlight w:val="none"/>
              </w:rPr>
            </w:pPr>
            <w:r>
              <w:rPr>
                <w:rFonts w:hint="eastAsia" w:ascii="仿宋" w:hAnsi="仿宋" w:eastAsia="仿宋" w:cs="仿宋"/>
                <w:color w:val="auto"/>
                <w:kern w:val="0"/>
                <w:sz w:val="24"/>
                <w:highlight w:val="none"/>
              </w:rPr>
              <w:t>……</w:t>
            </w:r>
          </w:p>
        </w:tc>
        <w:tc>
          <w:tcPr>
            <w:tcW w:w="2855" w:type="dxa"/>
            <w:tcBorders>
              <w:right w:val="single" w:color="auto" w:sz="4" w:space="0"/>
            </w:tcBorders>
            <w:noWrap/>
            <w:vAlign w:val="center"/>
          </w:tcPr>
          <w:p w14:paraId="3C696E15">
            <w:pPr>
              <w:autoSpaceDE w:val="0"/>
              <w:autoSpaceDN w:val="0"/>
              <w:adjustRightInd w:val="0"/>
              <w:spacing w:line="320" w:lineRule="exact"/>
              <w:rPr>
                <w:rFonts w:ascii="仿宋" w:hAnsi="仿宋" w:eastAsia="仿宋" w:cs="仿宋"/>
                <w:bCs/>
                <w:color w:val="auto"/>
                <w:kern w:val="0"/>
                <w:sz w:val="24"/>
                <w:szCs w:val="24"/>
                <w:highlight w:val="none"/>
              </w:rPr>
            </w:pPr>
          </w:p>
        </w:tc>
        <w:tc>
          <w:tcPr>
            <w:tcW w:w="2646" w:type="dxa"/>
            <w:tcBorders>
              <w:left w:val="single" w:color="auto" w:sz="4" w:space="0"/>
              <w:right w:val="single" w:color="auto" w:sz="4" w:space="0"/>
            </w:tcBorders>
            <w:noWrap/>
            <w:vAlign w:val="center"/>
          </w:tcPr>
          <w:p w14:paraId="3168C303">
            <w:pPr>
              <w:autoSpaceDE w:val="0"/>
              <w:autoSpaceDN w:val="0"/>
              <w:adjustRightInd w:val="0"/>
              <w:spacing w:line="320" w:lineRule="exact"/>
              <w:rPr>
                <w:rFonts w:ascii="仿宋" w:hAnsi="仿宋" w:eastAsia="仿宋" w:cs="仿宋"/>
                <w:bCs/>
                <w:color w:val="auto"/>
                <w:kern w:val="0"/>
                <w:sz w:val="24"/>
                <w:szCs w:val="24"/>
                <w:highlight w:val="none"/>
              </w:rPr>
            </w:pPr>
          </w:p>
        </w:tc>
        <w:tc>
          <w:tcPr>
            <w:tcW w:w="1993" w:type="dxa"/>
            <w:tcBorders>
              <w:left w:val="single" w:color="auto" w:sz="4" w:space="0"/>
              <w:right w:val="single" w:color="auto" w:sz="12" w:space="0"/>
            </w:tcBorders>
            <w:noWrap/>
            <w:vAlign w:val="center"/>
          </w:tcPr>
          <w:p w14:paraId="1726F5CB">
            <w:pPr>
              <w:autoSpaceDE w:val="0"/>
              <w:autoSpaceDN w:val="0"/>
              <w:adjustRightInd w:val="0"/>
              <w:spacing w:line="320" w:lineRule="exact"/>
              <w:rPr>
                <w:rFonts w:ascii="仿宋" w:hAnsi="仿宋" w:eastAsia="仿宋" w:cs="仿宋"/>
                <w:bCs/>
                <w:color w:val="auto"/>
                <w:kern w:val="0"/>
                <w:sz w:val="24"/>
                <w:szCs w:val="24"/>
                <w:highlight w:val="none"/>
              </w:rPr>
            </w:pPr>
          </w:p>
        </w:tc>
      </w:tr>
    </w:tbl>
    <w:p w14:paraId="7B36294C">
      <w:pPr>
        <w:spacing w:line="500" w:lineRule="exact"/>
        <w:ind w:firstLine="4528" w:firstLineChars="1600"/>
        <w:rPr>
          <w:rFonts w:ascii="仿宋" w:hAnsi="仿宋" w:eastAsia="仿宋" w:cs="仿宋"/>
          <w:color w:val="auto"/>
          <w:highlight w:val="none"/>
        </w:rPr>
      </w:pPr>
    </w:p>
    <w:p w14:paraId="2CA8AEB6">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 xml:space="preserve">供应商：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6FAB11AF">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6DDC3581">
      <w:pPr>
        <w:pStyle w:val="26"/>
        <w:wordWrap w:val="0"/>
        <w:spacing w:after="190" w:line="500" w:lineRule="exact"/>
        <w:ind w:firstLine="426" w:firstLineChars="200"/>
        <w:rPr>
          <w:rFonts w:hint="eastAsia" w:ascii="仿宋" w:hAnsi="仿宋" w:eastAsia="仿宋" w:cs="仿宋"/>
          <w:sz w:val="21"/>
          <w:szCs w:val="21"/>
          <w:highlight w:val="none"/>
        </w:rPr>
      </w:pPr>
    </w:p>
    <w:p w14:paraId="4029D9FF">
      <w:pPr>
        <w:pStyle w:val="26"/>
        <w:wordWrap w:val="0"/>
        <w:spacing w:afterLines="0" w:line="400" w:lineRule="exact"/>
        <w:ind w:firstLine="426" w:firstLineChars="200"/>
        <w:rPr>
          <w:rFonts w:hint="eastAsia" w:ascii="宋体" w:hAnsi="宋体" w:cs="宋体"/>
          <w:sz w:val="21"/>
          <w:szCs w:val="21"/>
          <w:highlight w:val="none"/>
        </w:rPr>
      </w:pPr>
      <w:r>
        <w:rPr>
          <w:rFonts w:hint="eastAsia" w:ascii="宋体" w:hAnsi="宋体" w:cs="宋体"/>
          <w:sz w:val="21"/>
          <w:szCs w:val="21"/>
          <w:highlight w:val="none"/>
        </w:rPr>
        <w:t>备注：</w:t>
      </w:r>
    </w:p>
    <w:p w14:paraId="3CF2CAC9">
      <w:pPr>
        <w:pStyle w:val="26"/>
        <w:numPr>
          <w:ilvl w:val="255"/>
          <w:numId w:val="0"/>
        </w:numPr>
        <w:wordWrap w:val="0"/>
        <w:spacing w:afterLines="0" w:line="400" w:lineRule="exact"/>
        <w:ind w:firstLine="426" w:firstLineChars="200"/>
        <w:rPr>
          <w:rFonts w:hint="eastAsia" w:ascii="宋体" w:hAnsi="宋体" w:cs="宋体"/>
          <w:sz w:val="21"/>
          <w:szCs w:val="21"/>
          <w:highlight w:val="none"/>
        </w:rPr>
      </w:pPr>
      <w:r>
        <w:rPr>
          <w:rFonts w:hint="eastAsia" w:ascii="宋体" w:hAnsi="宋体" w:cs="宋体"/>
          <w:sz w:val="21"/>
          <w:szCs w:val="21"/>
          <w:highlight w:val="none"/>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4161F325">
      <w:pPr>
        <w:pStyle w:val="26"/>
        <w:numPr>
          <w:ilvl w:val="255"/>
          <w:numId w:val="0"/>
        </w:numPr>
        <w:wordWrap w:val="0"/>
        <w:spacing w:afterLines="0" w:line="400" w:lineRule="exact"/>
        <w:ind w:firstLine="426" w:firstLineChars="200"/>
        <w:rPr>
          <w:rFonts w:hint="eastAsia" w:ascii="宋体" w:hAnsi="宋体" w:cs="宋体"/>
          <w:sz w:val="21"/>
          <w:szCs w:val="21"/>
          <w:highlight w:val="none"/>
        </w:rPr>
      </w:pPr>
      <w:r>
        <w:rPr>
          <w:rFonts w:hint="eastAsia" w:ascii="宋体" w:hAnsi="宋体" w:cs="宋体"/>
          <w:sz w:val="21"/>
          <w:szCs w:val="21"/>
          <w:highlight w:val="none"/>
        </w:rPr>
        <w:t>2、管理关系：是指不具有出资持股关系的其他单位之间存在的管理与被管理关系，如一些上下级关系的事业单位和团体组织。</w:t>
      </w:r>
    </w:p>
    <w:p w14:paraId="7C702782">
      <w:pPr>
        <w:pStyle w:val="26"/>
        <w:wordWrap w:val="0"/>
        <w:spacing w:afterLines="0" w:line="400" w:lineRule="exact"/>
        <w:ind w:firstLine="426" w:firstLineChars="200"/>
        <w:rPr>
          <w:rFonts w:hint="eastAsia" w:ascii="宋体" w:hAnsi="宋体" w:cs="宋体"/>
          <w:sz w:val="21"/>
          <w:szCs w:val="21"/>
          <w:highlight w:val="none"/>
        </w:rPr>
      </w:pPr>
      <w:r>
        <w:rPr>
          <w:rFonts w:hint="eastAsia" w:ascii="宋体" w:hAnsi="宋体" w:cs="宋体"/>
          <w:sz w:val="21"/>
          <w:szCs w:val="21"/>
          <w:highlight w:val="none"/>
        </w:rPr>
        <w:t>3、本表所指的控股、管理关系仅限于直接控股、直接管理关系，不包括间接的控股或管理关系。公司实际控制人与公司之间的关系不属于本表所指的直接控股关系。</w:t>
      </w:r>
    </w:p>
    <w:p w14:paraId="01A35197">
      <w:pPr>
        <w:pStyle w:val="26"/>
        <w:wordWrap w:val="0"/>
        <w:spacing w:afterLines="0" w:line="400" w:lineRule="exact"/>
        <w:ind w:firstLine="426" w:firstLineChars="200"/>
        <w:rPr>
          <w:rFonts w:hint="eastAsia" w:ascii="宋体" w:hAnsi="宋体" w:cs="宋体"/>
          <w:sz w:val="21"/>
          <w:szCs w:val="21"/>
          <w:highlight w:val="none"/>
        </w:rPr>
      </w:pPr>
      <w:r>
        <w:rPr>
          <w:rFonts w:hint="eastAsia" w:ascii="宋体" w:hAnsi="宋体" w:cs="宋体"/>
          <w:sz w:val="21"/>
          <w:szCs w:val="21"/>
          <w:highlight w:val="none"/>
        </w:rPr>
        <w:t>4、供应商如不存在直接控股股东的，则在“直接控股股东名称及出资比例”处填写“无”或“/”。供应商不存在直接管理关系的，则在“直接管理关系单位名称”中填“无”或“/”。</w:t>
      </w:r>
    </w:p>
    <w:p w14:paraId="77FDE3E4">
      <w:pPr>
        <w:spacing w:line="500" w:lineRule="exact"/>
        <w:ind w:firstLine="606" w:firstLineChars="200"/>
        <w:outlineLvl w:val="2"/>
        <w:rPr>
          <w:rFonts w:ascii="仿宋" w:hAnsi="仿宋" w:eastAsia="仿宋" w:cs="仿宋"/>
          <w:b/>
          <w:bCs/>
          <w:color w:val="auto"/>
          <w:sz w:val="28"/>
          <w:szCs w:val="28"/>
          <w:highlight w:val="none"/>
        </w:rPr>
      </w:pPr>
      <w:r>
        <w:rPr>
          <w:rFonts w:hint="eastAsia" w:ascii="仿宋" w:hAnsi="仿宋" w:eastAsia="仿宋" w:cs="仿宋"/>
          <w:b/>
          <w:bCs/>
          <w:color w:val="auto"/>
          <w:sz w:val="30"/>
          <w:szCs w:val="30"/>
          <w:highlight w:val="none"/>
        </w:rPr>
        <w:br w:type="page"/>
      </w:r>
      <w:bookmarkStart w:id="299" w:name="_Toc26516"/>
      <w:r>
        <w:rPr>
          <w:rFonts w:hint="eastAsia" w:ascii="仿宋" w:hAnsi="仿宋" w:eastAsia="仿宋" w:cs="仿宋"/>
          <w:b/>
          <w:bCs/>
          <w:color w:val="auto"/>
          <w:sz w:val="28"/>
          <w:szCs w:val="28"/>
          <w:highlight w:val="none"/>
        </w:rPr>
        <w:t>七、书面声明</w:t>
      </w:r>
      <w:bookmarkEnd w:id="299"/>
    </w:p>
    <w:p w14:paraId="24D6FC74">
      <w:pPr>
        <w:spacing w:line="500" w:lineRule="exact"/>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书面声明（格式）</w:t>
      </w:r>
    </w:p>
    <w:p w14:paraId="117920DD">
      <w:pPr>
        <w:spacing w:line="500" w:lineRule="exact"/>
        <w:rPr>
          <w:rFonts w:ascii="仿宋" w:hAnsi="仿宋" w:eastAsia="仿宋" w:cs="仿宋"/>
          <w:color w:val="auto"/>
          <w:highlight w:val="none"/>
        </w:rPr>
      </w:pPr>
      <w:r>
        <w:rPr>
          <w:rFonts w:hint="eastAsia" w:ascii="仿宋" w:hAnsi="仿宋" w:eastAsia="仿宋" w:cs="仿宋"/>
          <w:color w:val="auto"/>
          <w:highlight w:val="none"/>
        </w:rPr>
        <w:t>陕西省省级单位政府采购中心：</w:t>
      </w:r>
    </w:p>
    <w:p w14:paraId="08A438C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》（项目编号：______）第______标段的供应商，在此郑重声明：</w:t>
      </w:r>
    </w:p>
    <w:p w14:paraId="3D7CB3C8">
      <w:pPr>
        <w:spacing w:line="500" w:lineRule="exact"/>
        <w:ind w:firstLine="566" w:firstLineChars="200"/>
        <w:rPr>
          <w:rFonts w:ascii="仿宋" w:hAnsi="仿宋" w:eastAsia="仿宋" w:cs="仿宋"/>
          <w:color w:val="auto"/>
          <w:highlight w:val="none"/>
        </w:rPr>
      </w:pPr>
      <w:r>
        <w:rPr>
          <w:rFonts w:ascii="仿宋" w:hAnsi="仿宋" w:eastAsia="仿宋" w:cs="仿宋"/>
          <w:color w:val="auto"/>
          <w:highlight w:val="none"/>
        </w:rPr>
        <w:t>1、</w:t>
      </w:r>
      <w:r>
        <w:rPr>
          <w:rFonts w:hint="eastAsia" w:ascii="仿宋" w:hAnsi="仿宋" w:eastAsia="仿宋" w:cs="仿宋"/>
          <w:color w:val="auto"/>
          <w:highlight w:val="none"/>
        </w:rPr>
        <w:t>我方具备履行合同所必须的设备和专业技术能力。</w:t>
      </w:r>
    </w:p>
    <w:p w14:paraId="70A6EF0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2、我方未为本项目提供整体设计、规范编制或者项目管理、监理、检测等服务。</w:t>
      </w:r>
    </w:p>
    <w:p w14:paraId="40317058">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64955276">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特此声明。</w:t>
      </w:r>
    </w:p>
    <w:p w14:paraId="093FBDA0">
      <w:pPr>
        <w:spacing w:line="500" w:lineRule="exact"/>
        <w:ind w:firstLine="4528" w:firstLineChars="1600"/>
        <w:rPr>
          <w:rFonts w:ascii="仿宋" w:hAnsi="仿宋" w:eastAsia="仿宋" w:cs="仿宋"/>
          <w:color w:val="auto"/>
          <w:highlight w:val="none"/>
        </w:rPr>
      </w:pPr>
    </w:p>
    <w:p w14:paraId="6CDDC65E">
      <w:pPr>
        <w:pStyle w:val="2"/>
        <w:spacing w:after="190"/>
        <w:rPr>
          <w:rFonts w:hint="eastAsia" w:ascii="仿宋" w:hAnsi="仿宋" w:eastAsia="仿宋" w:cs="仿宋"/>
          <w:color w:val="auto"/>
          <w:highlight w:val="none"/>
        </w:rPr>
      </w:pPr>
    </w:p>
    <w:p w14:paraId="2F6B85FA">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 xml:space="preserve">供应商： </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56E57389">
      <w:pPr>
        <w:spacing w:line="500" w:lineRule="exact"/>
        <w:ind w:firstLine="4528" w:firstLineChars="1600"/>
        <w:rPr>
          <w:rFonts w:ascii="仿宋" w:hAnsi="仿宋" w:eastAsia="仿宋" w:cs="仿宋"/>
          <w:color w:val="auto"/>
          <w:highlight w:val="none"/>
        </w:rPr>
      </w:pPr>
      <w:r>
        <w:rPr>
          <w:rFonts w:hint="eastAsia" w:ascii="仿宋" w:hAnsi="仿宋" w:eastAsia="仿宋" w:cs="仿宋"/>
          <w:color w:val="auto"/>
          <w:highlight w:val="none"/>
        </w:rPr>
        <w:t>日期：   年  月  日</w:t>
      </w:r>
    </w:p>
    <w:p w14:paraId="04CFF038">
      <w:pPr>
        <w:spacing w:line="500" w:lineRule="exact"/>
        <w:rPr>
          <w:rFonts w:hint="eastAsia" w:ascii="仿宋" w:hAnsi="仿宋" w:eastAsia="仿宋" w:cs="仿宋"/>
          <w:color w:val="auto"/>
          <w:sz w:val="21"/>
          <w:szCs w:val="21"/>
          <w:highlight w:val="none"/>
        </w:rPr>
      </w:pPr>
    </w:p>
    <w:p w14:paraId="26136287">
      <w:pPr>
        <w:spacing w:line="500" w:lineRule="exact"/>
        <w:rPr>
          <w:rFonts w:hint="eastAsia" w:ascii="仿宋" w:hAnsi="仿宋" w:eastAsia="仿宋" w:cs="仿宋"/>
          <w:color w:val="auto"/>
          <w:sz w:val="21"/>
          <w:szCs w:val="21"/>
          <w:highlight w:val="none"/>
        </w:rPr>
      </w:pPr>
    </w:p>
    <w:p w14:paraId="6C66144A">
      <w:pPr>
        <w:spacing w:line="500" w:lineRule="exact"/>
        <w:rPr>
          <w:rFonts w:hint="eastAsia" w:ascii="宋体" w:hAnsi="宋体" w:eastAsia="宋体" w:cs="宋体"/>
          <w:b/>
          <w:bCs/>
          <w:color w:val="auto"/>
          <w:sz w:val="30"/>
          <w:szCs w:val="30"/>
          <w:highlight w:val="none"/>
        </w:rPr>
      </w:pPr>
      <w:r>
        <w:rPr>
          <w:rFonts w:hint="eastAsia" w:ascii="宋体" w:hAnsi="宋体" w:eastAsia="宋体" w:cs="宋体"/>
          <w:color w:val="auto"/>
          <w:sz w:val="21"/>
          <w:szCs w:val="21"/>
          <w:highlight w:val="none"/>
        </w:rPr>
        <w:t>备注：项目不分标段的，第</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标段空白处填写“/”。 </w:t>
      </w:r>
    </w:p>
    <w:p w14:paraId="2032978A">
      <w:pPr>
        <w:pageBreakBefore w:val="0"/>
        <w:widowControl/>
        <w:kinsoku/>
        <w:wordWrap/>
        <w:overflowPunct/>
        <w:topLinePunct w:val="0"/>
        <w:autoSpaceDE/>
        <w:autoSpaceDN/>
        <w:bidi w:val="0"/>
        <w:adjustRightInd/>
        <w:snapToGrid/>
        <w:spacing w:line="500" w:lineRule="exact"/>
        <w:ind w:firstLine="606" w:firstLineChars="200"/>
        <w:jc w:val="left"/>
        <w:textAlignment w:val="auto"/>
        <w:outlineLvl w:val="2"/>
        <w:rPr>
          <w:rFonts w:ascii="仿宋" w:hAnsi="仿宋" w:eastAsia="仿宋" w:cs="仿宋"/>
          <w:b/>
          <w:bCs/>
          <w:color w:val="auto"/>
          <w:kern w:val="0"/>
          <w:sz w:val="28"/>
          <w:szCs w:val="28"/>
          <w:highlight w:val="none"/>
        </w:rPr>
      </w:pPr>
      <w:r>
        <w:rPr>
          <w:rFonts w:hint="eastAsia" w:ascii="仿宋" w:hAnsi="仿宋" w:eastAsia="仿宋" w:cs="仿宋"/>
          <w:color w:val="auto"/>
          <w:sz w:val="30"/>
          <w:szCs w:val="30"/>
          <w:highlight w:val="none"/>
        </w:rPr>
        <w:br w:type="page"/>
      </w:r>
      <w:bookmarkStart w:id="300" w:name="_Toc25727"/>
      <w:r>
        <w:rPr>
          <w:rFonts w:hint="eastAsia" w:ascii="仿宋" w:hAnsi="仿宋" w:eastAsia="仿宋" w:cs="仿宋"/>
          <w:b/>
          <w:bCs/>
          <w:color w:val="auto"/>
          <w:sz w:val="28"/>
          <w:szCs w:val="28"/>
          <w:highlight w:val="none"/>
        </w:rPr>
        <w:t>八、法定代表人授权委托书</w:t>
      </w:r>
      <w:bookmarkEnd w:id="300"/>
      <w:r>
        <w:rPr>
          <w:rFonts w:hint="eastAsia" w:ascii="仿宋" w:hAnsi="仿宋" w:eastAsia="仿宋" w:cs="仿宋"/>
          <w:b/>
          <w:bCs/>
          <w:color w:val="auto"/>
          <w:sz w:val="28"/>
          <w:szCs w:val="28"/>
          <w:highlight w:val="none"/>
        </w:rPr>
        <w:tab/>
      </w:r>
    </w:p>
    <w:p w14:paraId="1729E95D">
      <w:pPr>
        <w:pStyle w:val="56"/>
        <w:pageBreakBefore w:val="0"/>
        <w:widowControl/>
        <w:kinsoku/>
        <w:wordWrap/>
        <w:overflowPunct/>
        <w:topLinePunct w:val="0"/>
        <w:autoSpaceDE/>
        <w:autoSpaceDN/>
        <w:bidi w:val="0"/>
        <w:adjustRightInd/>
        <w:snapToGrid/>
        <w:spacing w:line="500" w:lineRule="exact"/>
        <w:ind w:firstLine="566" w:firstLineChars="200"/>
        <w:jc w:val="center"/>
        <w:textAlignment w:val="auto"/>
        <w:outlineLvl w:val="9"/>
        <w:rPr>
          <w:rFonts w:ascii="仿宋" w:hAnsi="仿宋" w:eastAsia="仿宋" w:cs="仿宋"/>
          <w:color w:val="auto"/>
          <w:kern w:val="2"/>
          <w:sz w:val="28"/>
          <w:szCs w:val="28"/>
          <w:highlight w:val="none"/>
        </w:rPr>
      </w:pPr>
      <w:r>
        <w:rPr>
          <w:rFonts w:hint="eastAsia" w:ascii="仿宋" w:hAnsi="仿宋" w:eastAsia="仿宋" w:cs="仿宋"/>
          <w:color w:val="auto"/>
          <w:kern w:val="2"/>
          <w:sz w:val="28"/>
          <w:szCs w:val="28"/>
          <w:highlight w:val="none"/>
        </w:rPr>
        <w:t>法定代表人授权委托书（格式）</w:t>
      </w:r>
    </w:p>
    <w:p w14:paraId="38D9DCAB">
      <w:pPr>
        <w:snapToGrid w:val="0"/>
        <w:spacing w:line="500" w:lineRule="exact"/>
        <w:rPr>
          <w:rFonts w:ascii="仿宋" w:hAnsi="仿宋" w:eastAsia="仿宋" w:cs="仿宋"/>
          <w:color w:val="auto"/>
          <w:highlight w:val="none"/>
        </w:rPr>
      </w:pPr>
      <w:r>
        <w:rPr>
          <w:rFonts w:hint="eastAsia" w:ascii="仿宋" w:hAnsi="仿宋" w:eastAsia="仿宋" w:cs="仿宋"/>
          <w:color w:val="auto"/>
          <w:highlight w:val="none"/>
        </w:rPr>
        <w:t>陕西省省级单位政府采购中心：</w:t>
      </w:r>
    </w:p>
    <w:p w14:paraId="41AC0B31">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现委派</w:t>
      </w:r>
      <w:r>
        <w:rPr>
          <w:rFonts w:hint="eastAsia" w:ascii="仿宋" w:hAnsi="仿宋" w:eastAsia="仿宋" w:cs="仿宋"/>
          <w:color w:val="auto"/>
          <w:highlight w:val="none"/>
          <w:u w:val="single"/>
        </w:rPr>
        <w:t>（被授权代表姓名）</w:t>
      </w:r>
      <w:r>
        <w:rPr>
          <w:rFonts w:hint="eastAsia" w:ascii="仿宋" w:hAnsi="仿宋" w:eastAsia="仿宋" w:cs="仿宋"/>
          <w:color w:val="auto"/>
          <w:highlight w:val="none"/>
        </w:rPr>
        <w:t>（身份证号码：</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）为本公司的被授权代表，参加贵中心组织的</w:t>
      </w:r>
      <w:r>
        <w:rPr>
          <w:rFonts w:hint="eastAsia" w:ascii="仿宋" w:hAnsi="仿宋" w:eastAsia="仿宋" w:cs="仿宋"/>
          <w:color w:val="auto"/>
          <w:highlight w:val="none"/>
        </w:rPr>
        <mc:AlternateContent>
          <mc:Choice Requires="wps">
            <w:drawing>
              <wp:anchor distT="0" distB="0" distL="0" distR="0" simplePos="0" relativeHeight="251661312" behindDoc="0" locked="0" layoutInCell="1" allowOverlap="1">
                <wp:simplePos x="0" y="0"/>
                <wp:positionH relativeFrom="margin">
                  <wp:align>center</wp:align>
                </wp:positionH>
                <wp:positionV relativeFrom="paragraph">
                  <wp:posOffset>0</wp:posOffset>
                </wp:positionV>
                <wp:extent cx="107950" cy="161925"/>
                <wp:effectExtent l="0" t="0" r="0" b="0"/>
                <wp:wrapNone/>
                <wp:docPr id="1037" name="文本框 3"/>
                <wp:cNvGraphicFramePr/>
                <a:graphic xmlns:a="http://schemas.openxmlformats.org/drawingml/2006/main">
                  <a:graphicData uri="http://schemas.microsoft.com/office/word/2010/wordprocessingShape">
                    <wps:wsp>
                      <wps:cNvSpPr/>
                      <wps:spPr>
                        <a:xfrm>
                          <a:off x="0" y="0"/>
                          <a:ext cx="107950" cy="161925"/>
                        </a:xfrm>
                        <a:prstGeom prst="rect">
                          <a:avLst/>
                        </a:prstGeom>
                        <a:ln>
                          <a:noFill/>
                        </a:ln>
                      </wps:spPr>
                      <wps:txbx>
                        <w:txbxContent>
                          <w:p w14:paraId="43D7F333">
                            <w:pPr>
                              <w:pStyle w:val="19"/>
                            </w:pPr>
                          </w:p>
                        </w:txbxContent>
                      </wps:txbx>
                      <wps:bodyPr wrap="none" lIns="0" tIns="0" rIns="0" bIns="0" upright="1">
                        <a:spAutoFit/>
                      </wps:bodyPr>
                    </wps:wsp>
                  </a:graphicData>
                </a:graphic>
              </wp:anchor>
            </w:drawing>
          </mc:Choice>
          <mc:Fallback>
            <w:pict>
              <v:rect id="文本框 3" o:spid="_x0000_s1026" o:spt="1" style="position:absolute;left:0pt;margin-top:0pt;height:12.75pt;width:8.5pt;mso-position-horizontal:center;mso-position-horizontal-relative:margin;mso-wrap-style:none;z-index:251661312;mso-width-relative:page;mso-height-relative:page;" filled="f" stroked="f" coordsize="21600,21600" o:gfxdata="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CBpxvrRAAAAAwEAAA8AAAAAAAAAAQAgAAAAIgAAAGRycy9kb3ducmV2Lnht&#10;bFBLAQIUABQAAAAIAIdO4kDyfUMQxwEAAIUDAAAOAAAAAAAAAAEAIAAAACABAABkcnMvZTJvRG9j&#10;LnhtbFBLBQYAAAAABgAGAFkBAABZBQAAAAA=&#10;">
                <v:fill on="f" focussize="0,0"/>
                <v:stroke on="f"/>
                <v:imagedata o:title=""/>
                <o:lock v:ext="edit" aspectratio="f"/>
                <v:textbox inset="0mm,0mm,0mm,0mm" style="mso-fit-shape-to-text:t;">
                  <w:txbxContent>
                    <w:p w14:paraId="43D7F333">
                      <w:pPr>
                        <w:pStyle w:val="19"/>
                      </w:pPr>
                    </w:p>
                  </w:txbxContent>
                </v:textbox>
              </v:rect>
            </w:pict>
          </mc:Fallback>
        </mc:AlternateContent>
      </w:r>
      <w:r>
        <w:rPr>
          <w:rFonts w:hint="eastAsia" w:ascii="仿宋" w:hAnsi="仿宋" w:eastAsia="仿宋" w:cs="仿宋"/>
          <w:color w:val="auto"/>
          <w:highlight w:val="none"/>
        </w:rPr>
        <w:t>《</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标段政府采购活动，就该项目的投标及合同的执行和完成，以本公司的名义处理一切与之有关的事宜。本授权自开标之日起生效，有效期与响应文件有效期一致。</w:t>
      </w:r>
    </w:p>
    <w:p w14:paraId="74379324">
      <w:pPr>
        <w:tabs>
          <w:tab w:val="left" w:pos="5245"/>
        </w:tabs>
        <w:snapToGrid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被授权代表职务：________________   性别：______</w:t>
      </w:r>
    </w:p>
    <w:p w14:paraId="6A2331FD">
      <w:pPr>
        <w:tabs>
          <w:tab w:val="left" w:pos="5245"/>
        </w:tabs>
        <w:snapToGrid w:val="0"/>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电话：________________           通讯地址：__________</w:t>
      </w:r>
    </w:p>
    <w:tbl>
      <w:tblPr>
        <w:tblStyle w:val="28"/>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2C7D5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482" w:hRule="atLeast"/>
          <w:jc w:val="center"/>
        </w:trPr>
        <w:tc>
          <w:tcPr>
            <w:tcW w:w="4072" w:type="dxa"/>
            <w:vAlign w:val="center"/>
          </w:tcPr>
          <w:p w14:paraId="2F0BF5DF">
            <w:pPr>
              <w:spacing w:line="380" w:lineRule="exact"/>
              <w:ind w:firstLine="8" w:firstLineChars="3"/>
              <w:jc w:val="center"/>
              <w:rPr>
                <w:rFonts w:ascii="仿宋" w:hAnsi="仿宋" w:eastAsia="仿宋" w:cs="仿宋"/>
                <w:color w:val="auto"/>
                <w:highlight w:val="none"/>
              </w:rPr>
            </w:pPr>
            <w:r>
              <w:rPr>
                <w:rFonts w:hint="eastAsia" w:ascii="仿宋" w:hAnsi="仿宋" w:eastAsia="仿宋" w:cs="仿宋"/>
                <w:color w:val="auto"/>
                <w:highlight w:val="none"/>
              </w:rPr>
              <w:t>法定代表人身份证复印件</w:t>
            </w:r>
          </w:p>
          <w:p w14:paraId="487D2AC3">
            <w:pPr>
              <w:spacing w:line="380" w:lineRule="exact"/>
              <w:ind w:firstLine="8" w:firstLineChars="3"/>
              <w:jc w:val="center"/>
              <w:rPr>
                <w:rFonts w:ascii="仿宋" w:hAnsi="仿宋" w:eastAsia="仿宋" w:cs="仿宋"/>
                <w:color w:val="auto"/>
                <w:highlight w:val="none"/>
              </w:rPr>
            </w:pPr>
            <w:r>
              <w:rPr>
                <w:rFonts w:hint="eastAsia" w:ascii="仿宋" w:hAnsi="仿宋" w:eastAsia="仿宋" w:cs="仿宋"/>
                <w:color w:val="auto"/>
                <w:highlight w:val="none"/>
              </w:rPr>
              <w:t>（有人像面）</w:t>
            </w:r>
          </w:p>
        </w:tc>
        <w:tc>
          <w:tcPr>
            <w:tcW w:w="4098" w:type="dxa"/>
            <w:vAlign w:val="center"/>
          </w:tcPr>
          <w:p w14:paraId="7E495697">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被授权代表身份证复印件</w:t>
            </w:r>
          </w:p>
          <w:p w14:paraId="1B37927D">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（有人像面）</w:t>
            </w:r>
          </w:p>
        </w:tc>
      </w:tr>
      <w:tr w14:paraId="4396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78C1266F">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法定代表人身份证复印件</w:t>
            </w:r>
          </w:p>
          <w:p w14:paraId="12683733">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（有国徽面）</w:t>
            </w:r>
          </w:p>
        </w:tc>
        <w:tc>
          <w:tcPr>
            <w:tcW w:w="4098" w:type="dxa"/>
            <w:vAlign w:val="center"/>
          </w:tcPr>
          <w:p w14:paraId="307FDAE7">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被授权代表身份证复印件</w:t>
            </w:r>
          </w:p>
          <w:p w14:paraId="549FF695">
            <w:pPr>
              <w:spacing w:line="380" w:lineRule="exact"/>
              <w:jc w:val="center"/>
              <w:rPr>
                <w:rFonts w:ascii="仿宋" w:hAnsi="仿宋" w:eastAsia="仿宋" w:cs="仿宋"/>
                <w:color w:val="auto"/>
                <w:highlight w:val="none"/>
              </w:rPr>
            </w:pPr>
            <w:r>
              <w:rPr>
                <w:rFonts w:hint="eastAsia" w:ascii="仿宋" w:hAnsi="仿宋" w:eastAsia="仿宋" w:cs="仿宋"/>
                <w:color w:val="auto"/>
                <w:highlight w:val="none"/>
              </w:rPr>
              <w:t>（有国徽面）</w:t>
            </w:r>
          </w:p>
        </w:tc>
      </w:tr>
    </w:tbl>
    <w:p w14:paraId="778598E8">
      <w:pPr>
        <w:tabs>
          <w:tab w:val="right" w:pos="8931"/>
        </w:tabs>
        <w:ind w:firstLine="566" w:firstLineChars="200"/>
        <w:rPr>
          <w:rFonts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       法定代表人：（签字或盖章）</w:t>
      </w:r>
    </w:p>
    <w:p w14:paraId="662BD456">
      <w:pPr>
        <w:spacing w:line="440" w:lineRule="exact"/>
        <w:ind w:firstLine="5789" w:firstLineChars="2046"/>
        <w:rPr>
          <w:rFonts w:ascii="仿宋" w:hAnsi="仿宋" w:eastAsia="仿宋" w:cs="仿宋"/>
          <w:color w:val="auto"/>
          <w:highlight w:val="none"/>
        </w:rPr>
      </w:pPr>
      <w:r>
        <w:rPr>
          <w:rFonts w:hint="eastAsia" w:ascii="仿宋" w:hAnsi="仿宋" w:eastAsia="仿宋" w:cs="仿宋"/>
          <w:color w:val="auto"/>
          <w:highlight w:val="none"/>
        </w:rPr>
        <w:t>日期：　年　月　日</w:t>
      </w:r>
    </w:p>
    <w:p w14:paraId="5B9DC081">
      <w:pPr>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备注：1、项目不分标段的，第___标段空白处填写“/”。</w:t>
      </w:r>
    </w:p>
    <w:p w14:paraId="1FEA632A">
      <w:pPr>
        <w:pStyle w:val="26"/>
        <w:spacing w:afterLines="0"/>
        <w:ind w:firstLine="213"/>
        <w:rPr>
          <w:rFonts w:hint="eastAsia" w:ascii="宋体" w:hAnsi="宋体" w:cs="宋体"/>
          <w:sz w:val="21"/>
          <w:szCs w:val="21"/>
          <w:highlight w:val="none"/>
        </w:rPr>
      </w:pPr>
      <w:r>
        <w:rPr>
          <w:rFonts w:hint="eastAsia" w:ascii="宋体" w:hAnsi="宋体" w:cs="宋体"/>
          <w:sz w:val="21"/>
          <w:szCs w:val="21"/>
          <w:highlight w:val="none"/>
        </w:rPr>
        <w:t xml:space="preserve">    2、法定代表人亲自参加谈判的，无需提供该委托授权书，但须提供法定代表人本人身份证（正反面）复印件，并在复印件中注明联系方式。</w:t>
      </w:r>
    </w:p>
    <w:p w14:paraId="7DBFCB39">
      <w:pPr>
        <w:pStyle w:val="26"/>
        <w:spacing w:afterLines="0"/>
        <w:ind w:firstLine="639" w:firstLineChars="300"/>
        <w:rPr>
          <w:rFonts w:hint="eastAsia" w:ascii="宋体" w:hAnsi="宋体" w:cs="宋体"/>
          <w:sz w:val="21"/>
          <w:szCs w:val="21"/>
          <w:highlight w:val="none"/>
        </w:rPr>
      </w:pPr>
      <w:r>
        <w:rPr>
          <w:rFonts w:hint="eastAsia" w:ascii="宋体" w:hAnsi="宋体" w:cs="宋体"/>
          <w:sz w:val="21"/>
          <w:szCs w:val="21"/>
          <w:highlight w:val="none"/>
        </w:rPr>
        <w:t>3、法定代表人签字或盖章可采用纸质签字或盖章后，上传至电子响应文件，也可使用法定代表人CA锁在电子响应文件制作软件中签章。</w:t>
      </w:r>
    </w:p>
    <w:p w14:paraId="6283036B">
      <w:pPr>
        <w:pStyle w:val="26"/>
        <w:spacing w:afterLines="0"/>
        <w:ind w:firstLine="639" w:firstLineChars="300"/>
        <w:rPr>
          <w:rFonts w:hint="eastAsia" w:ascii="宋体" w:hAnsi="宋体" w:eastAsia="宋体" w:cs="宋体"/>
          <w:b/>
          <w:bCs/>
          <w:sz w:val="30"/>
          <w:szCs w:val="30"/>
          <w:highlight w:val="none"/>
        </w:rPr>
      </w:pPr>
      <w:r>
        <w:rPr>
          <w:rFonts w:hint="eastAsia" w:ascii="宋体" w:hAnsi="宋体" w:cs="宋体"/>
          <w:sz w:val="21"/>
          <w:szCs w:val="21"/>
          <w:highlight w:val="none"/>
        </w:rPr>
        <w:t>4、法人的分支机构参与投标时，除提供《法定代表人授权委托书》外，还须同时提供法人给分支机构出具的授权书。</w:t>
      </w:r>
    </w:p>
    <w:p w14:paraId="10595A0E">
      <w:pPr>
        <w:ind w:firstLine="0"/>
        <w:rPr>
          <w:rFonts w:hint="eastAsia" w:ascii="仿宋" w:hAnsi="仿宋" w:eastAsia="仿宋" w:cs="仿宋"/>
          <w:b/>
          <w:bCs/>
          <w:color w:val="auto"/>
          <w:sz w:val="28"/>
          <w:szCs w:val="28"/>
          <w:highlight w:val="none"/>
          <w:lang w:val="en-US" w:eastAsia="zh-CN"/>
        </w:rPr>
      </w:pPr>
      <w:bookmarkStart w:id="301" w:name="_Toc18107"/>
      <w:r>
        <w:rPr>
          <w:rFonts w:hint="eastAsia" w:ascii="仿宋" w:hAnsi="仿宋" w:eastAsia="仿宋" w:cs="仿宋"/>
          <w:b/>
          <w:bCs/>
          <w:color w:val="auto"/>
          <w:sz w:val="28"/>
          <w:szCs w:val="28"/>
          <w:highlight w:val="none"/>
          <w:lang w:val="en-US" w:eastAsia="zh-CN"/>
        </w:rPr>
        <w:br w:type="page"/>
      </w:r>
    </w:p>
    <w:p w14:paraId="2EC202BE">
      <w:pPr>
        <w:spacing w:line="500" w:lineRule="exact"/>
        <w:ind w:firstLine="606" w:firstLineChars="200"/>
        <w:rPr>
          <w:rFonts w:ascii="仿宋" w:hAnsi="仿宋" w:eastAsia="仿宋" w:cs="仿宋"/>
          <w:color w:val="000000" w:themeColor="text1"/>
          <w:sz w:val="30"/>
          <w:szCs w:val="30"/>
          <w:highlight w:val="none"/>
          <w14:textFill>
            <w14:solidFill>
              <w14:schemeClr w14:val="tx1"/>
            </w14:solidFill>
          </w14:textFill>
        </w:rPr>
      </w:pPr>
      <w:r>
        <w:rPr>
          <w:rFonts w:hint="eastAsia" w:ascii="仿宋" w:hAnsi="仿宋" w:eastAsia="仿宋" w:cs="仿宋"/>
          <w:b/>
          <w:bCs/>
          <w:color w:val="000000" w:themeColor="text1"/>
          <w:sz w:val="30"/>
          <w:szCs w:val="30"/>
          <w:highlight w:val="none"/>
          <w14:textFill>
            <w14:solidFill>
              <w14:schemeClr w14:val="tx1"/>
            </w14:solidFill>
          </w14:textFill>
        </w:rPr>
        <w:t>九、落实政府采购政策须满足的资格要求</w:t>
      </w:r>
    </w:p>
    <w:p w14:paraId="6BE07386">
      <w:pPr>
        <w:pStyle w:val="56"/>
        <w:keepNext w:val="0"/>
        <w:keepLines w:val="0"/>
        <w:widowControl w:val="0"/>
        <w:spacing w:line="500" w:lineRule="exact"/>
        <w:ind w:firstLine="566" w:firstLineChars="200"/>
        <w:jc w:val="both"/>
        <w:outlineLvl w:val="9"/>
        <w:rPr>
          <w:rFonts w:ascii="仿宋" w:hAnsi="仿宋" w:eastAsia="仿宋" w:cs="仿宋"/>
          <w:b w:val="0"/>
          <w:bCs w:val="0"/>
          <w:color w:val="000000" w:themeColor="text1"/>
          <w:sz w:val="28"/>
          <w:szCs w:val="28"/>
          <w:highlight w:val="none"/>
          <w14:textFill>
            <w14:solidFill>
              <w14:schemeClr w14:val="tx1"/>
            </w14:solidFill>
          </w14:textFill>
        </w:rPr>
      </w:pPr>
      <w:bookmarkStart w:id="302" w:name="_Toc10056"/>
      <w:r>
        <w:rPr>
          <w:rFonts w:hint="eastAsia" w:ascii="仿宋" w:hAnsi="仿宋" w:eastAsia="仿宋" w:cs="仿宋"/>
          <w:color w:val="000000" w:themeColor="text1"/>
          <w:sz w:val="28"/>
          <w:szCs w:val="28"/>
          <w:highlight w:val="none"/>
          <w14:textFill>
            <w14:solidFill>
              <w14:schemeClr w14:val="tx1"/>
            </w14:solidFill>
          </w14:textFill>
        </w:rPr>
        <w:t>本项目为专门面向中小企业项目，</w:t>
      </w:r>
      <w:r>
        <w:rPr>
          <w:rFonts w:hint="eastAsia" w:ascii="仿宋" w:hAnsi="仿宋" w:eastAsia="仿宋" w:cs="仿宋"/>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color w:val="000000" w:themeColor="text1"/>
          <w:sz w:val="28"/>
          <w:szCs w:val="28"/>
          <w:highlight w:val="none"/>
          <w14:textFill>
            <w14:solidFill>
              <w14:schemeClr w14:val="tx1"/>
            </w14:solidFill>
          </w14:textFill>
        </w:rPr>
        <w:t>所投产品的制造商应为中型、小型、微型企业或监狱企业或残疾人福利性单位。</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8"/>
          <w:szCs w:val="28"/>
          <w:highlight w:val="none"/>
          <w14:textFill>
            <w14:solidFill>
              <w14:schemeClr w14:val="tx1"/>
            </w14:solidFill>
          </w14:textFill>
        </w:rPr>
        <w:t>所投产品的制造商为中小企业的，提供《中小企业声明函》，且中小企业的划分标准所属行业为</w:t>
      </w:r>
      <w:r>
        <w:rPr>
          <w:rFonts w:hint="eastAsia" w:ascii="仿宋" w:hAnsi="仿宋" w:eastAsia="仿宋" w:cs="仿宋"/>
          <w:color w:val="000000" w:themeColor="text1"/>
          <w:sz w:val="28"/>
          <w:szCs w:val="28"/>
          <w:highlight w:val="none"/>
          <w14:textFill>
            <w14:solidFill>
              <w14:schemeClr w14:val="tx1"/>
            </w14:solidFill>
          </w14:textFill>
        </w:rPr>
        <w:t>工业</w:t>
      </w:r>
      <w:r>
        <w:rPr>
          <w:rFonts w:hint="eastAsia" w:ascii="仿宋" w:hAnsi="仿宋" w:eastAsia="仿宋" w:cs="仿宋"/>
          <w:b w:val="0"/>
          <w:bCs w:val="0"/>
          <w:color w:val="000000" w:themeColor="text1"/>
          <w:sz w:val="28"/>
          <w:szCs w:val="28"/>
          <w:highlight w:val="none"/>
          <w14:textFill>
            <w14:solidFill>
              <w14:schemeClr w14:val="tx1"/>
            </w14:solidFill>
          </w14:textFill>
        </w:rPr>
        <w:t>；</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8"/>
          <w:szCs w:val="28"/>
          <w:highlight w:val="none"/>
          <w14:textFill>
            <w14:solidFill>
              <w14:schemeClr w14:val="tx1"/>
            </w14:solidFill>
          </w14:textFill>
        </w:rPr>
        <w:t>所投产品的制造商为监狱企业的，应提供监狱企业的证明文件；</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b w:val="0"/>
          <w:bCs w:val="0"/>
          <w:color w:val="000000" w:themeColor="text1"/>
          <w:sz w:val="28"/>
          <w:szCs w:val="28"/>
          <w:highlight w:val="none"/>
          <w14:textFill>
            <w14:solidFill>
              <w14:schemeClr w14:val="tx1"/>
            </w14:solidFill>
          </w14:textFill>
        </w:rPr>
        <w:t>所投产品的制造商为残疾人福利性单位的，应提供《残疾人福利性单位声明函》。</w:t>
      </w:r>
      <w:bookmarkEnd w:id="302"/>
    </w:p>
    <w:p w14:paraId="1724D8A1">
      <w:pPr>
        <w:widowControl w:val="0"/>
        <w:spacing w:line="500" w:lineRule="exact"/>
        <w:ind w:firstLine="566" w:firstLineChars="200"/>
        <w:rPr>
          <w:rFonts w:ascii="仿宋" w:hAnsi="仿宋" w:eastAsia="仿宋" w:cs="仿宋"/>
          <w:b/>
          <w:bCs/>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t>特别提醒：</w:t>
      </w:r>
      <w:r>
        <w:rPr>
          <w:rFonts w:hint="eastAsia" w:ascii="仿宋" w:hAnsi="仿宋" w:eastAsia="仿宋" w:cs="仿宋"/>
          <w:b/>
          <w:bCs/>
          <w:color w:val="000000" w:themeColor="text1"/>
          <w:highlight w:val="none"/>
          <w:lang w:val="en-US" w:eastAsia="zh-CN"/>
          <w14:textFill>
            <w14:solidFill>
              <w14:schemeClr w14:val="tx1"/>
            </w14:solidFill>
          </w14:textFill>
        </w:rPr>
        <w:t>成交供应</w:t>
      </w:r>
      <w:r>
        <w:rPr>
          <w:rFonts w:hint="eastAsia" w:ascii="仿宋" w:hAnsi="仿宋" w:eastAsia="仿宋" w:cs="仿宋"/>
          <w:b/>
          <w:bCs/>
          <w:color w:val="000000" w:themeColor="text1"/>
          <w:highlight w:val="none"/>
          <w14:textFill>
            <w14:solidFill>
              <w14:schemeClr w14:val="tx1"/>
            </w14:solidFill>
          </w14:textFill>
        </w:rPr>
        <w:t>的《中小企业声明函》或《残疾人福利性单位声明函》或监狱企业证明文件将随中标结果公告一同公布，接受社会监督。</w:t>
      </w:r>
    </w:p>
    <w:p w14:paraId="6337AF98">
      <w:pPr>
        <w:pStyle w:val="8"/>
        <w:widowControl w:val="0"/>
        <w:spacing w:line="500" w:lineRule="exact"/>
        <w:ind w:firstLine="566" w:firstLineChars="2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各</w:t>
      </w:r>
      <w:r>
        <w:rPr>
          <w:rFonts w:hint="eastAsia" w:ascii="仿宋" w:hAnsi="仿宋" w:eastAsia="仿宋" w:cs="仿宋"/>
          <w:b w:val="0"/>
          <w:bCs w:val="0"/>
          <w:color w:val="000000" w:themeColor="text1"/>
          <w:sz w:val="28"/>
          <w:szCs w:val="28"/>
          <w:highlight w:val="none"/>
          <w:lang w:val="en-US" w:eastAsia="zh-CN"/>
          <w14:textFill>
            <w14:solidFill>
              <w14:schemeClr w14:val="tx1"/>
            </w14:solidFill>
          </w14:textFill>
        </w:rPr>
        <w:t>供应商</w:t>
      </w:r>
      <w:r>
        <w:rPr>
          <w:rFonts w:hint="eastAsia" w:ascii="仿宋" w:hAnsi="仿宋" w:eastAsia="仿宋" w:cs="仿宋"/>
          <w:color w:val="000000" w:themeColor="text1"/>
          <w:highlight w:val="none"/>
          <w14:textFill>
            <w14:solidFill>
              <w14:schemeClr w14:val="tx1"/>
            </w14:solidFill>
          </w14:textFill>
        </w:rPr>
        <w:t>可根据企业从业人员、营业收入、资产总额等指标，按照</w:t>
      </w:r>
      <w:r>
        <w:rPr>
          <w:rFonts w:hint="eastAsia" w:ascii="仿宋" w:hAnsi="仿宋" w:eastAsia="仿宋" w:cs="仿宋"/>
          <w:color w:val="000000" w:themeColor="text1"/>
          <w:highlight w:val="none"/>
          <w:lang w:val="en-US" w:eastAsia="zh-CN"/>
          <w14:textFill>
            <w14:solidFill>
              <w14:schemeClr w14:val="tx1"/>
            </w14:solidFill>
          </w14:textFill>
        </w:rPr>
        <w:t>谈判</w:t>
      </w:r>
      <w:r>
        <w:rPr>
          <w:rFonts w:hint="eastAsia" w:ascii="仿宋" w:hAnsi="仿宋" w:eastAsia="仿宋" w:cs="仿宋"/>
          <w:color w:val="000000" w:themeColor="text1"/>
          <w:highlight w:val="none"/>
          <w14:textFill>
            <w14:solidFill>
              <w14:schemeClr w14:val="tx1"/>
            </w14:solidFill>
          </w14:textFill>
        </w:rPr>
        <w:t>文件约定的采购标的对应的中小企业划分标准所属行业和《中小企业划型标准规定》（工信部联企业〔2011〕300号）进行自测，判断是否属于中型、小型还是微型企业。也可在微信小程序中搜索中小企业规模类型自测小程序进行测算。</w:t>
      </w:r>
    </w:p>
    <w:p w14:paraId="0BA50F6E">
      <w:pPr>
        <w:widowControl w:val="0"/>
        <w:jc w:val="left"/>
        <w:rPr>
          <w:rFonts w:ascii="仿宋" w:hAnsi="仿宋" w:eastAsia="仿宋" w:cs="仿宋"/>
          <w:b/>
          <w:color w:val="000000" w:themeColor="text1"/>
          <w:kern w:val="0"/>
          <w:highlight w:val="none"/>
          <w14:textFill>
            <w14:solidFill>
              <w14:schemeClr w14:val="tx1"/>
            </w14:solidFill>
          </w14:textFill>
        </w:rPr>
      </w:pPr>
      <w:r>
        <w:rPr>
          <w:rFonts w:hint="eastAsia" w:ascii="仿宋" w:hAnsi="仿宋" w:eastAsia="仿宋" w:cs="仿宋"/>
          <w:b/>
          <w:color w:val="000000" w:themeColor="text1"/>
          <w:kern w:val="0"/>
          <w:highlight w:val="none"/>
          <w14:textFill>
            <w14:solidFill>
              <w14:schemeClr w14:val="tx1"/>
            </w14:solidFill>
          </w14:textFill>
        </w:rPr>
        <w:br w:type="page"/>
      </w:r>
    </w:p>
    <w:p w14:paraId="2AFAFA58">
      <w:pPr>
        <w:jc w:val="cente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kern w:val="0"/>
          <w:highlight w:val="none"/>
          <w14:textFill>
            <w14:solidFill>
              <w14:schemeClr w14:val="tx1"/>
            </w14:solidFill>
          </w14:textFill>
        </w:rPr>
        <w:t>中小企业声明函</w:t>
      </w:r>
    </w:p>
    <w:p w14:paraId="7553F7E7">
      <w:pPr>
        <w:spacing w:line="500" w:lineRule="exact"/>
        <w:ind w:firstLine="566"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本公司郑重声明，根据《政府采购促进中小企业发展管理办法》（财库﹝2020﹞46号）的规定，本公司参加陕西省省级单位政府采购中心组织的</w:t>
      </w:r>
      <w:r>
        <w:rPr>
          <w:rFonts w:hint="eastAsia" w:ascii="仿宋" w:hAnsi="仿宋" w:eastAsia="仿宋" w:cs="仿宋"/>
          <w:iCs/>
          <w:color w:val="000000" w:themeColor="text1"/>
          <w:kern w:val="0"/>
          <w:highlight w:val="none"/>
          <w:u w:val="single"/>
          <w14:textFill>
            <w14:solidFill>
              <w14:schemeClr w14:val="tx1"/>
            </w14:solidFill>
          </w14:textFill>
        </w:rPr>
        <w:t>（项目名称</w:t>
      </w:r>
      <w:r>
        <w:rPr>
          <w:rFonts w:hint="eastAsia" w:ascii="仿宋" w:hAnsi="仿宋" w:eastAsia="仿宋" w:cs="仿宋"/>
          <w:iCs/>
          <w:color w:val="000000" w:themeColor="text1"/>
          <w:kern w:val="0"/>
          <w:highlight w:val="none"/>
          <w14:textFill>
            <w14:solidFill>
              <w14:schemeClr w14:val="tx1"/>
            </w14:solidFill>
          </w14:textFill>
        </w:rPr>
        <w:t>）</w:t>
      </w:r>
      <w:r>
        <w:rPr>
          <w:rFonts w:hint="eastAsia" w:ascii="仿宋" w:hAnsi="仿宋" w:eastAsia="仿宋" w:cs="仿宋"/>
          <w:iCs/>
          <w:color w:val="000000" w:themeColor="text1"/>
          <w:kern w:val="0"/>
          <w:highlight w:val="none"/>
          <w:lang w:val="en-US" w:eastAsia="zh-CN"/>
          <w14:textFill>
            <w14:solidFill>
              <w14:schemeClr w14:val="tx1"/>
            </w14:solidFill>
          </w14:textFill>
        </w:rPr>
        <w:t>第</w:t>
      </w:r>
      <w:r>
        <w:rPr>
          <w:rFonts w:hint="eastAsia" w:ascii="仿宋" w:hAnsi="仿宋" w:eastAsia="仿宋" w:cs="仿宋"/>
          <w:iCs/>
          <w:color w:val="000000" w:themeColor="text1"/>
          <w:kern w:val="0"/>
          <w:highlight w:val="none"/>
          <w:u w:val="single"/>
          <w:lang w:val="en-US" w:eastAsia="zh-CN"/>
          <w14:textFill>
            <w14:solidFill>
              <w14:schemeClr w14:val="tx1"/>
            </w14:solidFill>
          </w14:textFill>
        </w:rPr>
        <w:t xml:space="preserve">  </w:t>
      </w:r>
      <w:r>
        <w:rPr>
          <w:rFonts w:hint="eastAsia" w:ascii="仿宋" w:hAnsi="仿宋" w:eastAsia="仿宋" w:cs="仿宋"/>
          <w:iCs/>
          <w:color w:val="000000" w:themeColor="text1"/>
          <w:kern w:val="0"/>
          <w:highlight w:val="none"/>
          <w:u w:val="none"/>
          <w:lang w:val="en-US" w:eastAsia="zh-CN"/>
          <w14:textFill>
            <w14:solidFill>
              <w14:schemeClr w14:val="tx1"/>
            </w14:solidFill>
          </w14:textFill>
        </w:rPr>
        <w:t>标段</w:t>
      </w:r>
      <w:r>
        <w:rPr>
          <w:rFonts w:hint="eastAsia" w:ascii="仿宋" w:hAnsi="仿宋" w:eastAsia="仿宋" w:cs="仿宋"/>
          <w:color w:val="000000" w:themeColor="text1"/>
          <w:kern w:val="0"/>
          <w:highlight w:val="none"/>
          <w14:textFill>
            <w14:solidFill>
              <w14:schemeClr w14:val="tx1"/>
            </w14:solidFill>
          </w14:textFill>
        </w:rPr>
        <w:t>采购活动，提供的货物全部由符合政策要求的中小企业制造。相关企业的具体情况如下：</w:t>
      </w:r>
    </w:p>
    <w:p w14:paraId="2AC773FB">
      <w:pPr>
        <w:spacing w:line="480" w:lineRule="exact"/>
        <w:ind w:firstLine="566" w:firstLineChars="200"/>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1、</w:t>
      </w:r>
      <w:r>
        <w:rPr>
          <w:rFonts w:hint="eastAsia" w:ascii="仿宋" w:hAnsi="仿宋" w:eastAsia="仿宋" w:cs="仿宋"/>
          <w:color w:val="000000" w:themeColor="text1"/>
          <w:kern w:val="0"/>
          <w:highlight w:val="none"/>
          <w:u w:val="single"/>
          <w14:textFill>
            <w14:solidFill>
              <w14:schemeClr w14:val="tx1"/>
            </w14:solidFill>
          </w14:textFill>
        </w:rPr>
        <w:t>（标的名称）</w:t>
      </w:r>
      <w:r>
        <w:rPr>
          <w:rFonts w:hint="eastAsia" w:ascii="仿宋" w:hAnsi="仿宋" w:eastAsia="仿宋" w:cs="仿宋"/>
          <w:color w:val="000000" w:themeColor="text1"/>
          <w:kern w:val="0"/>
          <w:highlight w:val="none"/>
          <w14:textFill>
            <w14:solidFill>
              <w14:schemeClr w14:val="tx1"/>
            </w14:solidFill>
          </w14:textFill>
        </w:rPr>
        <w:t>，属于</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w:t>
      </w:r>
      <w:r>
        <w:rPr>
          <w:rFonts w:hint="eastAsia" w:ascii="仿宋" w:hAnsi="仿宋" w:eastAsia="仿宋" w:cs="仿宋"/>
          <w:color w:val="000000" w:themeColor="text1"/>
          <w:kern w:val="0"/>
          <w:highlight w:val="none"/>
          <w:lang w:val="en-US" w:eastAsia="zh-CN"/>
          <w14:textFill>
            <w14:solidFill>
              <w14:schemeClr w14:val="tx1"/>
            </w14:solidFill>
          </w14:textFill>
        </w:rPr>
        <w:t>谈判</w:t>
      </w:r>
      <w:r>
        <w:rPr>
          <w:rFonts w:hint="eastAsia" w:ascii="仿宋" w:hAnsi="仿宋" w:eastAsia="仿宋" w:cs="仿宋"/>
          <w:color w:val="000000" w:themeColor="text1"/>
          <w:kern w:val="0"/>
          <w:highlight w:val="none"/>
          <w14:textFill>
            <w14:solidFill>
              <w14:schemeClr w14:val="tx1"/>
            </w14:solidFill>
          </w14:textFill>
        </w:rPr>
        <w:t>文件中明确的所属行业）；制造商为</w:t>
      </w:r>
      <w:r>
        <w:rPr>
          <w:rFonts w:hint="eastAsia" w:ascii="仿宋" w:hAnsi="仿宋" w:eastAsia="仿宋" w:cs="仿宋"/>
          <w:color w:val="000000" w:themeColor="text1"/>
          <w:kern w:val="0"/>
          <w:highlight w:val="none"/>
          <w:u w:val="single"/>
          <w14:textFill>
            <w14:solidFill>
              <w14:schemeClr w14:val="tx1"/>
            </w14:solidFill>
          </w14:textFill>
        </w:rPr>
        <w:t>（企业名称）</w:t>
      </w:r>
      <w:r>
        <w:rPr>
          <w:rFonts w:hint="eastAsia" w:ascii="仿宋" w:hAnsi="仿宋" w:eastAsia="仿宋" w:cs="仿宋"/>
          <w:color w:val="000000" w:themeColor="text1"/>
          <w:kern w:val="0"/>
          <w:highlight w:val="none"/>
          <w14:textFill>
            <w14:solidFill>
              <w14:schemeClr w14:val="tx1"/>
            </w14:solidFill>
          </w14:textFill>
        </w:rPr>
        <w:t>，从业人员</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人，营业收入为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万元，资产总额为</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万元，属于</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（中型企业、小型企业、微型企业）。</w:t>
      </w:r>
    </w:p>
    <w:p w14:paraId="6FC497B3">
      <w:pPr>
        <w:spacing w:line="480" w:lineRule="exact"/>
        <w:ind w:firstLine="566" w:firstLineChars="200"/>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2、</w:t>
      </w:r>
      <w:r>
        <w:rPr>
          <w:rFonts w:hint="eastAsia" w:ascii="仿宋" w:hAnsi="仿宋" w:eastAsia="仿宋" w:cs="仿宋"/>
          <w:color w:val="000000" w:themeColor="text1"/>
          <w:kern w:val="0"/>
          <w:highlight w:val="none"/>
          <w:u w:val="single"/>
          <w14:textFill>
            <w14:solidFill>
              <w14:schemeClr w14:val="tx1"/>
            </w14:solidFill>
          </w14:textFill>
        </w:rPr>
        <w:t>（标的名称）</w:t>
      </w:r>
      <w:r>
        <w:rPr>
          <w:rFonts w:hint="eastAsia" w:ascii="仿宋" w:hAnsi="仿宋" w:eastAsia="仿宋" w:cs="仿宋"/>
          <w:color w:val="000000" w:themeColor="text1"/>
          <w:kern w:val="0"/>
          <w:highlight w:val="none"/>
          <w14:textFill>
            <w14:solidFill>
              <w14:schemeClr w14:val="tx1"/>
            </w14:solidFill>
          </w14:textFill>
        </w:rPr>
        <w:t>，属于</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lang w:val="en-US" w:eastAsia="zh-CN"/>
          <w14:textFill>
            <w14:solidFill>
              <w14:schemeClr w14:val="tx1"/>
            </w14:solidFill>
          </w14:textFill>
        </w:rPr>
        <w:t>谈判</w:t>
      </w:r>
      <w:r>
        <w:rPr>
          <w:rFonts w:hint="eastAsia" w:ascii="仿宋" w:hAnsi="仿宋" w:eastAsia="仿宋" w:cs="仿宋"/>
          <w:color w:val="000000" w:themeColor="text1"/>
          <w:kern w:val="0"/>
          <w:highlight w:val="none"/>
          <w14:textFill>
            <w14:solidFill>
              <w14:schemeClr w14:val="tx1"/>
            </w14:solidFill>
          </w14:textFill>
        </w:rPr>
        <w:t>文件中明确的所属行业）；制造商为</w:t>
      </w:r>
      <w:r>
        <w:rPr>
          <w:rFonts w:hint="eastAsia" w:ascii="仿宋" w:hAnsi="仿宋" w:eastAsia="仿宋" w:cs="仿宋"/>
          <w:color w:val="000000" w:themeColor="text1"/>
          <w:kern w:val="0"/>
          <w:highlight w:val="none"/>
          <w:u w:val="single"/>
          <w14:textFill>
            <w14:solidFill>
              <w14:schemeClr w14:val="tx1"/>
            </w14:solidFill>
          </w14:textFill>
        </w:rPr>
        <w:t>（企业名称）</w:t>
      </w:r>
      <w:r>
        <w:rPr>
          <w:rFonts w:hint="eastAsia" w:ascii="仿宋" w:hAnsi="仿宋" w:eastAsia="仿宋" w:cs="仿宋"/>
          <w:color w:val="000000" w:themeColor="text1"/>
          <w:kern w:val="0"/>
          <w:highlight w:val="none"/>
          <w14:textFill>
            <w14:solidFill>
              <w14:schemeClr w14:val="tx1"/>
            </w14:solidFill>
          </w14:textFill>
        </w:rPr>
        <w:t>，从业人员</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人，营业收入为</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万元，资产总额为</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万元，属于</w:t>
      </w:r>
      <w:r>
        <w:rPr>
          <w:rFonts w:hint="eastAsia" w:ascii="仿宋" w:hAnsi="仿宋" w:eastAsia="仿宋" w:cs="仿宋"/>
          <w:color w:val="000000" w:themeColor="text1"/>
          <w:kern w:val="0"/>
          <w:highlight w:val="none"/>
          <w:u w:val="single"/>
          <w14:textFill>
            <w14:solidFill>
              <w14:schemeClr w14:val="tx1"/>
            </w14:solidFill>
          </w14:textFill>
        </w:rPr>
        <w:t xml:space="preserve">       </w:t>
      </w:r>
      <w:r>
        <w:rPr>
          <w:rFonts w:hint="eastAsia" w:ascii="仿宋" w:hAnsi="仿宋" w:eastAsia="仿宋" w:cs="仿宋"/>
          <w:color w:val="000000" w:themeColor="text1"/>
          <w:kern w:val="0"/>
          <w:highlight w:val="none"/>
          <w14:textFill>
            <w14:solidFill>
              <w14:schemeClr w14:val="tx1"/>
            </w14:solidFill>
          </w14:textFill>
        </w:rPr>
        <w:t>（中型企业、小型企业、微型企业）。</w:t>
      </w:r>
    </w:p>
    <w:p w14:paraId="3FD45265">
      <w:pPr>
        <w:pStyle w:val="18"/>
        <w:spacing w:line="480" w:lineRule="exact"/>
        <w:ind w:firstLine="566" w:firstLineChars="200"/>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color w:val="000000" w:themeColor="text1"/>
          <w:sz w:val="28"/>
          <w:szCs w:val="28"/>
          <w:highlight w:val="none"/>
          <w14:textFill>
            <w14:solidFill>
              <w14:schemeClr w14:val="tx1"/>
            </w14:solidFill>
          </w14:textFill>
        </w:rPr>
        <w:t>3、....</w:t>
      </w:r>
    </w:p>
    <w:p w14:paraId="51FC3F35">
      <w:pPr>
        <w:spacing w:line="480" w:lineRule="exact"/>
        <w:ind w:firstLine="566" w:firstLineChars="200"/>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以上企业，不属于大企业的分支机构，不存在控股股东为大企业的情形，也不存在与大企业的负责人为同一人的情形。</w:t>
      </w:r>
    </w:p>
    <w:p w14:paraId="741394EB">
      <w:pPr>
        <w:spacing w:line="480" w:lineRule="exact"/>
        <w:ind w:firstLine="566" w:firstLineChars="200"/>
        <w:jc w:val="left"/>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本企业对上述声明内容的真实性负责。如有虚假，将依法承担相应责任。</w:t>
      </w:r>
    </w:p>
    <w:p w14:paraId="52DE03EA">
      <w:pPr>
        <w:spacing w:line="500" w:lineRule="exac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color w:val="000000" w:themeColor="text1"/>
          <w:highlight w:val="none"/>
          <w:lang w:val="en-US" w:eastAsia="zh-CN"/>
          <w14:textFill>
            <w14:solidFill>
              <w14:schemeClr w14:val="tx1"/>
            </w14:solidFill>
          </w14:textFill>
        </w:rPr>
        <w:t>供应商</w:t>
      </w:r>
      <w:r>
        <w:rPr>
          <w:rFonts w:hint="eastAsia" w:ascii="仿宋" w:hAnsi="仿宋" w:eastAsia="仿宋" w:cs="仿宋"/>
          <w:color w:val="000000" w:themeColor="text1"/>
          <w:kern w:val="0"/>
          <w:highlight w:val="none"/>
          <w14:textFill>
            <w14:solidFill>
              <w14:schemeClr w14:val="tx1"/>
            </w14:solidFill>
          </w14:textFill>
        </w:rPr>
        <w:t>：</w:t>
      </w:r>
      <w:r>
        <w:rPr>
          <w:rFonts w:hint="eastAsia" w:ascii="仿宋" w:hAnsi="仿宋" w:eastAsia="仿宋" w:cs="仿宋"/>
          <w:color w:val="000000" w:themeColor="text1"/>
          <w:kern w:val="0"/>
          <w:highlight w:val="none"/>
          <w:u w:val="single"/>
          <w14:textFill>
            <w14:solidFill>
              <w14:schemeClr w14:val="tx1"/>
            </w14:solidFill>
          </w14:textFill>
        </w:rPr>
        <w:t>名称</w:t>
      </w:r>
      <w:r>
        <w:rPr>
          <w:rFonts w:hint="eastAsia" w:ascii="仿宋" w:hAnsi="仿宋" w:eastAsia="仿宋" w:cs="仿宋"/>
          <w:color w:val="000000" w:themeColor="text1"/>
          <w:kern w:val="0"/>
          <w:highlight w:val="none"/>
          <w14:textFill>
            <w14:solidFill>
              <w14:schemeClr w14:val="tx1"/>
            </w14:solidFill>
          </w14:textFill>
        </w:rPr>
        <w:t>（加盖公章）</w:t>
      </w:r>
    </w:p>
    <w:p w14:paraId="5DA71F52">
      <w:pPr>
        <w:spacing w:line="500" w:lineRule="exact"/>
        <w:ind w:firstLine="566" w:firstLineChars="200"/>
        <w:jc w:val="center"/>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t xml:space="preserve">                              日期：    年  月  日</w:t>
      </w:r>
    </w:p>
    <w:p w14:paraId="087AB2A5">
      <w:pPr>
        <w:widowControl w:val="0"/>
        <w:ind w:firstLine="426" w:firstLineChars="20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备注：</w:t>
      </w:r>
    </w:p>
    <w:p w14:paraId="77A90C77">
      <w:pPr>
        <w:widowControl w:val="0"/>
        <w:ind w:firstLine="426"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1、填写前请认真阅读《工业和信息化部、国家统计局、国家发展和改革委员会、财政部关于印发中小企业划型标准规定的通知》（工信部联企业[2011]300号）和财政部、工业和信息化部关于印发《政府采购促进中小企业发展管理办法》的通知(财库[2020]46号)相关规定。</w:t>
      </w:r>
    </w:p>
    <w:p w14:paraId="67FB520C">
      <w:pPr>
        <w:widowControl w:val="0"/>
        <w:ind w:firstLine="426"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2、从业人员、营业收入、资产总额填报上一年度数据，无上一年度数据的新成立企业可不填</w:t>
      </w:r>
    </w:p>
    <w:p w14:paraId="148DC105">
      <w:pPr>
        <w:widowControl w:val="0"/>
        <w:rPr>
          <w:rFonts w:hint="eastAsia" w:ascii="宋体" w:hAnsi="宋体" w:eastAsia="宋体" w:cs="宋体"/>
          <w:color w:val="000000" w:themeColor="text1"/>
          <w:kern w:val="0"/>
          <w:sz w:val="21"/>
          <w:szCs w:val="21"/>
          <w:highlight w:val="none"/>
          <w14:textFill>
            <w14:solidFill>
              <w14:schemeClr w14:val="tx1"/>
            </w14:solidFill>
          </w14:textFill>
        </w:rPr>
      </w:pPr>
      <w:r>
        <w:rPr>
          <w:rFonts w:hint="eastAsia" w:ascii="宋体" w:hAnsi="宋体" w:eastAsia="宋体" w:cs="宋体"/>
          <w:color w:val="000000" w:themeColor="text1"/>
          <w:kern w:val="0"/>
          <w:sz w:val="21"/>
          <w:szCs w:val="21"/>
          <w:highlight w:val="none"/>
          <w14:textFill>
            <w14:solidFill>
              <w14:schemeClr w14:val="tx1"/>
            </w14:solidFill>
          </w14:textFill>
        </w:rPr>
        <w:t>报。</w:t>
      </w:r>
    </w:p>
    <w:p w14:paraId="7D3F61AA">
      <w:pPr>
        <w:widowControl w:val="0"/>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3</w:t>
      </w:r>
      <w:r>
        <w:rPr>
          <w:rFonts w:hint="eastAsia" w:ascii="宋体" w:hAnsi="宋体" w:eastAsia="宋体" w:cs="宋体"/>
          <w:sz w:val="21"/>
          <w:szCs w:val="21"/>
        </w:rPr>
        <w:t>、</w:t>
      </w:r>
      <w:r>
        <w:rPr>
          <w:rFonts w:hint="eastAsia" w:ascii="宋体" w:hAnsi="宋体" w:eastAsia="宋体" w:cs="宋体"/>
          <w:b/>
          <w:bCs/>
          <w:sz w:val="21"/>
          <w:szCs w:val="21"/>
        </w:rPr>
        <w:t>请</w:t>
      </w:r>
      <w:r>
        <w:rPr>
          <w:rFonts w:hint="eastAsia" w:ascii="宋体" w:hAnsi="宋体" w:eastAsia="宋体" w:cs="宋体"/>
          <w:b/>
          <w:bCs/>
          <w:sz w:val="21"/>
          <w:szCs w:val="21"/>
          <w:lang w:val="en-US" w:eastAsia="zh-CN"/>
        </w:rPr>
        <w:t>供应商</w:t>
      </w:r>
      <w:r>
        <w:rPr>
          <w:rFonts w:hint="eastAsia" w:ascii="宋体" w:hAnsi="宋体" w:eastAsia="宋体" w:cs="宋体"/>
          <w:b/>
          <w:bCs/>
          <w:sz w:val="21"/>
          <w:szCs w:val="21"/>
        </w:rPr>
        <w:t>按照</w:t>
      </w:r>
      <w:r>
        <w:rPr>
          <w:rFonts w:hint="eastAsia" w:ascii="宋体" w:hAnsi="宋体" w:eastAsia="宋体" w:cs="宋体"/>
          <w:b/>
          <w:bCs/>
          <w:sz w:val="21"/>
          <w:szCs w:val="21"/>
          <w:lang w:val="en-US" w:eastAsia="zh-CN"/>
        </w:rPr>
        <w:t>谈判</w:t>
      </w:r>
      <w:r>
        <w:rPr>
          <w:rFonts w:hint="eastAsia" w:ascii="宋体" w:hAnsi="宋体" w:eastAsia="宋体" w:cs="宋体"/>
          <w:b/>
          <w:bCs/>
          <w:sz w:val="21"/>
          <w:szCs w:val="21"/>
        </w:rPr>
        <w:t>文件第</w:t>
      </w:r>
      <w:r>
        <w:rPr>
          <w:rFonts w:hint="eastAsia" w:ascii="宋体" w:hAnsi="宋体" w:eastAsia="宋体" w:cs="宋体"/>
          <w:b/>
          <w:bCs/>
          <w:sz w:val="21"/>
          <w:szCs w:val="21"/>
          <w:lang w:val="en-US" w:eastAsia="zh-CN"/>
        </w:rPr>
        <w:t>三</w:t>
      </w:r>
      <w:r>
        <w:rPr>
          <w:rFonts w:hint="eastAsia" w:ascii="宋体" w:hAnsi="宋体" w:eastAsia="宋体" w:cs="宋体"/>
          <w:b/>
          <w:bCs/>
          <w:sz w:val="21"/>
          <w:szCs w:val="21"/>
        </w:rPr>
        <w:t>章</w:t>
      </w:r>
      <w:r>
        <w:rPr>
          <w:rFonts w:hint="eastAsia" w:ascii="宋体" w:hAnsi="宋体" w:eastAsia="宋体" w:cs="宋体"/>
          <w:b/>
          <w:bCs/>
          <w:sz w:val="21"/>
          <w:szCs w:val="21"/>
          <w:lang w:val="en-US" w:eastAsia="zh-CN"/>
        </w:rPr>
        <w:t>本标段</w:t>
      </w:r>
      <w:r>
        <w:rPr>
          <w:rFonts w:hint="eastAsia" w:ascii="宋体" w:hAnsi="宋体" w:eastAsia="宋体" w:cs="宋体"/>
          <w:b/>
          <w:bCs/>
          <w:sz w:val="21"/>
          <w:szCs w:val="21"/>
        </w:rPr>
        <w:t>“采购清单”中实际采购货物清单（</w:t>
      </w:r>
      <w:r>
        <w:rPr>
          <w:rFonts w:hint="eastAsia" w:ascii="宋体" w:hAnsi="宋体" w:eastAsia="宋体" w:cs="宋体"/>
          <w:b/>
          <w:bCs/>
          <w:sz w:val="21"/>
          <w:szCs w:val="21"/>
          <w:lang w:val="en-US" w:eastAsia="zh-CN"/>
        </w:rPr>
        <w:t>第一标段1项、第二标段</w:t>
      </w: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5</w:t>
      </w:r>
      <w:r>
        <w:rPr>
          <w:rFonts w:hint="eastAsia" w:ascii="宋体" w:hAnsi="宋体" w:eastAsia="宋体" w:cs="宋体"/>
          <w:b/>
          <w:bCs/>
          <w:sz w:val="21"/>
          <w:szCs w:val="21"/>
        </w:rPr>
        <w:t>项货物）标的种类填写，可自行向下延续序号；</w:t>
      </w:r>
    </w:p>
    <w:p w14:paraId="3B073116">
      <w:pPr>
        <w:widowControl w:val="0"/>
        <w:ind w:firstLine="426" w:firstLineChars="200"/>
        <w:jc w:val="lef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4、</w:t>
      </w:r>
      <w:r>
        <w:rPr>
          <w:rFonts w:hint="eastAsia" w:ascii="宋体" w:hAnsi="宋体" w:eastAsia="宋体" w:cs="宋体"/>
          <w:color w:val="000000" w:themeColor="text1"/>
          <w:kern w:val="0"/>
          <w:sz w:val="21"/>
          <w:szCs w:val="21"/>
          <w:highlight w:val="none"/>
          <w14:textFill>
            <w14:solidFill>
              <w14:schemeClr w14:val="tx1"/>
            </w14:solidFill>
          </w14:textFill>
        </w:rPr>
        <w:t>根据《工业和信息化部、国家统计局、国家发展和改革委员会、财政部关于印发中小企业划型标准规定的通知》（工信部联企业[2011]300号），本项目所属行业中小企业划型标准具体如下：</w:t>
      </w:r>
      <w:r>
        <w:rPr>
          <w:rFonts w:hint="eastAsia" w:ascii="宋体" w:hAnsi="宋体" w:eastAsia="宋体" w:cs="宋体"/>
          <w:color w:val="000000" w:themeColor="text1"/>
          <w:sz w:val="21"/>
          <w:szCs w:val="21"/>
          <w:highlight w:val="none"/>
          <w14:textFill>
            <w14:solidFill>
              <w14:schemeClr w14:val="tx1"/>
            </w14:solidFill>
          </w14:textFill>
        </w:rPr>
        <w:t>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74BF2715">
      <w:pPr>
        <w:widowControl w:val="0"/>
        <w:tabs>
          <w:tab w:val="left" w:pos="5670"/>
        </w:tabs>
        <w:spacing w:line="500" w:lineRule="exact"/>
        <w:jc w:val="center"/>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highlight w:val="none"/>
          <w14:textFill>
            <w14:solidFill>
              <w14:schemeClr w14:val="tx1"/>
            </w14:solidFill>
          </w14:textFill>
        </w:rPr>
        <w:br w:type="page"/>
      </w:r>
      <w:r>
        <w:rPr>
          <w:rFonts w:hint="eastAsia" w:ascii="仿宋" w:hAnsi="仿宋" w:eastAsia="仿宋" w:cs="仿宋"/>
          <w:b/>
          <w:bCs/>
          <w:color w:val="000000" w:themeColor="text1"/>
          <w:highlight w:val="none"/>
          <w14:textFill>
            <w14:solidFill>
              <w14:schemeClr w14:val="tx1"/>
            </w14:solidFill>
          </w14:textFill>
        </w:rPr>
        <w:t>监狱企业证明函</w:t>
      </w:r>
    </w:p>
    <w:p w14:paraId="1325D4AF">
      <w:pPr>
        <w:widowControl w:val="0"/>
        <w:tabs>
          <w:tab w:val="left" w:pos="5670"/>
        </w:tabs>
        <w:spacing w:line="500" w:lineRule="exact"/>
        <w:ind w:firstLine="566" w:firstLineChars="200"/>
        <w:jc w:val="lef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34B20D0">
      <w:pPr>
        <w:widowControl w:val="0"/>
        <w:spacing w:line="500" w:lineRule="exact"/>
        <w:ind w:firstLine="566" w:firstLineChars="200"/>
        <w:jc w:val="lef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监狱企业参加政府采购活动时，应当提供由省级以上监狱管理局、戒毒管理局（含新疆生产建设兵团）出具的属于监狱企业的证明文件。</w:t>
      </w:r>
    </w:p>
    <w:p w14:paraId="590A7A18">
      <w:pPr>
        <w:pStyle w:val="26"/>
        <w:widowControl w:val="0"/>
        <w:spacing w:after="190"/>
        <w:ind w:firstLine="639" w:firstLineChars="300"/>
        <w:rPr>
          <w:rFonts w:ascii="仿宋" w:hAnsi="仿宋" w:eastAsia="仿宋" w:cs="仿宋"/>
          <w:color w:val="000000" w:themeColor="text1"/>
          <w:sz w:val="21"/>
          <w:szCs w:val="21"/>
          <w:highlight w:val="none"/>
          <w14:textFill>
            <w14:solidFill>
              <w14:schemeClr w14:val="tx1"/>
            </w14:solidFill>
          </w14:textFill>
        </w:rPr>
      </w:pPr>
    </w:p>
    <w:p w14:paraId="10D93F5D">
      <w:pPr>
        <w:widowControl w:val="0"/>
        <w:tabs>
          <w:tab w:val="left" w:pos="5670"/>
        </w:tabs>
        <w:spacing w:line="500" w:lineRule="exact"/>
        <w:ind w:firstLine="426" w:firstLineChars="200"/>
        <w:jc w:val="center"/>
        <w:rPr>
          <w:rFonts w:ascii="仿宋" w:hAnsi="仿宋" w:eastAsia="仿宋" w:cs="仿宋"/>
          <w:b/>
          <w:color w:val="000000" w:themeColor="text1"/>
          <w:sz w:val="30"/>
          <w:szCs w:val="30"/>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br w:type="page"/>
      </w:r>
      <w:r>
        <w:rPr>
          <w:rFonts w:hint="eastAsia" w:ascii="仿宋" w:hAnsi="仿宋" w:eastAsia="仿宋" w:cs="仿宋"/>
          <w:b/>
          <w:color w:val="000000" w:themeColor="text1"/>
          <w:sz w:val="30"/>
          <w:szCs w:val="30"/>
          <w:highlight w:val="none"/>
          <w14:textFill>
            <w14:solidFill>
              <w14:schemeClr w14:val="tx1"/>
            </w14:solidFill>
          </w14:textFill>
        </w:rPr>
        <w:t>残疾人福利性单位声明函（格式）</w:t>
      </w:r>
    </w:p>
    <w:p w14:paraId="4428E52B">
      <w:pPr>
        <w:widowControl w:val="0"/>
        <w:spacing w:line="500" w:lineRule="exact"/>
        <w:ind w:firstLine="566" w:firstLineChars="200"/>
        <w:jc w:val="lef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000000" w:themeColor="text1"/>
          <w:highlight w:val="none"/>
          <w:u w:val="single"/>
          <w14:textFill>
            <w14:solidFill>
              <w14:schemeClr w14:val="tx1"/>
            </w14:solidFill>
          </w14:textFill>
        </w:rPr>
        <w:t>（项目名称）</w:t>
      </w:r>
      <w:r>
        <w:rPr>
          <w:rFonts w:hint="eastAsia" w:ascii="仿宋" w:hAnsi="仿宋" w:eastAsia="仿宋" w:cs="仿宋"/>
          <w:color w:val="000000" w:themeColor="text1"/>
          <w:highlight w:val="none"/>
          <w14:textFill>
            <w14:solidFill>
              <w14:schemeClr w14:val="tx1"/>
            </w14:solidFill>
          </w14:textFill>
        </w:rPr>
        <w:t>（项目编号：</w:t>
      </w:r>
      <w:r>
        <w:rPr>
          <w:rFonts w:hint="eastAsia" w:ascii="仿宋" w:hAnsi="仿宋" w:eastAsia="仿宋" w:cs="仿宋"/>
          <w:color w:val="000000" w:themeColor="text1"/>
          <w:highlight w:val="none"/>
          <w:u w:val="single"/>
          <w14:textFill>
            <w14:solidFill>
              <w14:schemeClr w14:val="tx1"/>
            </w14:solidFill>
          </w14:textFill>
        </w:rPr>
        <w:t xml:space="preserve">        </w:t>
      </w:r>
      <w:r>
        <w:rPr>
          <w:rFonts w:hint="eastAsia" w:ascii="仿宋" w:hAnsi="仿宋" w:eastAsia="仿宋" w:cs="仿宋"/>
          <w:color w:val="000000" w:themeColor="text1"/>
          <w:highlight w:val="none"/>
          <w14:textFill>
            <w14:solidFill>
              <w14:schemeClr w14:val="tx1"/>
            </w14:solidFill>
          </w14:textFill>
        </w:rPr>
        <w:t>）第___标段采购活动提供本单位制造的货物（由本单位承担工程/提供服务），或者提供其他残疾人福利性单位制造的货物（不包括使用非残疾人福利性单位注册商标的货物）。</w:t>
      </w:r>
    </w:p>
    <w:p w14:paraId="7B40E1ED">
      <w:pPr>
        <w:widowControl w:val="0"/>
        <w:spacing w:line="500" w:lineRule="exact"/>
        <w:ind w:firstLine="566" w:firstLineChars="200"/>
        <w:jc w:val="lef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本单位对上述声明的真实性负责。如有虚假，将依法承担相应责任。</w:t>
      </w:r>
    </w:p>
    <w:p w14:paraId="4B6CDDAC">
      <w:pPr>
        <w:widowControl w:val="0"/>
        <w:spacing w:line="500" w:lineRule="exact"/>
        <w:ind w:firstLine="566" w:firstLineChars="200"/>
        <w:jc w:val="left"/>
        <w:rPr>
          <w:rFonts w:ascii="仿宋" w:hAnsi="仿宋" w:eastAsia="仿宋" w:cs="仿宋"/>
          <w:color w:val="000000" w:themeColor="text1"/>
          <w:highlight w:val="none"/>
          <w14:textFill>
            <w14:solidFill>
              <w14:schemeClr w14:val="tx1"/>
            </w14:solidFill>
          </w14:textFill>
        </w:rPr>
      </w:pPr>
    </w:p>
    <w:p w14:paraId="21307F77">
      <w:pPr>
        <w:widowControl w:val="0"/>
        <w:spacing w:line="500" w:lineRule="exact"/>
        <w:ind w:firstLine="5094" w:firstLineChars="1800"/>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投标人：</w:t>
      </w:r>
      <w:r>
        <w:rPr>
          <w:rFonts w:hint="eastAsia" w:ascii="仿宋" w:hAnsi="仿宋" w:eastAsia="仿宋" w:cs="仿宋"/>
          <w:color w:val="000000" w:themeColor="text1"/>
          <w:highlight w:val="none"/>
          <w:u w:val="single"/>
          <w14:textFill>
            <w14:solidFill>
              <w14:schemeClr w14:val="tx1"/>
            </w14:solidFill>
          </w14:textFill>
        </w:rPr>
        <w:t>名称</w:t>
      </w:r>
      <w:r>
        <w:rPr>
          <w:rFonts w:hint="eastAsia" w:ascii="仿宋" w:hAnsi="仿宋" w:eastAsia="仿宋" w:cs="仿宋"/>
          <w:color w:val="000000" w:themeColor="text1"/>
          <w:highlight w:val="none"/>
          <w14:textFill>
            <w14:solidFill>
              <w14:schemeClr w14:val="tx1"/>
            </w14:solidFill>
          </w14:textFill>
        </w:rPr>
        <w:t>（加盖公章）</w:t>
      </w:r>
    </w:p>
    <w:p w14:paraId="6206D727">
      <w:pPr>
        <w:widowControl w:val="0"/>
        <w:tabs>
          <w:tab w:val="left" w:pos="5670"/>
        </w:tabs>
        <w:spacing w:line="500" w:lineRule="exact"/>
        <w:ind w:firstLine="5377" w:firstLineChars="1900"/>
        <w:jc w:val="left"/>
        <w:rPr>
          <w:rFonts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日期：　　年　月　日</w:t>
      </w:r>
    </w:p>
    <w:p w14:paraId="11216BAD">
      <w:pPr>
        <w:widowControl w:val="0"/>
        <w:tabs>
          <w:tab w:val="left" w:pos="5670"/>
        </w:tabs>
        <w:spacing w:line="240" w:lineRule="auto"/>
        <w:ind w:firstLine="566"/>
        <w:jc w:val="left"/>
        <w:rPr>
          <w:rFonts w:hint="eastAsia" w:ascii="仿宋" w:hAnsi="仿宋" w:eastAsia="仿宋" w:cs="仿宋"/>
          <w:b/>
          <w:bCs/>
          <w:color w:val="000000" w:themeColor="text1"/>
          <w:sz w:val="21"/>
          <w:szCs w:val="21"/>
          <w:highlight w:val="none"/>
          <w14:textFill>
            <w14:solidFill>
              <w14:schemeClr w14:val="tx1"/>
            </w14:solidFill>
          </w14:textFill>
        </w:rPr>
      </w:pPr>
    </w:p>
    <w:p w14:paraId="4635E180">
      <w:pPr>
        <w:widowControl w:val="0"/>
        <w:tabs>
          <w:tab w:val="left" w:pos="5670"/>
        </w:tabs>
        <w:spacing w:line="240" w:lineRule="auto"/>
        <w:ind w:firstLine="566"/>
        <w:jc w:val="left"/>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备注：非残疾人福利性单位不用填写此表。</w:t>
      </w:r>
    </w:p>
    <w:p w14:paraId="6281685C">
      <w:pPr>
        <w:widowControl w:val="0"/>
        <w:tabs>
          <w:tab w:val="left" w:pos="5670"/>
        </w:tabs>
        <w:spacing w:line="240" w:lineRule="auto"/>
        <w:ind w:firstLine="56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项目不分标段的，第___标段空白处填写“/”。</w:t>
      </w:r>
    </w:p>
    <w:p w14:paraId="00B72097">
      <w:pPr>
        <w:widowControl w:val="0"/>
        <w:tabs>
          <w:tab w:val="left" w:pos="5670"/>
        </w:tabs>
        <w:spacing w:line="240" w:lineRule="auto"/>
        <w:ind w:firstLine="56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根据《财政部 民政部 中国残疾人联合会关于促进残疾人就业政府采购政策的通知》（财库〔2017〕141号）的规定：</w:t>
      </w:r>
    </w:p>
    <w:p w14:paraId="650AF890">
      <w:pPr>
        <w:widowControl w:val="0"/>
        <w:tabs>
          <w:tab w:val="left" w:pos="5670"/>
        </w:tabs>
        <w:spacing w:line="240" w:lineRule="auto"/>
        <w:ind w:firstLine="566"/>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一、享受政府采购支持政策的残疾人福利性单位应当同时满足以下条件：</w:t>
      </w:r>
    </w:p>
    <w:p w14:paraId="6533C705">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（一）安置的残疾人占本单位在职职工人数的比例不低于25%（含25%），并且安置的残疾人人数不少于10人（含10人）；</w:t>
      </w:r>
    </w:p>
    <w:p w14:paraId="5479A5D0">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（二）依法与安置的每位残疾人签订了一年以上（含一年）的劳动合同或服务协议；</w:t>
      </w:r>
    </w:p>
    <w:p w14:paraId="4F88F46C">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（三）为安置的每位残疾人按月足额缴纳了基本养老保险、基本医疗保险、失业保险、工伤保险和生育保险等社会保险费；</w:t>
      </w:r>
    </w:p>
    <w:p w14:paraId="08B91CF5">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（四）通过银行等金融机构向安置的每位残疾人，按月支付了不低于单位所在区县适用的经省级人民政府批准的月最低工资标准的工资；</w:t>
      </w:r>
    </w:p>
    <w:p w14:paraId="70EC289E">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（五）提供本单位制造的货物、承担的工程或者服务（以下简称产品），或者提供其他残疾人福利性单位制造的货物（不包括使用非残疾人福利性单位注册商标的货物）。</w:t>
      </w:r>
    </w:p>
    <w:p w14:paraId="34404925">
      <w:pPr>
        <w:widowControl w:val="0"/>
        <w:tabs>
          <w:tab w:val="left" w:pos="5670"/>
        </w:tabs>
        <w:spacing w:line="240" w:lineRule="auto"/>
        <w:ind w:firstLine="426" w:firstLineChars="200"/>
        <w:jc w:val="left"/>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98CFD96">
      <w:pPr>
        <w:spacing w:line="240" w:lineRule="auto"/>
        <w:ind w:firstLine="426" w:firstLineChars="200"/>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二、</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成交供应商</w:t>
      </w:r>
      <w:r>
        <w:rPr>
          <w:rFonts w:hint="eastAsia" w:ascii="宋体" w:hAnsi="宋体" w:eastAsia="宋体" w:cs="宋体"/>
          <w:color w:val="000000" w:themeColor="text1"/>
          <w:sz w:val="21"/>
          <w:szCs w:val="21"/>
          <w:highlight w:val="none"/>
          <w14:textFill>
            <w14:solidFill>
              <w14:schemeClr w14:val="tx1"/>
            </w14:solidFill>
          </w14:textFill>
        </w:rPr>
        <w:t>为残疾人福利性单位的，采购人或者其委托的采购代理机构应当随</w:t>
      </w:r>
      <w:r>
        <w:rPr>
          <w:rFonts w:hint="eastAsia" w:ascii="宋体" w:hAnsi="宋体" w:eastAsia="宋体" w:cs="宋体"/>
          <w:color w:val="000000" w:themeColor="text1"/>
          <w:sz w:val="21"/>
          <w:szCs w:val="21"/>
          <w:highlight w:val="none"/>
          <w:lang w:val="en-US" w:eastAsia="zh-CN"/>
          <w14:textFill>
            <w14:solidFill>
              <w14:schemeClr w14:val="tx1"/>
            </w14:solidFill>
          </w14:textFill>
        </w:rPr>
        <w:t>成交</w:t>
      </w:r>
      <w:r>
        <w:rPr>
          <w:rFonts w:hint="eastAsia" w:ascii="宋体" w:hAnsi="宋体" w:eastAsia="宋体" w:cs="宋体"/>
          <w:color w:val="000000" w:themeColor="text1"/>
          <w:sz w:val="21"/>
          <w:szCs w:val="21"/>
          <w:highlight w:val="none"/>
          <w14:textFill>
            <w14:solidFill>
              <w14:schemeClr w14:val="tx1"/>
            </w14:solidFill>
          </w14:textFill>
        </w:rPr>
        <w:t>结果同时公告其《残疾人福利性单位声明函》，接受社会监督。</w:t>
      </w:r>
    </w:p>
    <w:p w14:paraId="32E783D1">
      <w:pPr>
        <w:ind w:firstLine="0"/>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p>
    <w:p w14:paraId="585EC762">
      <w:pPr>
        <w:ind w:firstLine="566"/>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十</w:t>
      </w:r>
      <w:r>
        <w:rPr>
          <w:rFonts w:hint="eastAsia" w:ascii="仿宋" w:hAnsi="仿宋" w:eastAsia="仿宋" w:cs="仿宋"/>
          <w:b/>
          <w:bCs/>
          <w:color w:val="auto"/>
          <w:sz w:val="28"/>
          <w:szCs w:val="28"/>
          <w:highlight w:val="none"/>
        </w:rPr>
        <w:t>、不接受联合体响应，不允许分包</w:t>
      </w:r>
      <w:bookmarkEnd w:id="301"/>
    </w:p>
    <w:p w14:paraId="31CBD1FD">
      <w:pPr>
        <w:rPr>
          <w:rFonts w:ascii="仿宋" w:hAnsi="仿宋" w:eastAsia="仿宋" w:cs="仿宋"/>
          <w:b/>
          <w:bCs/>
          <w:color w:val="auto"/>
          <w:kern w:val="0"/>
          <w:sz w:val="28"/>
          <w:szCs w:val="28"/>
          <w:highlight w:val="none"/>
        </w:rPr>
      </w:pPr>
    </w:p>
    <w:p w14:paraId="43B74A32">
      <w:pPr>
        <w:spacing w:line="240" w:lineRule="auto"/>
        <w:jc w:val="center"/>
        <w:rPr>
          <w:rFonts w:ascii="仿宋" w:hAnsi="仿宋" w:eastAsia="仿宋" w:cs="仿宋"/>
          <w:b/>
          <w:bCs/>
          <w:color w:val="auto"/>
          <w:kern w:val="0"/>
          <w:highlight w:val="none"/>
        </w:rPr>
      </w:pPr>
      <w:r>
        <w:rPr>
          <w:rFonts w:hint="eastAsia" w:ascii="仿宋" w:hAnsi="仿宋" w:eastAsia="仿宋" w:cs="仿宋"/>
          <w:b/>
          <w:bCs/>
          <w:color w:val="auto"/>
          <w:kern w:val="0"/>
          <w:highlight w:val="none"/>
        </w:rPr>
        <w:t>非联合体不分包投标声明（格式）</w:t>
      </w:r>
    </w:p>
    <w:p w14:paraId="7ED44A72">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本单位郑重声明，参加陕西省省级单位政府采购中心的</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（项目编号：______）第______标段采购活动，为非联合体谈判，本项目实施过程由本单位独立承担。</w:t>
      </w:r>
    </w:p>
    <w:p w14:paraId="30D596E6">
      <w:pPr>
        <w:spacing w:line="500" w:lineRule="exact"/>
        <w:ind w:firstLine="566" w:firstLineChars="200"/>
        <w:jc w:val="left"/>
        <w:rPr>
          <w:rFonts w:ascii="仿宋" w:hAnsi="仿宋" w:eastAsia="仿宋" w:cs="仿宋"/>
          <w:color w:val="auto"/>
          <w:highlight w:val="none"/>
        </w:rPr>
      </w:pPr>
      <w:r>
        <w:rPr>
          <w:rFonts w:hint="eastAsia" w:ascii="仿宋" w:hAnsi="仿宋" w:eastAsia="仿宋" w:cs="仿宋"/>
          <w:color w:val="auto"/>
          <w:highlight w:val="none"/>
        </w:rPr>
        <w:t>本单位对上述声明的真实性负责。如有虚假，将依法承担相应责任。</w:t>
      </w:r>
    </w:p>
    <w:p w14:paraId="5099DEF4">
      <w:pPr>
        <w:spacing w:line="500" w:lineRule="exact"/>
        <w:ind w:firstLine="566" w:firstLineChars="200"/>
        <w:jc w:val="left"/>
        <w:rPr>
          <w:rFonts w:hint="eastAsia" w:ascii="仿宋" w:hAnsi="仿宋" w:eastAsia="仿宋" w:cs="仿宋"/>
          <w:color w:val="auto"/>
          <w:highlight w:val="none"/>
        </w:rPr>
      </w:pPr>
    </w:p>
    <w:p w14:paraId="4707FD86">
      <w:pPr>
        <w:pStyle w:val="8"/>
        <w:rPr>
          <w:rFonts w:hint="eastAsia" w:ascii="仿宋" w:hAnsi="仿宋" w:eastAsia="仿宋" w:cs="仿宋"/>
          <w:color w:val="auto"/>
          <w:highlight w:val="none"/>
        </w:rPr>
      </w:pPr>
    </w:p>
    <w:p w14:paraId="63EDDED2">
      <w:pPr>
        <w:spacing w:line="500" w:lineRule="exact"/>
        <w:ind w:firstLine="5094" w:firstLineChars="1800"/>
        <w:rPr>
          <w:rFonts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21A43B08">
      <w:pPr>
        <w:tabs>
          <w:tab w:val="left" w:pos="5670"/>
        </w:tabs>
        <w:spacing w:line="500" w:lineRule="exact"/>
        <w:ind w:firstLine="5377" w:firstLineChars="1900"/>
        <w:jc w:val="left"/>
        <w:rPr>
          <w:rFonts w:hint="eastAsia" w:ascii="仿宋" w:hAnsi="仿宋" w:eastAsia="仿宋" w:cs="仿宋"/>
          <w:color w:val="auto"/>
          <w:highlight w:val="none"/>
        </w:rPr>
      </w:pPr>
      <w:r>
        <w:rPr>
          <w:rFonts w:hint="eastAsia" w:ascii="仿宋" w:hAnsi="仿宋" w:eastAsia="仿宋" w:cs="仿宋"/>
          <w:color w:val="auto"/>
          <w:highlight w:val="none"/>
        </w:rPr>
        <w:t>日期：　　年　月　日</w:t>
      </w:r>
    </w:p>
    <w:p w14:paraId="2669D2E1">
      <w:pPr>
        <w:tabs>
          <w:tab w:val="left" w:pos="5670"/>
        </w:tabs>
        <w:spacing w:line="500" w:lineRule="exact"/>
        <w:ind w:firstLine="566" w:firstLineChars="200"/>
        <w:jc w:val="left"/>
        <w:rPr>
          <w:rFonts w:hint="eastAsia" w:ascii="仿宋" w:hAnsi="仿宋" w:eastAsia="仿宋" w:cs="仿宋"/>
          <w:color w:val="auto"/>
          <w:highlight w:val="none"/>
        </w:rPr>
      </w:pPr>
    </w:p>
    <w:p w14:paraId="4BDC14D4">
      <w:pPr>
        <w:spacing w:line="500" w:lineRule="exact"/>
        <w:ind w:firstLine="566" w:firstLineChars="200"/>
        <w:rPr>
          <w:rFonts w:hint="eastAsia" w:ascii="仿宋" w:hAnsi="仿宋" w:eastAsia="仿宋" w:cs="仿宋"/>
          <w:color w:val="auto"/>
          <w:highlight w:val="none"/>
        </w:rPr>
      </w:pPr>
    </w:p>
    <w:p w14:paraId="32734913">
      <w:pPr>
        <w:tabs>
          <w:tab w:val="left" w:pos="5670"/>
        </w:tabs>
        <w:spacing w:line="240" w:lineRule="auto"/>
        <w:ind w:firstLine="566"/>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备注：项目不分标段的，第___标段空白处填写“/”。</w:t>
      </w:r>
    </w:p>
    <w:p w14:paraId="17043D8F">
      <w:pPr>
        <w:pStyle w:val="8"/>
        <w:rPr>
          <w:rFonts w:hint="eastAsia" w:ascii="仿宋" w:hAnsi="仿宋" w:eastAsia="仿宋" w:cs="仿宋"/>
          <w:color w:val="auto"/>
          <w:sz w:val="21"/>
          <w:szCs w:val="21"/>
          <w:highlight w:val="none"/>
        </w:rPr>
      </w:pPr>
    </w:p>
    <w:p w14:paraId="22D2E920">
      <w:pPr>
        <w:pStyle w:val="5"/>
        <w:jc w:val="center"/>
        <w:rPr>
          <w:rFonts w:hint="eastAsia" w:ascii="仿宋" w:hAnsi="仿宋" w:eastAsia="仿宋" w:cs="仿宋"/>
          <w:b w:val="0"/>
          <w:bCs w:val="0"/>
          <w:color w:val="auto"/>
          <w:sz w:val="32"/>
          <w:szCs w:val="32"/>
          <w:highlight w:val="none"/>
        </w:rPr>
      </w:pPr>
      <w:r>
        <w:rPr>
          <w:rFonts w:hint="eastAsia" w:ascii="仿宋" w:hAnsi="仿宋" w:eastAsia="仿宋" w:cs="仿宋"/>
          <w:b w:val="0"/>
          <w:bCs w:val="0"/>
          <w:color w:val="auto"/>
          <w:sz w:val="32"/>
          <w:szCs w:val="32"/>
          <w:highlight w:val="none"/>
        </w:rPr>
        <w:br w:type="page"/>
      </w:r>
      <w:bookmarkStart w:id="303" w:name="_Toc4921"/>
      <w:bookmarkStart w:id="304" w:name="_Toc17297"/>
      <w:r>
        <w:rPr>
          <w:rFonts w:hint="eastAsia" w:ascii="黑体" w:hAnsi="黑体" w:eastAsia="黑体" w:cs="黑体"/>
          <w:b w:val="0"/>
          <w:bCs w:val="0"/>
          <w:color w:val="auto"/>
          <w:sz w:val="32"/>
          <w:szCs w:val="32"/>
          <w:highlight w:val="none"/>
        </w:rPr>
        <w:t>第二部分  符合性证明文件</w:t>
      </w:r>
      <w:bookmarkEnd w:id="303"/>
      <w:bookmarkEnd w:id="304"/>
    </w:p>
    <w:p w14:paraId="1ADD41AF">
      <w:pPr>
        <w:pStyle w:val="55"/>
        <w:ind w:firstLine="566" w:firstLineChars="200"/>
        <w:jc w:val="both"/>
        <w:outlineLvl w:val="2"/>
        <w:rPr>
          <w:rFonts w:ascii="仿宋" w:hAnsi="仿宋" w:eastAsia="仿宋" w:cs="仿宋"/>
          <w:color w:val="auto"/>
          <w:sz w:val="28"/>
          <w:szCs w:val="28"/>
          <w:highlight w:val="none"/>
        </w:rPr>
      </w:pPr>
      <w:bookmarkStart w:id="305" w:name="_Toc17340"/>
      <w:r>
        <w:rPr>
          <w:rFonts w:hint="eastAsia" w:ascii="仿宋" w:hAnsi="仿宋" w:eastAsia="仿宋" w:cs="仿宋"/>
          <w:color w:val="auto"/>
          <w:sz w:val="28"/>
          <w:szCs w:val="28"/>
          <w:highlight w:val="none"/>
        </w:rPr>
        <w:t>一、响应函格式</w:t>
      </w:r>
      <w:bookmarkEnd w:id="305"/>
    </w:p>
    <w:p w14:paraId="5F667582">
      <w:pPr>
        <w:pStyle w:val="58"/>
        <w:spacing w:line="500" w:lineRule="exact"/>
        <w:ind w:firstLine="0" w:firstLineChars="0"/>
        <w:jc w:val="center"/>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响应函</w:t>
      </w:r>
    </w:p>
    <w:p w14:paraId="19E08480">
      <w:pPr>
        <w:pStyle w:val="58"/>
        <w:spacing w:line="500" w:lineRule="exact"/>
        <w:ind w:firstLine="0" w:firstLineChars="0"/>
        <w:rPr>
          <w:rFonts w:ascii="仿宋" w:hAnsi="仿宋" w:eastAsia="仿宋" w:cs="仿宋"/>
          <w:color w:val="auto"/>
          <w:highlight w:val="none"/>
          <w:lang w:val="zh-CN"/>
        </w:rPr>
      </w:pPr>
      <w:r>
        <w:rPr>
          <w:rFonts w:hint="eastAsia" w:ascii="仿宋" w:hAnsi="仿宋" w:eastAsia="仿宋" w:cs="仿宋"/>
          <w:color w:val="auto"/>
          <w:highlight w:val="none"/>
        </w:rPr>
        <w:t>陕西省省级单位政府采购中心</w:t>
      </w:r>
      <w:r>
        <w:rPr>
          <w:rFonts w:hint="eastAsia" w:ascii="仿宋" w:hAnsi="仿宋" w:eastAsia="仿宋" w:cs="仿宋"/>
          <w:color w:val="auto"/>
          <w:highlight w:val="none"/>
          <w:lang w:val="zh-CN"/>
        </w:rPr>
        <w:t>：</w:t>
      </w:r>
    </w:p>
    <w:p w14:paraId="1FE68DE3">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我方收到贵中心发布的</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（项目编号：______）第____标段谈判文件，经详细研究，我方决定参加该项目第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标段谈判活动。为此，我方郑重声明以下诸点，并负法律责任。</w:t>
      </w:r>
    </w:p>
    <w:p w14:paraId="71917F56">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一、我方已详细阅读了谈判文件，完全理解并同意谈判文件的所有事项及内容。</w:t>
      </w:r>
    </w:p>
    <w:p w14:paraId="6FB47B4F">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二、我方已悉知并关注了贵方在政府采购信息发布媒体（详见谈判文件第二章第三条中的“谈判文件的修改、澄清”）上发布的关于本项目的有关更正公告（包括但不限于对谈判文件做出的修改或澄清、答疑纪要，以及项目暂停、重启、延期、终止等）。</w:t>
      </w:r>
    </w:p>
    <w:p w14:paraId="3A990003">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三、我方同意向贵方提供与本次谈判有关的任何证明材料，并保证所提交的证明材料真实、合法、有效，并尊重谈判小组的评审结果。</w:t>
      </w:r>
    </w:p>
    <w:p w14:paraId="4E733888">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四、我方愿意按照谈判文件中的一切要求，完成本项目合同责任和义务。</w:t>
      </w:r>
    </w:p>
    <w:p w14:paraId="74FAADA7">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五、我方提交</w:t>
      </w:r>
      <w:r>
        <w:rPr>
          <w:rFonts w:hint="eastAsia" w:ascii="仿宋" w:hAnsi="仿宋" w:eastAsia="仿宋" w:cs="仿宋"/>
          <w:b/>
          <w:color w:val="auto"/>
          <w:highlight w:val="none"/>
        </w:rPr>
        <w:t>电子响应文件</w:t>
      </w:r>
      <w:r>
        <w:rPr>
          <w:rFonts w:hint="eastAsia" w:ascii="仿宋" w:hAnsi="仿宋" w:eastAsia="仿宋" w:cs="仿宋"/>
          <w:b/>
          <w:color w:val="auto"/>
          <w:highlight w:val="none"/>
          <w:u w:val="single"/>
        </w:rPr>
        <w:t>1</w:t>
      </w:r>
      <w:r>
        <w:rPr>
          <w:rFonts w:hint="eastAsia" w:ascii="仿宋" w:hAnsi="仿宋" w:eastAsia="仿宋" w:cs="仿宋"/>
          <w:b/>
          <w:color w:val="auto"/>
          <w:highlight w:val="none"/>
        </w:rPr>
        <w:t>份</w:t>
      </w:r>
      <w:r>
        <w:rPr>
          <w:rFonts w:hint="eastAsia" w:ascii="仿宋" w:hAnsi="仿宋" w:eastAsia="仿宋" w:cs="仿宋"/>
          <w:b/>
          <w:bCs/>
          <w:color w:val="auto"/>
          <w:highlight w:val="none"/>
        </w:rPr>
        <w:t>。</w:t>
      </w:r>
    </w:p>
    <w:p w14:paraId="55E26BA8">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六、供应商在提交响应文件截止时间后撤回响应文件的，我们愿接受政府采购的有关处罚决定。</w:t>
      </w:r>
    </w:p>
    <w:p w14:paraId="1103054E">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七、我方的响应文件在谈判之日起</w:t>
      </w:r>
      <w:r>
        <w:rPr>
          <w:rFonts w:hint="eastAsia" w:ascii="仿宋" w:hAnsi="仿宋" w:eastAsia="仿宋" w:cs="仿宋"/>
          <w:color w:val="auto"/>
          <w:highlight w:val="none"/>
          <w:u w:val="single"/>
        </w:rPr>
        <w:t xml:space="preserve"> </w:t>
      </w:r>
      <w:r>
        <w:rPr>
          <w:rFonts w:hint="eastAsia" w:ascii="仿宋" w:hAnsi="仿宋" w:eastAsia="仿宋" w:cs="仿宋"/>
          <w:b/>
          <w:bCs/>
          <w:color w:val="auto"/>
          <w:highlight w:val="none"/>
          <w:u w:val="single"/>
        </w:rPr>
        <w:t>90</w:t>
      </w:r>
      <w:r>
        <w:rPr>
          <w:rFonts w:hint="eastAsia" w:ascii="仿宋" w:hAnsi="仿宋" w:eastAsia="仿宋" w:cs="仿宋"/>
          <w:color w:val="auto"/>
          <w:highlight w:val="none"/>
        </w:rPr>
        <w:t>个日历日内有效，如成交，延长至合同执行完毕时止。</w:t>
      </w:r>
    </w:p>
    <w:p w14:paraId="40394DD3">
      <w:pPr>
        <w:spacing w:line="500" w:lineRule="exact"/>
        <w:ind w:firstLine="566" w:firstLineChars="200"/>
        <w:rPr>
          <w:rFonts w:ascii="仿宋" w:hAnsi="仿宋" w:eastAsia="仿宋" w:cs="仿宋"/>
          <w:color w:val="auto"/>
          <w:highlight w:val="none"/>
        </w:rPr>
      </w:pPr>
      <w:r>
        <w:rPr>
          <w:rFonts w:hint="eastAsia" w:ascii="仿宋" w:hAnsi="仿宋" w:eastAsia="仿宋" w:cs="仿宋"/>
          <w:color w:val="auto"/>
          <w:highlight w:val="none"/>
        </w:rPr>
        <w:t>八、所有关于此次谈判活动的函电，请按下列地址联系：</w:t>
      </w:r>
    </w:p>
    <w:p w14:paraId="7C672A6F">
      <w:pPr>
        <w:pStyle w:val="58"/>
        <w:spacing w:line="500" w:lineRule="exact"/>
        <w:ind w:firstLine="567"/>
        <w:rPr>
          <w:rFonts w:ascii="仿宋" w:hAnsi="仿宋" w:eastAsia="仿宋" w:cs="仿宋"/>
          <w:color w:val="auto"/>
          <w:highlight w:val="none"/>
        </w:rPr>
      </w:pPr>
    </w:p>
    <w:p w14:paraId="6267A7C0">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供应商：名称（加盖公章）</w:t>
      </w:r>
    </w:p>
    <w:p w14:paraId="12DF74BA">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地址：</w:t>
      </w:r>
    </w:p>
    <w:p w14:paraId="5190B1E4">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开户银行：</w:t>
      </w:r>
    </w:p>
    <w:p w14:paraId="5E2E6F28">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账号：</w:t>
      </w:r>
    </w:p>
    <w:p w14:paraId="63B03979">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电话：</w:t>
      </w:r>
    </w:p>
    <w:p w14:paraId="68827EA9">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传真：</w:t>
      </w:r>
    </w:p>
    <w:p w14:paraId="536C1A49">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邮编：</w:t>
      </w:r>
    </w:p>
    <w:p w14:paraId="6B553D28">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电子邮箱：</w:t>
      </w:r>
    </w:p>
    <w:p w14:paraId="488BDCED">
      <w:pPr>
        <w:pStyle w:val="58"/>
        <w:spacing w:line="500" w:lineRule="exact"/>
        <w:ind w:firstLine="567"/>
        <w:rPr>
          <w:rFonts w:ascii="仿宋" w:hAnsi="仿宋" w:eastAsia="仿宋" w:cs="仿宋"/>
          <w:color w:val="auto"/>
          <w:highlight w:val="none"/>
        </w:rPr>
      </w:pPr>
      <w:r>
        <w:rPr>
          <w:rFonts w:hint="eastAsia" w:ascii="仿宋" w:hAnsi="仿宋" w:eastAsia="仿宋" w:cs="仿宋"/>
          <w:color w:val="auto"/>
          <w:highlight w:val="none"/>
        </w:rPr>
        <w:t>日期：　　年　月　日</w:t>
      </w:r>
    </w:p>
    <w:p w14:paraId="03C0242B">
      <w:pPr>
        <w:pStyle w:val="58"/>
        <w:ind w:firstLine="0" w:firstLineChars="0"/>
        <w:rPr>
          <w:rFonts w:hint="eastAsia" w:ascii="仿宋" w:hAnsi="仿宋" w:eastAsia="仿宋" w:cs="仿宋"/>
          <w:color w:val="auto"/>
          <w:sz w:val="36"/>
          <w:highlight w:val="none"/>
        </w:rPr>
      </w:pPr>
    </w:p>
    <w:p w14:paraId="4464685F">
      <w:pPr>
        <w:pStyle w:val="58"/>
        <w:ind w:firstLine="0" w:firstLineChars="0"/>
        <w:rPr>
          <w:rFonts w:hint="eastAsia" w:ascii="仿宋" w:hAnsi="仿宋" w:eastAsia="仿宋" w:cs="仿宋"/>
          <w:color w:val="auto"/>
          <w:sz w:val="36"/>
          <w:highlight w:val="none"/>
        </w:rPr>
      </w:pPr>
    </w:p>
    <w:p w14:paraId="0D401FFA">
      <w:pPr>
        <w:pStyle w:val="58"/>
        <w:ind w:firstLine="0" w:firstLineChars="0"/>
        <w:rPr>
          <w:rFonts w:hint="eastAsia" w:ascii="仿宋" w:hAnsi="仿宋" w:eastAsia="仿宋" w:cs="仿宋"/>
          <w:color w:val="auto"/>
          <w:sz w:val="36"/>
          <w:highlight w:val="none"/>
        </w:rPr>
      </w:pPr>
    </w:p>
    <w:p w14:paraId="2CE59606">
      <w:pPr>
        <w:pStyle w:val="58"/>
        <w:ind w:firstLine="0" w:firstLineChars="0"/>
        <w:rPr>
          <w:rFonts w:hint="eastAsia" w:ascii="仿宋" w:hAnsi="仿宋" w:eastAsia="仿宋" w:cs="仿宋"/>
          <w:color w:val="auto"/>
          <w:sz w:val="36"/>
          <w:highlight w:val="none"/>
        </w:rPr>
      </w:pPr>
    </w:p>
    <w:p w14:paraId="405504D5">
      <w:pPr>
        <w:pStyle w:val="58"/>
        <w:ind w:firstLine="0" w:firstLineChars="0"/>
        <w:rPr>
          <w:rFonts w:hint="eastAsia" w:ascii="宋体" w:hAnsi="宋体" w:cs="宋体"/>
          <w:color w:val="auto"/>
          <w:sz w:val="36"/>
          <w:highlight w:val="none"/>
        </w:rPr>
      </w:pPr>
    </w:p>
    <w:p w14:paraId="52D63D48">
      <w:pPr>
        <w:pStyle w:val="58"/>
        <w:ind w:firstLine="426"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备注：</w:t>
      </w:r>
    </w:p>
    <w:p w14:paraId="1EC19BD8">
      <w:pPr>
        <w:pStyle w:val="58"/>
        <w:ind w:firstLine="426"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1、项目不分标段的，第___标段空白处填写“/”。</w:t>
      </w:r>
    </w:p>
    <w:p w14:paraId="25FF7140">
      <w:pPr>
        <w:pStyle w:val="58"/>
        <w:ind w:firstLine="426" w:firstLineChars="20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2、除可填报项目外，对本响应函的任何实质性内容修改将被视为非实质性响应，在评审时将其视为无效响应。  </w:t>
      </w:r>
    </w:p>
    <w:p w14:paraId="69B2AB52">
      <w:pPr>
        <w:pStyle w:val="58"/>
        <w:ind w:firstLine="0" w:firstLineChars="0"/>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 </w:t>
      </w:r>
    </w:p>
    <w:p w14:paraId="74589A4D">
      <w:pPr>
        <w:pStyle w:val="58"/>
        <w:ind w:firstLine="0" w:firstLineChars="0"/>
        <w:rPr>
          <w:rFonts w:hint="eastAsia" w:ascii="宋体" w:hAnsi="宋体" w:eastAsia="宋体" w:cs="宋体"/>
          <w:color w:val="auto"/>
          <w:sz w:val="36"/>
          <w:highlight w:val="none"/>
        </w:rPr>
        <w:sectPr>
          <w:headerReference r:id="rId8" w:type="default"/>
          <w:footerReference r:id="rId9" w:type="default"/>
          <w:pgSz w:w="11906" w:h="16838"/>
          <w:pgMar w:top="1417" w:right="1417" w:bottom="1417" w:left="1417" w:header="907" w:footer="794" w:gutter="0"/>
          <w:pgNumType w:start="1"/>
          <w:cols w:space="720" w:num="1"/>
          <w:docGrid w:type="linesAndChars" w:linePitch="381" w:charSpace="704"/>
        </w:sectPr>
      </w:pPr>
    </w:p>
    <w:p w14:paraId="227BC0E5">
      <w:pPr>
        <w:pStyle w:val="55"/>
        <w:spacing w:line="500" w:lineRule="exact"/>
        <w:ind w:firstLine="570" w:firstLineChars="200"/>
        <w:jc w:val="both"/>
        <w:outlineLvl w:val="2"/>
        <w:rPr>
          <w:rFonts w:ascii="仿宋" w:hAnsi="仿宋" w:eastAsia="仿宋" w:cs="仿宋"/>
          <w:color w:val="auto"/>
          <w:sz w:val="28"/>
          <w:szCs w:val="28"/>
          <w:highlight w:val="none"/>
        </w:rPr>
      </w:pPr>
      <w:bookmarkStart w:id="306" w:name="_Toc11941"/>
      <w:r>
        <w:rPr>
          <w:rFonts w:hint="eastAsia" w:ascii="仿宋" w:hAnsi="仿宋" w:eastAsia="仿宋" w:cs="仿宋"/>
          <w:color w:val="auto"/>
          <w:sz w:val="28"/>
          <w:szCs w:val="28"/>
          <w:highlight w:val="none"/>
        </w:rPr>
        <w:t>二、第一次谈判报价表</w:t>
      </w:r>
      <w:bookmarkEnd w:id="306"/>
    </w:p>
    <w:p w14:paraId="1977C487">
      <w:pPr>
        <w:spacing w:line="500" w:lineRule="exact"/>
        <w:ind w:firstLine="570" w:firstLineChars="200"/>
        <w:jc w:val="left"/>
        <w:rPr>
          <w:rFonts w:hint="eastAsia" w:ascii="仿宋" w:hAnsi="仿宋" w:eastAsia="仿宋" w:cs="仿宋"/>
          <w:color w:val="auto"/>
          <w:kern w:val="0"/>
          <w:highlight w:val="none"/>
        </w:rPr>
      </w:pPr>
      <w:r>
        <w:rPr>
          <w:rFonts w:hint="eastAsia" w:ascii="仿宋" w:hAnsi="仿宋" w:eastAsia="仿宋" w:cs="仿宋"/>
          <w:color w:val="auto"/>
          <w:kern w:val="0"/>
          <w:highlight w:val="none"/>
        </w:rPr>
        <w:t>项目编号：</w:t>
      </w:r>
    </w:p>
    <w:p w14:paraId="093B81C3">
      <w:pPr>
        <w:spacing w:line="500" w:lineRule="exact"/>
        <w:ind w:firstLine="570" w:firstLineChars="200"/>
        <w:jc w:val="left"/>
        <w:rPr>
          <w:rFonts w:hint="eastAsia" w:ascii="仿宋" w:hAnsi="仿宋" w:eastAsia="仿宋" w:cs="仿宋"/>
          <w:color w:val="auto"/>
          <w:kern w:val="0"/>
          <w:highlight w:val="none"/>
        </w:rPr>
      </w:pPr>
      <w:r>
        <w:rPr>
          <w:rFonts w:hint="eastAsia" w:ascii="仿宋" w:hAnsi="仿宋" w:eastAsia="仿宋" w:cs="仿宋"/>
          <w:color w:val="auto"/>
          <w:kern w:val="0"/>
          <w:highlight w:val="none"/>
        </w:rPr>
        <w:t>项目名称：</w:t>
      </w:r>
    </w:p>
    <w:p w14:paraId="0A302880">
      <w:pPr>
        <w:spacing w:line="500" w:lineRule="exact"/>
        <w:ind w:firstLine="570" w:firstLineChars="200"/>
        <w:jc w:val="left"/>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标段编号：</w:t>
      </w:r>
    </w:p>
    <w:p w14:paraId="42EEB565">
      <w:pPr>
        <w:spacing w:line="500" w:lineRule="exact"/>
        <w:ind w:firstLine="570" w:firstLineChars="200"/>
        <w:jc w:val="left"/>
        <w:rPr>
          <w:rFonts w:hint="eastAsia" w:ascii="仿宋" w:hAnsi="仿宋" w:eastAsia="仿宋" w:cs="仿宋"/>
          <w:color w:val="auto"/>
          <w:kern w:val="0"/>
          <w:highlight w:val="none"/>
          <w:lang w:val="en-US" w:eastAsia="zh-CN"/>
        </w:rPr>
      </w:pPr>
      <w:r>
        <w:rPr>
          <w:rFonts w:hint="eastAsia" w:ascii="仿宋" w:hAnsi="仿宋" w:eastAsia="仿宋" w:cs="仿宋"/>
          <w:color w:val="auto"/>
          <w:kern w:val="0"/>
          <w:highlight w:val="none"/>
          <w:lang w:val="en-US" w:eastAsia="zh-CN"/>
        </w:rPr>
        <w:t>标段名称：</w:t>
      </w:r>
    </w:p>
    <w:p w14:paraId="1B599992">
      <w:pPr>
        <w:spacing w:line="500" w:lineRule="exact"/>
        <w:jc w:val="left"/>
        <w:rPr>
          <w:rFonts w:hint="eastAsia" w:ascii="仿宋" w:hAnsi="仿宋" w:eastAsia="仿宋" w:cs="仿宋"/>
          <w:color w:val="auto"/>
          <w:kern w:val="0"/>
          <w:highlight w:val="none"/>
        </w:rPr>
      </w:pPr>
    </w:p>
    <w:tbl>
      <w:tblPr>
        <w:tblStyle w:val="28"/>
        <w:tblW w:w="83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2586"/>
        <w:gridCol w:w="5752"/>
      </w:tblGrid>
      <w:tr w14:paraId="5118E9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59" w:hRule="atLeast"/>
          <w:jc w:val="center"/>
        </w:trPr>
        <w:tc>
          <w:tcPr>
            <w:tcW w:w="2586" w:type="dxa"/>
            <w:vAlign w:val="center"/>
          </w:tcPr>
          <w:p w14:paraId="6C323F83">
            <w:pPr>
              <w:autoSpaceDE w:val="0"/>
              <w:autoSpaceDN w:val="0"/>
              <w:spacing w:after="190"/>
              <w:ind w:firstLine="855" w:firstLineChars="300"/>
              <w:jc w:val="left"/>
              <w:rPr>
                <w:rFonts w:hint="eastAsia" w:ascii="仿宋" w:hAnsi="仿宋" w:eastAsia="仿宋" w:cs="仿宋"/>
                <w:color w:val="auto"/>
                <w:kern w:val="0"/>
                <w:sz w:val="21"/>
                <w:szCs w:val="21"/>
                <w:highlight w:val="none"/>
                <w:lang w:eastAsia="zh-CN"/>
              </w:rPr>
            </w:pPr>
            <w:r>
              <w:rPr>
                <w:rFonts w:hint="eastAsia" w:ascii="仿宋" w:hAnsi="仿宋" w:eastAsia="仿宋" w:cs="仿宋"/>
                <w:color w:val="auto"/>
                <w:kern w:val="0"/>
                <w:sz w:val="28"/>
                <w:szCs w:val="21"/>
                <w:highlight w:val="none"/>
                <w:lang w:eastAsia="zh-CN"/>
              </w:rPr>
              <w:t>标题</w:t>
            </w:r>
          </w:p>
        </w:tc>
        <w:tc>
          <w:tcPr>
            <w:tcW w:w="5752" w:type="dxa"/>
            <w:vAlign w:val="center"/>
          </w:tcPr>
          <w:p w14:paraId="23A11C94">
            <w:pPr>
              <w:autoSpaceDE w:val="0"/>
              <w:autoSpaceDN w:val="0"/>
              <w:spacing w:line="360" w:lineRule="auto"/>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内容</w:t>
            </w:r>
          </w:p>
        </w:tc>
      </w:tr>
      <w:tr w14:paraId="1911C8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594" w:hRule="atLeast"/>
          <w:jc w:val="center"/>
        </w:trPr>
        <w:tc>
          <w:tcPr>
            <w:tcW w:w="2586" w:type="dxa"/>
            <w:vAlign w:val="center"/>
          </w:tcPr>
          <w:p w14:paraId="1ED1D032">
            <w:pPr>
              <w:pStyle w:val="8"/>
              <w:ind w:firstLine="0"/>
              <w:jc w:val="center"/>
              <w:rPr>
                <w:rFonts w:hint="eastAsia" w:ascii="仿宋" w:hAnsi="仿宋" w:eastAsia="仿宋" w:cs="仿宋"/>
                <w:color w:val="auto"/>
                <w:kern w:val="0"/>
                <w:szCs w:val="21"/>
                <w:highlight w:val="none"/>
              </w:rPr>
            </w:pPr>
            <w:r>
              <w:rPr>
                <w:rFonts w:hint="eastAsia" w:ascii="仿宋" w:hAnsi="仿宋" w:eastAsia="仿宋" w:cs="仿宋"/>
                <w:color w:val="auto"/>
                <w:kern w:val="0"/>
                <w:szCs w:val="21"/>
                <w:highlight w:val="none"/>
              </w:rPr>
              <w:t>谈判报价</w:t>
            </w:r>
          </w:p>
        </w:tc>
        <w:tc>
          <w:tcPr>
            <w:tcW w:w="5752" w:type="dxa"/>
            <w:vAlign w:val="center"/>
          </w:tcPr>
          <w:p w14:paraId="4DAD6AE3">
            <w:pPr>
              <w:autoSpaceDE w:val="0"/>
              <w:autoSpaceDN w:val="0"/>
              <w:rPr>
                <w:rFonts w:ascii="仿宋" w:hAnsi="仿宋" w:eastAsia="仿宋" w:cs="仿宋"/>
                <w:color w:val="auto"/>
                <w:kern w:val="0"/>
                <w:highlight w:val="none"/>
                <w:lang w:val="zh-CN"/>
              </w:rPr>
            </w:pPr>
            <w:r>
              <w:rPr>
                <w:rFonts w:hint="eastAsia" w:ascii="仿宋" w:hAnsi="仿宋" w:eastAsia="仿宋" w:cs="仿宋"/>
                <w:color w:val="auto"/>
                <w:kern w:val="0"/>
                <w:highlight w:val="none"/>
                <w:lang w:val="zh-CN"/>
              </w:rPr>
              <w:t>小写：</w:t>
            </w:r>
          </w:p>
          <w:p w14:paraId="5DB1A084">
            <w:pPr>
              <w:pStyle w:val="23"/>
              <w:rPr>
                <w:rFonts w:ascii="仿宋" w:hAnsi="仿宋" w:eastAsia="仿宋" w:cs="仿宋"/>
                <w:color w:val="auto"/>
                <w:highlight w:val="none"/>
                <w:lang w:val="zh-CN"/>
              </w:rPr>
            </w:pPr>
          </w:p>
          <w:p w14:paraId="268A060C">
            <w:pPr>
              <w:autoSpaceDE w:val="0"/>
              <w:autoSpaceDN w:val="0"/>
              <w:rPr>
                <w:rFonts w:ascii="仿宋" w:hAnsi="仿宋" w:eastAsia="仿宋" w:cs="仿宋"/>
                <w:color w:val="auto"/>
                <w:kern w:val="0"/>
                <w:highlight w:val="none"/>
                <w:lang w:val="zh-CN"/>
              </w:rPr>
            </w:pPr>
            <w:r>
              <w:rPr>
                <w:rFonts w:hint="eastAsia" w:ascii="仿宋" w:hAnsi="仿宋" w:eastAsia="仿宋" w:cs="仿宋"/>
                <w:color w:val="auto"/>
                <w:kern w:val="0"/>
                <w:highlight w:val="none"/>
                <w:lang w:val="zh-CN"/>
              </w:rPr>
              <w:t>大写：</w:t>
            </w:r>
          </w:p>
          <w:p w14:paraId="60E1654B">
            <w:pPr>
              <w:autoSpaceDE w:val="0"/>
              <w:autoSpaceDN w:val="0"/>
              <w:spacing w:line="360" w:lineRule="auto"/>
              <w:ind w:firstLine="980" w:firstLineChars="400"/>
              <w:rPr>
                <w:rFonts w:hint="eastAsia" w:ascii="仿宋" w:hAnsi="仿宋" w:eastAsia="仿宋" w:cs="仿宋"/>
                <w:color w:val="auto"/>
                <w:highlight w:val="none"/>
              </w:rPr>
            </w:pPr>
            <w:r>
              <w:rPr>
                <w:rFonts w:hint="eastAsia" w:ascii="仿宋" w:hAnsi="仿宋" w:eastAsia="仿宋" w:cs="仿宋"/>
                <w:color w:val="auto"/>
                <w:kern w:val="0"/>
                <w:sz w:val="24"/>
                <w:szCs w:val="24"/>
                <w:highlight w:val="none"/>
              </w:rPr>
              <w:t>单位：元（报价最多保留至小数点后两位）</w:t>
            </w:r>
          </w:p>
        </w:tc>
      </w:tr>
    </w:tbl>
    <w:p w14:paraId="65148401">
      <w:pPr>
        <w:autoSpaceDE w:val="0"/>
        <w:autoSpaceDN w:val="0"/>
        <w:spacing w:before="190" w:beforeLines="50" w:line="240" w:lineRule="auto"/>
        <w:ind w:firstLine="482"/>
        <w:rPr>
          <w:rFonts w:hint="eastAsia" w:ascii="宋体" w:hAnsi="宋体" w:eastAsia="宋体" w:cs="宋体"/>
          <w:color w:val="auto"/>
          <w:highlight w:val="none"/>
        </w:rPr>
      </w:pPr>
      <w:r>
        <w:rPr>
          <w:rFonts w:hint="eastAsia" w:ascii="宋体" w:hAnsi="宋体" w:eastAsia="宋体" w:cs="宋体"/>
          <w:color w:val="auto"/>
          <w:kern w:val="0"/>
          <w:sz w:val="21"/>
          <w:szCs w:val="21"/>
          <w:highlight w:val="none"/>
        </w:rPr>
        <w:t>备注</w:t>
      </w:r>
      <w:r>
        <w:rPr>
          <w:rFonts w:hint="eastAsia" w:ascii="宋体" w:hAnsi="宋体" w:eastAsia="宋体" w:cs="宋体"/>
          <w:color w:val="auto"/>
          <w:kern w:val="0"/>
          <w:sz w:val="21"/>
          <w:szCs w:val="21"/>
          <w:highlight w:val="none"/>
          <w:lang w:val="zh-CN"/>
        </w:rPr>
        <w:t>：“谈判报价”为谈判总价。谈判报价必须包括完成本项目的全部费用。</w:t>
      </w:r>
    </w:p>
    <w:p w14:paraId="6C5AAE14">
      <w:pPr>
        <w:autoSpaceDE w:val="0"/>
        <w:autoSpaceDN w:val="0"/>
        <w:spacing w:line="240" w:lineRule="auto"/>
        <w:ind w:firstLine="1075" w:firstLineChars="500"/>
        <w:rPr>
          <w:rFonts w:hint="eastAsia" w:ascii="仿宋" w:hAnsi="仿宋" w:eastAsia="仿宋" w:cs="仿宋"/>
          <w:color w:val="auto"/>
          <w:sz w:val="21"/>
          <w:szCs w:val="21"/>
          <w:highlight w:val="none"/>
        </w:rPr>
      </w:pPr>
    </w:p>
    <w:p w14:paraId="344AFF10">
      <w:pPr>
        <w:spacing w:line="440" w:lineRule="exact"/>
        <w:ind w:right="560"/>
        <w:jc w:val="right"/>
        <w:rPr>
          <w:rFonts w:hint="eastAsia" w:ascii="仿宋" w:hAnsi="仿宋" w:eastAsia="仿宋" w:cs="仿宋"/>
          <w:color w:val="auto"/>
          <w:sz w:val="24"/>
          <w:szCs w:val="24"/>
          <w:highlight w:val="none"/>
        </w:rPr>
      </w:pPr>
    </w:p>
    <w:p w14:paraId="06B8454F">
      <w:pPr>
        <w:adjustRightInd w:val="0"/>
        <w:snapToGrid w:val="0"/>
        <w:spacing w:line="500" w:lineRule="exact"/>
        <w:rPr>
          <w:rFonts w:hint="eastAsia" w:ascii="仿宋" w:hAnsi="仿宋" w:eastAsia="仿宋" w:cs="仿宋"/>
          <w:color w:val="auto"/>
          <w:highlight w:val="none"/>
        </w:rPr>
      </w:pPr>
    </w:p>
    <w:p w14:paraId="6D6A7F87">
      <w:pPr>
        <w:spacing w:line="500" w:lineRule="exact"/>
        <w:ind w:firstLine="570" w:firstLineChars="20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6497FB8C">
      <w:pPr>
        <w:spacing w:line="500" w:lineRule="exact"/>
        <w:ind w:firstLine="570" w:firstLineChars="20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日  期：　　年　月　日</w:t>
      </w:r>
    </w:p>
    <w:p w14:paraId="2C7B7961">
      <w:pPr>
        <w:spacing w:line="500" w:lineRule="exact"/>
        <w:ind w:firstLine="570" w:firstLineChars="200"/>
        <w:rPr>
          <w:rFonts w:hint="eastAsia" w:ascii="仿宋" w:hAnsi="仿宋" w:eastAsia="仿宋" w:cs="仿宋"/>
          <w:b/>
          <w:color w:val="auto"/>
          <w:highlight w:val="none"/>
        </w:rPr>
      </w:pPr>
    </w:p>
    <w:p w14:paraId="4D73CD39">
      <w:pPr>
        <w:spacing w:line="500" w:lineRule="exact"/>
        <w:ind w:firstLine="557" w:firstLineChars="196"/>
        <w:rPr>
          <w:rFonts w:hint="eastAsia" w:ascii="仿宋" w:hAnsi="仿宋" w:eastAsia="仿宋" w:cs="仿宋"/>
          <w:color w:val="auto"/>
          <w:highlight w:val="none"/>
        </w:rPr>
      </w:pPr>
    </w:p>
    <w:p w14:paraId="6C934927">
      <w:pPr>
        <w:adjustRightInd w:val="0"/>
        <w:snapToGrid w:val="0"/>
        <w:spacing w:line="500" w:lineRule="exact"/>
        <w:rPr>
          <w:rFonts w:hint="eastAsia" w:ascii="仿宋" w:hAnsi="仿宋" w:eastAsia="仿宋" w:cs="仿宋"/>
          <w:b/>
          <w:color w:val="auto"/>
          <w:highlight w:val="none"/>
        </w:rPr>
      </w:pPr>
    </w:p>
    <w:p w14:paraId="1C8F0201">
      <w:pPr>
        <w:spacing w:before="190" w:beforeLines="50" w:after="190" w:afterLines="50" w:line="500" w:lineRule="exact"/>
        <w:jc w:val="center"/>
        <w:rPr>
          <w:rFonts w:hint="eastAsia" w:ascii="仿宋" w:hAnsi="仿宋" w:eastAsia="仿宋" w:cs="仿宋"/>
          <w:b/>
          <w:color w:val="auto"/>
          <w:highlight w:val="none"/>
        </w:rPr>
      </w:pPr>
      <w:r>
        <w:rPr>
          <w:rFonts w:hint="eastAsia" w:ascii="仿宋" w:hAnsi="仿宋" w:eastAsia="仿宋" w:cs="仿宋"/>
          <w:b/>
          <w:bCs/>
          <w:color w:val="auto"/>
          <w:sz w:val="30"/>
          <w:szCs w:val="30"/>
          <w:highlight w:val="none"/>
        </w:rPr>
        <w:br w:type="page"/>
      </w:r>
      <w:r>
        <w:rPr>
          <w:rFonts w:hint="eastAsia" w:ascii="仿宋" w:hAnsi="仿宋" w:eastAsia="仿宋" w:cs="仿宋"/>
          <w:b/>
          <w:color w:val="auto"/>
          <w:highlight w:val="none"/>
        </w:rPr>
        <w:t>分项报价表</w:t>
      </w:r>
      <w:r>
        <w:rPr>
          <w:rFonts w:hint="eastAsia" w:ascii="仿宋" w:hAnsi="仿宋" w:eastAsia="仿宋" w:cs="仿宋"/>
          <w:b/>
          <w:color w:val="auto"/>
          <w:highlight w:val="none"/>
          <w:lang w:eastAsia="zh-CN"/>
        </w:rPr>
        <w:t>（</w:t>
      </w:r>
      <w:r>
        <w:rPr>
          <w:rFonts w:hint="eastAsia" w:ascii="仿宋" w:hAnsi="仿宋" w:eastAsia="仿宋" w:cs="仿宋"/>
          <w:b/>
          <w:color w:val="auto"/>
          <w:highlight w:val="none"/>
          <w:lang w:val="en-US" w:eastAsia="zh-CN"/>
        </w:rPr>
        <w:t>第</w:t>
      </w:r>
      <w:r>
        <w:rPr>
          <w:rFonts w:hint="eastAsia" w:ascii="仿宋" w:hAnsi="仿宋" w:eastAsia="仿宋" w:cs="仿宋"/>
          <w:b/>
          <w:color w:val="auto"/>
          <w:highlight w:val="none"/>
          <w:u w:val="single"/>
          <w:lang w:val="en-US" w:eastAsia="zh-CN"/>
        </w:rPr>
        <w:t xml:space="preserve">  </w:t>
      </w:r>
      <w:r>
        <w:rPr>
          <w:rFonts w:hint="eastAsia" w:ascii="仿宋" w:hAnsi="仿宋" w:eastAsia="仿宋" w:cs="仿宋"/>
          <w:b/>
          <w:color w:val="auto"/>
          <w:highlight w:val="none"/>
          <w:lang w:val="en-US" w:eastAsia="zh-CN"/>
        </w:rPr>
        <w:t>标段</w:t>
      </w:r>
      <w:r>
        <w:rPr>
          <w:rFonts w:hint="eastAsia" w:ascii="仿宋" w:hAnsi="仿宋" w:eastAsia="仿宋" w:cs="仿宋"/>
          <w:b/>
          <w:color w:val="auto"/>
          <w:highlight w:val="none"/>
          <w:lang w:eastAsia="zh-CN"/>
        </w:rPr>
        <w:t>）</w:t>
      </w:r>
    </w:p>
    <w:tbl>
      <w:tblPr>
        <w:tblStyle w:val="28"/>
        <w:tblW w:w="8724" w:type="dxa"/>
        <w:jc w:val="center"/>
        <w:tblLayout w:type="fixed"/>
        <w:tblCellMar>
          <w:top w:w="0" w:type="dxa"/>
          <w:left w:w="28" w:type="dxa"/>
          <w:bottom w:w="0" w:type="dxa"/>
          <w:right w:w="28" w:type="dxa"/>
        </w:tblCellMar>
      </w:tblPr>
      <w:tblGrid>
        <w:gridCol w:w="635"/>
        <w:gridCol w:w="1313"/>
        <w:gridCol w:w="1152"/>
        <w:gridCol w:w="1452"/>
        <w:gridCol w:w="1452"/>
        <w:gridCol w:w="803"/>
        <w:gridCol w:w="911"/>
        <w:gridCol w:w="1006"/>
      </w:tblGrid>
      <w:tr w14:paraId="51784673">
        <w:tblPrEx>
          <w:tblCellMar>
            <w:top w:w="0" w:type="dxa"/>
            <w:left w:w="28" w:type="dxa"/>
            <w:bottom w:w="0" w:type="dxa"/>
            <w:right w:w="28" w:type="dxa"/>
          </w:tblCellMar>
        </w:tblPrEx>
        <w:trPr>
          <w:trHeight w:val="683" w:hRule="atLeast"/>
          <w:jc w:val="center"/>
        </w:trPr>
        <w:tc>
          <w:tcPr>
            <w:tcW w:w="635" w:type="dxa"/>
            <w:tcBorders>
              <w:top w:val="single" w:color="000000" w:sz="8" w:space="0"/>
              <w:left w:val="single" w:color="000000" w:sz="8" w:space="0"/>
              <w:bottom w:val="single" w:color="000000" w:sz="6" w:space="0"/>
              <w:right w:val="single" w:color="000000" w:sz="6" w:space="0"/>
            </w:tcBorders>
            <w:vAlign w:val="center"/>
          </w:tcPr>
          <w:p w14:paraId="2C2D3BCA">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序号</w:t>
            </w:r>
          </w:p>
        </w:tc>
        <w:tc>
          <w:tcPr>
            <w:tcW w:w="1313" w:type="dxa"/>
            <w:tcBorders>
              <w:top w:val="single" w:color="000000" w:sz="8" w:space="0"/>
              <w:left w:val="single" w:color="000000" w:sz="6" w:space="0"/>
              <w:bottom w:val="single" w:color="000000" w:sz="6" w:space="0"/>
              <w:right w:val="single" w:color="000000" w:sz="6" w:space="0"/>
            </w:tcBorders>
            <w:vAlign w:val="center"/>
          </w:tcPr>
          <w:p w14:paraId="5961F471">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产品</w:t>
            </w:r>
          </w:p>
          <w:p w14:paraId="6FC13883">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名称</w:t>
            </w:r>
          </w:p>
        </w:tc>
        <w:tc>
          <w:tcPr>
            <w:tcW w:w="1152" w:type="dxa"/>
            <w:tcBorders>
              <w:top w:val="single" w:color="000000" w:sz="8" w:space="0"/>
              <w:left w:val="single" w:color="000000" w:sz="6" w:space="0"/>
              <w:bottom w:val="single" w:color="000000" w:sz="6" w:space="0"/>
              <w:right w:val="single" w:color="000000" w:sz="6" w:space="0"/>
            </w:tcBorders>
            <w:vAlign w:val="center"/>
          </w:tcPr>
          <w:p w14:paraId="0287C0E4">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品牌</w:t>
            </w:r>
          </w:p>
        </w:tc>
        <w:tc>
          <w:tcPr>
            <w:tcW w:w="1452" w:type="dxa"/>
            <w:tcBorders>
              <w:top w:val="single" w:color="000000" w:sz="8" w:space="0"/>
              <w:left w:val="single" w:color="000000" w:sz="6" w:space="0"/>
              <w:bottom w:val="single" w:color="000000" w:sz="6" w:space="0"/>
              <w:right w:val="single" w:color="000000" w:sz="6" w:space="0"/>
            </w:tcBorders>
            <w:vAlign w:val="center"/>
          </w:tcPr>
          <w:p w14:paraId="24CF43F3">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规格型号</w:t>
            </w:r>
          </w:p>
        </w:tc>
        <w:tc>
          <w:tcPr>
            <w:tcW w:w="1452" w:type="dxa"/>
            <w:tcBorders>
              <w:top w:val="single" w:color="000000" w:sz="8" w:space="0"/>
              <w:left w:val="single" w:color="000000" w:sz="6" w:space="0"/>
              <w:bottom w:val="single" w:color="000000" w:sz="6" w:space="0"/>
              <w:right w:val="single" w:color="000000" w:sz="6" w:space="0"/>
            </w:tcBorders>
            <w:vAlign w:val="center"/>
          </w:tcPr>
          <w:p w14:paraId="66143651">
            <w:pPr>
              <w:autoSpaceDE w:val="0"/>
              <w:autoSpaceDN w:val="0"/>
              <w:spacing w:line="300" w:lineRule="exact"/>
              <w:jc w:val="center"/>
              <w:rPr>
                <w:rFonts w:ascii="仿宋" w:hAnsi="仿宋" w:eastAsia="仿宋" w:cs="仿宋"/>
                <w:b/>
                <w:bCs/>
                <w:color w:val="auto"/>
                <w:kern w:val="0"/>
                <w:sz w:val="24"/>
                <w:szCs w:val="24"/>
                <w:highlight w:val="none"/>
              </w:rPr>
            </w:pPr>
            <w:r>
              <w:rPr>
                <w:rFonts w:hint="eastAsia" w:ascii="仿宋" w:hAnsi="仿宋" w:eastAsia="仿宋" w:cs="仿宋"/>
                <w:b/>
                <w:bCs/>
                <w:color w:val="auto"/>
                <w:kern w:val="0"/>
                <w:sz w:val="24"/>
                <w:szCs w:val="24"/>
                <w:highlight w:val="none"/>
              </w:rPr>
              <w:t>制造商</w:t>
            </w:r>
          </w:p>
        </w:tc>
        <w:tc>
          <w:tcPr>
            <w:tcW w:w="803" w:type="dxa"/>
            <w:tcBorders>
              <w:top w:val="single" w:color="000000" w:sz="8" w:space="0"/>
              <w:left w:val="single" w:color="000000" w:sz="6" w:space="0"/>
              <w:bottom w:val="single" w:color="000000" w:sz="6" w:space="0"/>
              <w:right w:val="single" w:color="000000" w:sz="6" w:space="0"/>
            </w:tcBorders>
            <w:vAlign w:val="center"/>
          </w:tcPr>
          <w:p w14:paraId="2166A0EE">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数量</w:t>
            </w:r>
          </w:p>
        </w:tc>
        <w:tc>
          <w:tcPr>
            <w:tcW w:w="911" w:type="dxa"/>
            <w:tcBorders>
              <w:top w:val="single" w:color="000000" w:sz="8" w:space="0"/>
              <w:left w:val="single" w:color="000000" w:sz="6" w:space="0"/>
              <w:bottom w:val="single" w:color="000000" w:sz="6" w:space="0"/>
              <w:right w:val="single" w:color="000000" w:sz="6" w:space="0"/>
            </w:tcBorders>
            <w:vAlign w:val="center"/>
          </w:tcPr>
          <w:p w14:paraId="0D6F66F8">
            <w:pPr>
              <w:autoSpaceDE w:val="0"/>
              <w:autoSpaceDN w:val="0"/>
              <w:spacing w:line="300" w:lineRule="exact"/>
              <w:jc w:val="center"/>
              <w:rPr>
                <w:rFonts w:ascii="仿宋" w:hAnsi="仿宋" w:eastAsia="仿宋" w:cs="仿宋"/>
                <w:b/>
                <w:bCs/>
                <w:color w:val="auto"/>
                <w:kern w:val="0"/>
                <w:sz w:val="24"/>
                <w:szCs w:val="24"/>
                <w:highlight w:val="none"/>
                <w:lang w:val="zh-CN"/>
              </w:rPr>
            </w:pPr>
            <w:r>
              <w:rPr>
                <w:rFonts w:hint="eastAsia" w:ascii="仿宋" w:hAnsi="仿宋" w:eastAsia="仿宋" w:cs="仿宋"/>
                <w:b/>
                <w:bCs/>
                <w:color w:val="auto"/>
                <w:kern w:val="0"/>
                <w:sz w:val="24"/>
                <w:szCs w:val="24"/>
                <w:highlight w:val="none"/>
                <w:lang w:val="zh-CN"/>
              </w:rPr>
              <w:t>单价</w:t>
            </w:r>
          </w:p>
        </w:tc>
        <w:tc>
          <w:tcPr>
            <w:tcW w:w="1006" w:type="dxa"/>
            <w:tcBorders>
              <w:top w:val="single" w:color="000000" w:sz="8" w:space="0"/>
              <w:left w:val="single" w:color="000000" w:sz="6" w:space="0"/>
              <w:bottom w:val="single" w:color="000000" w:sz="6" w:space="0"/>
              <w:right w:val="single" w:color="000000" w:sz="8" w:space="0"/>
            </w:tcBorders>
            <w:vAlign w:val="center"/>
          </w:tcPr>
          <w:p w14:paraId="288C020F">
            <w:pPr>
              <w:autoSpaceDE w:val="0"/>
              <w:autoSpaceDN w:val="0"/>
              <w:spacing w:line="300" w:lineRule="exact"/>
              <w:jc w:val="center"/>
              <w:rPr>
                <w:rFonts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rPr>
              <w:t>金额</w:t>
            </w:r>
          </w:p>
        </w:tc>
      </w:tr>
      <w:tr w14:paraId="53DB78BA">
        <w:tblPrEx>
          <w:tblCellMar>
            <w:top w:w="0" w:type="dxa"/>
            <w:left w:w="28" w:type="dxa"/>
            <w:bottom w:w="0" w:type="dxa"/>
            <w:right w:w="28" w:type="dxa"/>
          </w:tblCellMar>
        </w:tblPrEx>
        <w:trPr>
          <w:trHeight w:val="375" w:hRule="atLeast"/>
          <w:jc w:val="center"/>
        </w:trPr>
        <w:tc>
          <w:tcPr>
            <w:tcW w:w="635" w:type="dxa"/>
            <w:tcBorders>
              <w:top w:val="single" w:color="000000" w:sz="6" w:space="0"/>
              <w:left w:val="single" w:color="000000" w:sz="8" w:space="0"/>
              <w:bottom w:val="single" w:color="000000" w:sz="6" w:space="0"/>
              <w:right w:val="single" w:color="000000" w:sz="6" w:space="0"/>
            </w:tcBorders>
            <w:vAlign w:val="center"/>
          </w:tcPr>
          <w:p w14:paraId="72F8C2C0">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1</w:t>
            </w:r>
          </w:p>
        </w:tc>
        <w:tc>
          <w:tcPr>
            <w:tcW w:w="131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2727488E">
            <w:pPr>
              <w:jc w:val="center"/>
              <w:rPr>
                <w:rFonts w:hint="eastAsia" w:ascii="仿宋" w:hAnsi="仿宋" w:eastAsia="仿宋" w:cs="仿宋"/>
                <w:b w:val="0"/>
                <w:bCs w:val="0"/>
                <w:color w:val="auto"/>
                <w:kern w:val="0"/>
                <w:sz w:val="24"/>
                <w:szCs w:val="24"/>
                <w:highlight w:val="none"/>
                <w:vertAlign w:val="baseline"/>
                <w:lang w:val="zh-CN" w:eastAsia="zh-CN" w:bidi="ar-SA"/>
              </w:rPr>
            </w:pPr>
          </w:p>
        </w:tc>
        <w:tc>
          <w:tcPr>
            <w:tcW w:w="1152" w:type="dxa"/>
            <w:tcBorders>
              <w:top w:val="single" w:color="000000" w:sz="6" w:space="0"/>
              <w:left w:val="single" w:color="000000" w:sz="6" w:space="0"/>
              <w:bottom w:val="single" w:color="000000" w:sz="6" w:space="0"/>
              <w:right w:val="single" w:color="000000" w:sz="6" w:space="0"/>
            </w:tcBorders>
            <w:vAlign w:val="center"/>
          </w:tcPr>
          <w:p w14:paraId="49F0B332">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3A1FEAC2">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397672ED">
            <w:pPr>
              <w:autoSpaceDE w:val="0"/>
              <w:autoSpaceDN w:val="0"/>
              <w:spacing w:line="240" w:lineRule="auto"/>
              <w:jc w:val="center"/>
              <w:rPr>
                <w:rFonts w:ascii="仿宋" w:hAnsi="仿宋" w:eastAsia="仿宋" w:cs="仿宋"/>
                <w:color w:val="auto"/>
                <w:kern w:val="0"/>
                <w:sz w:val="24"/>
                <w:szCs w:val="24"/>
                <w:highlight w:val="none"/>
                <w:lang w:val="zh-CN"/>
              </w:rPr>
            </w:pPr>
          </w:p>
        </w:tc>
        <w:tc>
          <w:tcPr>
            <w:tcW w:w="803" w:type="dxa"/>
            <w:tcBorders>
              <w:top w:val="single" w:color="000000" w:sz="6" w:space="0"/>
              <w:left w:val="single" w:color="000000" w:sz="6" w:space="0"/>
              <w:bottom w:val="single" w:color="000000" w:sz="6" w:space="0"/>
              <w:right w:val="single" w:color="000000" w:sz="6" w:space="0"/>
            </w:tcBorders>
            <w:vAlign w:val="center"/>
          </w:tcPr>
          <w:p w14:paraId="71EEC9C8">
            <w:pPr>
              <w:autoSpaceDE w:val="0"/>
              <w:autoSpaceDN w:val="0"/>
              <w:spacing w:line="240" w:lineRule="auto"/>
              <w:jc w:val="center"/>
              <w:rPr>
                <w:rFonts w:ascii="仿宋" w:hAnsi="仿宋" w:eastAsia="仿宋" w:cs="仿宋"/>
                <w:color w:val="auto"/>
                <w:kern w:val="0"/>
                <w:sz w:val="24"/>
                <w:szCs w:val="24"/>
                <w:highlight w:val="none"/>
                <w:lang w:val="zh-CN"/>
              </w:rPr>
            </w:pPr>
          </w:p>
        </w:tc>
        <w:tc>
          <w:tcPr>
            <w:tcW w:w="911" w:type="dxa"/>
            <w:tcBorders>
              <w:top w:val="single" w:color="000000" w:sz="6" w:space="0"/>
              <w:left w:val="single" w:color="000000" w:sz="6" w:space="0"/>
              <w:bottom w:val="single" w:color="000000" w:sz="6" w:space="0"/>
              <w:right w:val="single" w:color="000000" w:sz="6" w:space="0"/>
            </w:tcBorders>
            <w:vAlign w:val="center"/>
          </w:tcPr>
          <w:p w14:paraId="1DAFFBF7">
            <w:pPr>
              <w:autoSpaceDE w:val="0"/>
              <w:autoSpaceDN w:val="0"/>
              <w:spacing w:line="240" w:lineRule="auto"/>
              <w:jc w:val="center"/>
              <w:rPr>
                <w:rFonts w:ascii="仿宋" w:hAnsi="仿宋" w:eastAsia="仿宋" w:cs="仿宋"/>
                <w:color w:val="auto"/>
                <w:kern w:val="0"/>
                <w:sz w:val="24"/>
                <w:szCs w:val="24"/>
                <w:highlight w:val="none"/>
                <w:lang w:val="zh-CN"/>
              </w:rPr>
            </w:pPr>
          </w:p>
        </w:tc>
        <w:tc>
          <w:tcPr>
            <w:tcW w:w="1006" w:type="dxa"/>
            <w:tcBorders>
              <w:top w:val="single" w:color="000000" w:sz="6" w:space="0"/>
              <w:left w:val="single" w:color="000000" w:sz="6" w:space="0"/>
              <w:bottom w:val="single" w:color="000000" w:sz="6" w:space="0"/>
              <w:right w:val="single" w:color="000000" w:sz="8" w:space="0"/>
            </w:tcBorders>
            <w:vAlign w:val="center"/>
          </w:tcPr>
          <w:p w14:paraId="4EF3817C">
            <w:pPr>
              <w:autoSpaceDE w:val="0"/>
              <w:autoSpaceDN w:val="0"/>
              <w:spacing w:line="240" w:lineRule="auto"/>
              <w:jc w:val="center"/>
              <w:rPr>
                <w:rFonts w:ascii="仿宋" w:hAnsi="仿宋" w:eastAsia="仿宋" w:cs="仿宋"/>
                <w:color w:val="auto"/>
                <w:kern w:val="0"/>
                <w:sz w:val="24"/>
                <w:szCs w:val="24"/>
                <w:highlight w:val="none"/>
                <w:lang w:val="zh-CN"/>
              </w:rPr>
            </w:pPr>
          </w:p>
        </w:tc>
      </w:tr>
      <w:tr w14:paraId="73DD0287">
        <w:tblPrEx>
          <w:tblCellMar>
            <w:top w:w="0" w:type="dxa"/>
            <w:left w:w="28" w:type="dxa"/>
            <w:bottom w:w="0" w:type="dxa"/>
            <w:right w:w="28" w:type="dxa"/>
          </w:tblCellMar>
        </w:tblPrEx>
        <w:trPr>
          <w:trHeight w:val="375" w:hRule="atLeast"/>
          <w:jc w:val="center"/>
        </w:trPr>
        <w:tc>
          <w:tcPr>
            <w:tcW w:w="635" w:type="dxa"/>
            <w:tcBorders>
              <w:top w:val="single" w:color="000000" w:sz="6" w:space="0"/>
              <w:left w:val="single" w:color="000000" w:sz="8" w:space="0"/>
              <w:bottom w:val="single" w:color="000000" w:sz="6" w:space="0"/>
              <w:right w:val="single" w:color="000000" w:sz="6" w:space="0"/>
            </w:tcBorders>
            <w:vAlign w:val="center"/>
          </w:tcPr>
          <w:p w14:paraId="2BC316C8">
            <w:pPr>
              <w:autoSpaceDE w:val="0"/>
              <w:autoSpaceDN w:val="0"/>
              <w:spacing w:line="240" w:lineRule="auto"/>
              <w:jc w:val="center"/>
              <w:rPr>
                <w:rFonts w:ascii="仿宋" w:hAnsi="仿宋" w:eastAsia="仿宋" w:cs="仿宋"/>
                <w:color w:val="auto"/>
                <w:kern w:val="0"/>
                <w:sz w:val="24"/>
                <w:szCs w:val="24"/>
                <w:highlight w:val="none"/>
                <w:lang w:val="zh-CN"/>
              </w:rPr>
            </w:pPr>
            <w:r>
              <w:rPr>
                <w:rFonts w:ascii="仿宋" w:hAnsi="仿宋" w:eastAsia="仿宋" w:cs="仿宋"/>
                <w:color w:val="auto"/>
                <w:kern w:val="0"/>
                <w:sz w:val="24"/>
                <w:szCs w:val="24"/>
                <w:highlight w:val="none"/>
                <w:lang w:val="zh-CN"/>
              </w:rPr>
              <w:t>2</w:t>
            </w:r>
          </w:p>
        </w:tc>
        <w:tc>
          <w:tcPr>
            <w:tcW w:w="131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06B61CE1">
            <w:pPr>
              <w:numPr>
                <w:ilvl w:val="0"/>
                <w:numId w:val="0"/>
              </w:numPr>
              <w:spacing w:line="360" w:lineRule="exact"/>
              <w:ind w:left="0" w:leftChars="0" w:firstLine="0" w:firstLineChars="0"/>
              <w:jc w:val="center"/>
              <w:outlineLvl w:val="1"/>
              <w:rPr>
                <w:rFonts w:hint="eastAsia" w:ascii="仿宋" w:hAnsi="仿宋" w:eastAsia="仿宋" w:cs="仿宋"/>
                <w:b w:val="0"/>
                <w:bCs w:val="0"/>
                <w:color w:val="auto"/>
                <w:kern w:val="0"/>
                <w:sz w:val="24"/>
                <w:szCs w:val="24"/>
                <w:highlight w:val="none"/>
                <w:vertAlign w:val="baseline"/>
                <w:lang w:val="zh-CN" w:eastAsia="zh-CN" w:bidi="ar-SA"/>
              </w:rPr>
            </w:pPr>
          </w:p>
        </w:tc>
        <w:tc>
          <w:tcPr>
            <w:tcW w:w="1152" w:type="dxa"/>
            <w:tcBorders>
              <w:top w:val="single" w:color="000000" w:sz="6" w:space="0"/>
              <w:left w:val="single" w:color="000000" w:sz="6" w:space="0"/>
              <w:bottom w:val="single" w:color="000000" w:sz="6" w:space="0"/>
              <w:right w:val="single" w:color="000000" w:sz="6" w:space="0"/>
            </w:tcBorders>
            <w:vAlign w:val="center"/>
          </w:tcPr>
          <w:p w14:paraId="74DFCCFD">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35C42063">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6F3311F5">
            <w:pPr>
              <w:autoSpaceDE w:val="0"/>
              <w:autoSpaceDN w:val="0"/>
              <w:spacing w:line="240" w:lineRule="auto"/>
              <w:jc w:val="center"/>
              <w:rPr>
                <w:rFonts w:ascii="仿宋" w:hAnsi="仿宋" w:eastAsia="仿宋" w:cs="仿宋"/>
                <w:color w:val="auto"/>
                <w:kern w:val="0"/>
                <w:sz w:val="24"/>
                <w:szCs w:val="24"/>
                <w:highlight w:val="none"/>
                <w:lang w:val="zh-CN"/>
              </w:rPr>
            </w:pPr>
          </w:p>
        </w:tc>
        <w:tc>
          <w:tcPr>
            <w:tcW w:w="803" w:type="dxa"/>
            <w:tcBorders>
              <w:top w:val="single" w:color="000000" w:sz="6" w:space="0"/>
              <w:left w:val="single" w:color="000000" w:sz="6" w:space="0"/>
              <w:bottom w:val="single" w:color="000000" w:sz="6" w:space="0"/>
              <w:right w:val="single" w:color="000000" w:sz="6" w:space="0"/>
            </w:tcBorders>
            <w:vAlign w:val="center"/>
          </w:tcPr>
          <w:p w14:paraId="4DE5E75B">
            <w:pPr>
              <w:autoSpaceDE w:val="0"/>
              <w:autoSpaceDN w:val="0"/>
              <w:spacing w:line="240" w:lineRule="auto"/>
              <w:jc w:val="center"/>
              <w:rPr>
                <w:rFonts w:ascii="仿宋" w:hAnsi="仿宋" w:eastAsia="仿宋" w:cs="仿宋"/>
                <w:color w:val="auto"/>
                <w:kern w:val="0"/>
                <w:sz w:val="24"/>
                <w:szCs w:val="24"/>
                <w:highlight w:val="none"/>
                <w:lang w:val="zh-CN"/>
              </w:rPr>
            </w:pPr>
          </w:p>
        </w:tc>
        <w:tc>
          <w:tcPr>
            <w:tcW w:w="911" w:type="dxa"/>
            <w:tcBorders>
              <w:top w:val="single" w:color="000000" w:sz="6" w:space="0"/>
              <w:left w:val="single" w:color="000000" w:sz="6" w:space="0"/>
              <w:bottom w:val="single" w:color="000000" w:sz="6" w:space="0"/>
              <w:right w:val="single" w:color="000000" w:sz="6" w:space="0"/>
            </w:tcBorders>
            <w:vAlign w:val="center"/>
          </w:tcPr>
          <w:p w14:paraId="053A06CF">
            <w:pPr>
              <w:autoSpaceDE w:val="0"/>
              <w:autoSpaceDN w:val="0"/>
              <w:spacing w:line="240" w:lineRule="auto"/>
              <w:jc w:val="center"/>
              <w:rPr>
                <w:rFonts w:ascii="仿宋" w:hAnsi="仿宋" w:eastAsia="仿宋" w:cs="仿宋"/>
                <w:color w:val="auto"/>
                <w:kern w:val="0"/>
                <w:sz w:val="24"/>
                <w:szCs w:val="24"/>
                <w:highlight w:val="none"/>
                <w:lang w:val="zh-CN"/>
              </w:rPr>
            </w:pPr>
          </w:p>
        </w:tc>
        <w:tc>
          <w:tcPr>
            <w:tcW w:w="1006" w:type="dxa"/>
            <w:tcBorders>
              <w:top w:val="single" w:color="000000" w:sz="6" w:space="0"/>
              <w:left w:val="single" w:color="000000" w:sz="6" w:space="0"/>
              <w:bottom w:val="single" w:color="000000" w:sz="6" w:space="0"/>
              <w:right w:val="single" w:color="000000" w:sz="8" w:space="0"/>
            </w:tcBorders>
            <w:vAlign w:val="center"/>
          </w:tcPr>
          <w:p w14:paraId="5B359AA5">
            <w:pPr>
              <w:autoSpaceDE w:val="0"/>
              <w:autoSpaceDN w:val="0"/>
              <w:spacing w:line="240" w:lineRule="auto"/>
              <w:jc w:val="center"/>
              <w:rPr>
                <w:rFonts w:ascii="仿宋" w:hAnsi="仿宋" w:eastAsia="仿宋" w:cs="仿宋"/>
                <w:color w:val="auto"/>
                <w:kern w:val="0"/>
                <w:sz w:val="24"/>
                <w:szCs w:val="24"/>
                <w:highlight w:val="none"/>
                <w:lang w:val="zh-CN"/>
              </w:rPr>
            </w:pPr>
          </w:p>
        </w:tc>
      </w:tr>
      <w:tr w14:paraId="1D287E31">
        <w:tblPrEx>
          <w:tblCellMar>
            <w:top w:w="0" w:type="dxa"/>
            <w:left w:w="28" w:type="dxa"/>
            <w:bottom w:w="0" w:type="dxa"/>
            <w:right w:w="28" w:type="dxa"/>
          </w:tblCellMar>
        </w:tblPrEx>
        <w:trPr>
          <w:trHeight w:val="375" w:hRule="atLeast"/>
          <w:jc w:val="center"/>
        </w:trPr>
        <w:tc>
          <w:tcPr>
            <w:tcW w:w="635" w:type="dxa"/>
            <w:tcBorders>
              <w:top w:val="single" w:color="000000" w:sz="6" w:space="0"/>
              <w:left w:val="single" w:color="000000" w:sz="8" w:space="0"/>
              <w:bottom w:val="single" w:color="000000" w:sz="6" w:space="0"/>
              <w:right w:val="single" w:color="000000" w:sz="6" w:space="0"/>
            </w:tcBorders>
            <w:vAlign w:val="center"/>
          </w:tcPr>
          <w:p w14:paraId="2DDF3987">
            <w:pPr>
              <w:autoSpaceDE w:val="0"/>
              <w:autoSpaceDN w:val="0"/>
              <w:spacing w:line="240" w:lineRule="auto"/>
              <w:jc w:val="center"/>
              <w:rPr>
                <w:rFonts w:hint="eastAsia" w:ascii="仿宋" w:hAnsi="仿宋" w:eastAsia="仿宋" w:cs="仿宋"/>
                <w:color w:val="auto"/>
                <w:kern w:val="0"/>
                <w:sz w:val="24"/>
                <w:szCs w:val="24"/>
                <w:highlight w:val="none"/>
                <w:lang w:val="zh-CN" w:eastAsia="zh-CN"/>
              </w:rPr>
            </w:pPr>
            <w:r>
              <w:rPr>
                <w:rFonts w:hint="eastAsia" w:ascii="仿宋" w:hAnsi="仿宋" w:eastAsia="仿宋" w:cs="仿宋"/>
                <w:color w:val="auto"/>
                <w:kern w:val="0"/>
                <w:sz w:val="24"/>
                <w:szCs w:val="24"/>
                <w:highlight w:val="none"/>
                <w:lang w:val="en-US" w:eastAsia="zh-CN"/>
              </w:rPr>
              <w:t>3</w:t>
            </w:r>
          </w:p>
        </w:tc>
        <w:tc>
          <w:tcPr>
            <w:tcW w:w="1313" w:type="dxa"/>
            <w:tcBorders>
              <w:top w:val="single" w:color="000000" w:sz="6" w:space="0"/>
              <w:left w:val="single" w:color="000000" w:sz="6" w:space="0"/>
              <w:bottom w:val="single" w:color="000000" w:sz="6" w:space="0"/>
              <w:right w:val="single" w:color="000000" w:sz="6" w:space="0"/>
            </w:tcBorders>
            <w:shd w:val="clear" w:color="auto" w:fill="auto"/>
            <w:vAlign w:val="center"/>
          </w:tcPr>
          <w:p w14:paraId="5DF0867C">
            <w:pPr>
              <w:pStyle w:val="49"/>
              <w:keepNext w:val="0"/>
              <w:keepLines w:val="0"/>
              <w:pageBreakBefore w:val="0"/>
              <w:numPr>
                <w:ilvl w:val="-1"/>
                <w:numId w:val="0"/>
              </w:numPr>
              <w:kinsoku/>
              <w:wordWrap/>
              <w:overflowPunct/>
              <w:topLinePunct w:val="0"/>
              <w:autoSpaceDE/>
              <w:autoSpaceDN/>
              <w:bidi w:val="0"/>
              <w:adjustRightInd/>
              <w:snapToGrid/>
              <w:spacing w:line="500" w:lineRule="exact"/>
              <w:ind w:left="0" w:leftChars="0" w:firstLine="0" w:firstLineChars="0"/>
              <w:jc w:val="center"/>
              <w:textAlignment w:val="auto"/>
              <w:outlineLvl w:val="2"/>
              <w:rPr>
                <w:rFonts w:hint="eastAsia" w:ascii="仿宋" w:hAnsi="仿宋" w:eastAsia="仿宋" w:cs="仿宋"/>
                <w:b w:val="0"/>
                <w:bCs w:val="0"/>
                <w:color w:val="auto"/>
                <w:kern w:val="2"/>
                <w:sz w:val="24"/>
                <w:szCs w:val="24"/>
                <w:vertAlign w:val="baseline"/>
                <w:lang w:val="zh-CN" w:eastAsia="zh-CN" w:bidi="ar-SA"/>
              </w:rPr>
            </w:pPr>
          </w:p>
        </w:tc>
        <w:tc>
          <w:tcPr>
            <w:tcW w:w="1152" w:type="dxa"/>
            <w:tcBorders>
              <w:top w:val="single" w:color="000000" w:sz="6" w:space="0"/>
              <w:left w:val="single" w:color="000000" w:sz="6" w:space="0"/>
              <w:bottom w:val="single" w:color="000000" w:sz="6" w:space="0"/>
              <w:right w:val="single" w:color="000000" w:sz="6" w:space="0"/>
            </w:tcBorders>
            <w:vAlign w:val="center"/>
          </w:tcPr>
          <w:p w14:paraId="52679C61">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4652A01A">
            <w:pPr>
              <w:autoSpaceDE w:val="0"/>
              <w:autoSpaceDN w:val="0"/>
              <w:spacing w:line="240" w:lineRule="auto"/>
              <w:jc w:val="center"/>
              <w:rPr>
                <w:rFonts w:ascii="仿宋" w:hAnsi="仿宋" w:eastAsia="仿宋" w:cs="仿宋"/>
                <w:color w:val="auto"/>
                <w:kern w:val="0"/>
                <w:sz w:val="24"/>
                <w:szCs w:val="24"/>
                <w:highlight w:val="none"/>
                <w:lang w:val="zh-CN"/>
              </w:rPr>
            </w:pPr>
          </w:p>
        </w:tc>
        <w:tc>
          <w:tcPr>
            <w:tcW w:w="1452" w:type="dxa"/>
            <w:tcBorders>
              <w:top w:val="single" w:color="000000" w:sz="6" w:space="0"/>
              <w:left w:val="single" w:color="000000" w:sz="6" w:space="0"/>
              <w:bottom w:val="single" w:color="000000" w:sz="6" w:space="0"/>
              <w:right w:val="single" w:color="000000" w:sz="6" w:space="0"/>
            </w:tcBorders>
            <w:vAlign w:val="center"/>
          </w:tcPr>
          <w:p w14:paraId="7CE626F8">
            <w:pPr>
              <w:autoSpaceDE w:val="0"/>
              <w:autoSpaceDN w:val="0"/>
              <w:spacing w:line="240" w:lineRule="auto"/>
              <w:jc w:val="center"/>
              <w:rPr>
                <w:rFonts w:ascii="仿宋" w:hAnsi="仿宋" w:eastAsia="仿宋" w:cs="仿宋"/>
                <w:color w:val="auto"/>
                <w:kern w:val="0"/>
                <w:sz w:val="24"/>
                <w:szCs w:val="24"/>
                <w:highlight w:val="none"/>
                <w:lang w:val="zh-CN"/>
              </w:rPr>
            </w:pPr>
          </w:p>
        </w:tc>
        <w:tc>
          <w:tcPr>
            <w:tcW w:w="803" w:type="dxa"/>
            <w:tcBorders>
              <w:top w:val="single" w:color="000000" w:sz="6" w:space="0"/>
              <w:left w:val="single" w:color="000000" w:sz="6" w:space="0"/>
              <w:bottom w:val="single" w:color="000000" w:sz="6" w:space="0"/>
              <w:right w:val="single" w:color="000000" w:sz="6" w:space="0"/>
            </w:tcBorders>
            <w:vAlign w:val="center"/>
          </w:tcPr>
          <w:p w14:paraId="5401DA1D">
            <w:pPr>
              <w:autoSpaceDE w:val="0"/>
              <w:autoSpaceDN w:val="0"/>
              <w:spacing w:line="240" w:lineRule="auto"/>
              <w:jc w:val="center"/>
              <w:rPr>
                <w:rFonts w:ascii="仿宋" w:hAnsi="仿宋" w:eastAsia="仿宋" w:cs="仿宋"/>
                <w:color w:val="auto"/>
                <w:kern w:val="0"/>
                <w:sz w:val="24"/>
                <w:szCs w:val="24"/>
                <w:highlight w:val="none"/>
                <w:lang w:val="zh-CN"/>
              </w:rPr>
            </w:pPr>
          </w:p>
        </w:tc>
        <w:tc>
          <w:tcPr>
            <w:tcW w:w="911" w:type="dxa"/>
            <w:tcBorders>
              <w:top w:val="single" w:color="000000" w:sz="6" w:space="0"/>
              <w:left w:val="single" w:color="000000" w:sz="6" w:space="0"/>
              <w:bottom w:val="single" w:color="000000" w:sz="6" w:space="0"/>
              <w:right w:val="single" w:color="000000" w:sz="6" w:space="0"/>
            </w:tcBorders>
            <w:vAlign w:val="center"/>
          </w:tcPr>
          <w:p w14:paraId="70F3FC21">
            <w:pPr>
              <w:autoSpaceDE w:val="0"/>
              <w:autoSpaceDN w:val="0"/>
              <w:spacing w:line="240" w:lineRule="auto"/>
              <w:jc w:val="center"/>
              <w:rPr>
                <w:rFonts w:ascii="仿宋" w:hAnsi="仿宋" w:eastAsia="仿宋" w:cs="仿宋"/>
                <w:color w:val="auto"/>
                <w:kern w:val="0"/>
                <w:sz w:val="24"/>
                <w:szCs w:val="24"/>
                <w:highlight w:val="none"/>
                <w:lang w:val="zh-CN"/>
              </w:rPr>
            </w:pPr>
          </w:p>
        </w:tc>
        <w:tc>
          <w:tcPr>
            <w:tcW w:w="1006" w:type="dxa"/>
            <w:tcBorders>
              <w:top w:val="single" w:color="000000" w:sz="6" w:space="0"/>
              <w:left w:val="single" w:color="000000" w:sz="6" w:space="0"/>
              <w:bottom w:val="single" w:color="000000" w:sz="6" w:space="0"/>
              <w:right w:val="single" w:color="000000" w:sz="8" w:space="0"/>
            </w:tcBorders>
            <w:vAlign w:val="center"/>
          </w:tcPr>
          <w:p w14:paraId="1898C8D9">
            <w:pPr>
              <w:autoSpaceDE w:val="0"/>
              <w:autoSpaceDN w:val="0"/>
              <w:spacing w:line="240" w:lineRule="auto"/>
              <w:jc w:val="center"/>
              <w:rPr>
                <w:rFonts w:ascii="仿宋" w:hAnsi="仿宋" w:eastAsia="仿宋" w:cs="仿宋"/>
                <w:color w:val="auto"/>
                <w:kern w:val="0"/>
                <w:sz w:val="24"/>
                <w:szCs w:val="24"/>
                <w:highlight w:val="none"/>
                <w:lang w:val="zh-CN"/>
              </w:rPr>
            </w:pPr>
          </w:p>
        </w:tc>
      </w:tr>
      <w:tr w14:paraId="3901B658">
        <w:tblPrEx>
          <w:tblCellMar>
            <w:top w:w="0" w:type="dxa"/>
            <w:left w:w="28" w:type="dxa"/>
            <w:bottom w:w="0" w:type="dxa"/>
            <w:right w:w="28" w:type="dxa"/>
          </w:tblCellMar>
        </w:tblPrEx>
        <w:trPr>
          <w:trHeight w:val="755" w:hRule="atLeast"/>
          <w:jc w:val="center"/>
        </w:trPr>
        <w:tc>
          <w:tcPr>
            <w:tcW w:w="8724" w:type="dxa"/>
            <w:gridSpan w:val="8"/>
            <w:tcBorders>
              <w:top w:val="single" w:color="000000" w:sz="6" w:space="0"/>
              <w:left w:val="single" w:color="000000" w:sz="8" w:space="0"/>
              <w:bottom w:val="single" w:color="000000" w:sz="8" w:space="0"/>
              <w:right w:val="single" w:color="000000" w:sz="8" w:space="0"/>
            </w:tcBorders>
            <w:vAlign w:val="center"/>
          </w:tcPr>
          <w:p w14:paraId="7C62D5BC">
            <w:pPr>
              <w:autoSpaceDE w:val="0"/>
              <w:autoSpaceDN w:val="0"/>
              <w:spacing w:line="240" w:lineRule="auto"/>
              <w:jc w:val="left"/>
              <w:rPr>
                <w:rFonts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合计（元）：</w:t>
            </w:r>
          </w:p>
        </w:tc>
      </w:tr>
      <w:tr w14:paraId="36BEBB7E">
        <w:tblPrEx>
          <w:tblCellMar>
            <w:top w:w="0" w:type="dxa"/>
            <w:left w:w="28" w:type="dxa"/>
            <w:bottom w:w="0" w:type="dxa"/>
            <w:right w:w="28" w:type="dxa"/>
          </w:tblCellMar>
        </w:tblPrEx>
        <w:trPr>
          <w:trHeight w:val="1448" w:hRule="atLeast"/>
          <w:jc w:val="center"/>
        </w:trPr>
        <w:tc>
          <w:tcPr>
            <w:tcW w:w="1948" w:type="dxa"/>
            <w:gridSpan w:val="2"/>
            <w:tcBorders>
              <w:top w:val="single" w:color="000000" w:sz="6" w:space="0"/>
              <w:left w:val="single" w:color="000000" w:sz="8" w:space="0"/>
              <w:bottom w:val="single" w:color="000000" w:sz="8" w:space="0"/>
              <w:right w:val="single" w:color="000000" w:sz="6" w:space="0"/>
            </w:tcBorders>
            <w:vAlign w:val="center"/>
          </w:tcPr>
          <w:p w14:paraId="27E7503B">
            <w:pPr>
              <w:autoSpaceDE w:val="0"/>
              <w:autoSpaceDN w:val="0"/>
              <w:spacing w:line="240" w:lineRule="auto"/>
              <w:jc w:val="center"/>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rPr>
              <w:t>谈判</w:t>
            </w:r>
            <w:r>
              <w:rPr>
                <w:rFonts w:hint="eastAsia" w:ascii="仿宋" w:hAnsi="仿宋" w:eastAsia="仿宋" w:cs="仿宋"/>
                <w:color w:val="auto"/>
                <w:kern w:val="0"/>
                <w:sz w:val="24"/>
                <w:szCs w:val="24"/>
                <w:highlight w:val="none"/>
                <w:lang w:val="zh-CN"/>
              </w:rPr>
              <w:t>报价</w:t>
            </w:r>
          </w:p>
        </w:tc>
        <w:tc>
          <w:tcPr>
            <w:tcW w:w="6776" w:type="dxa"/>
            <w:gridSpan w:val="6"/>
            <w:tcBorders>
              <w:top w:val="single" w:color="000000" w:sz="6" w:space="0"/>
              <w:left w:val="single" w:color="000000" w:sz="6" w:space="0"/>
              <w:bottom w:val="single" w:color="000000" w:sz="8" w:space="0"/>
              <w:right w:val="single" w:color="000000" w:sz="8" w:space="0"/>
            </w:tcBorders>
            <w:vAlign w:val="center"/>
          </w:tcPr>
          <w:p w14:paraId="280B30A1">
            <w:pPr>
              <w:autoSpaceDE w:val="0"/>
              <w:autoSpaceDN w:val="0"/>
              <w:spacing w:line="240" w:lineRule="auto"/>
              <w:rPr>
                <w:rFonts w:ascii="仿宋" w:hAnsi="仿宋" w:eastAsia="仿宋" w:cs="仿宋"/>
                <w:color w:val="auto"/>
                <w:highlight w:val="none"/>
                <w:lang w:val="zh-CN"/>
              </w:rPr>
            </w:pPr>
          </w:p>
          <w:p w14:paraId="0F867940">
            <w:pPr>
              <w:autoSpaceDE w:val="0"/>
              <w:autoSpaceDN w:val="0"/>
              <w:spacing w:line="240" w:lineRule="auto"/>
              <w:rPr>
                <w:rFonts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小写：</w:t>
            </w:r>
          </w:p>
          <w:p w14:paraId="7A239F42">
            <w:pPr>
              <w:autoSpaceDE w:val="0"/>
              <w:autoSpaceDN w:val="0"/>
              <w:spacing w:line="240" w:lineRule="auto"/>
              <w:jc w:val="right"/>
              <w:rPr>
                <w:rFonts w:ascii="仿宋" w:hAnsi="仿宋" w:eastAsia="仿宋" w:cs="仿宋"/>
                <w:color w:val="auto"/>
                <w:sz w:val="24"/>
                <w:szCs w:val="24"/>
                <w:highlight w:val="none"/>
              </w:rPr>
            </w:pPr>
            <w:r>
              <w:rPr>
                <w:rFonts w:ascii="仿宋" w:hAnsi="仿宋" w:eastAsia="仿宋" w:cs="仿宋"/>
                <w:color w:val="auto"/>
                <w:sz w:val="24"/>
                <w:szCs w:val="24"/>
                <w:highlight w:val="none"/>
              </w:rPr>
              <w:t>单位：元（</w:t>
            </w:r>
            <w:r>
              <w:rPr>
                <w:rFonts w:hint="eastAsia" w:ascii="仿宋" w:hAnsi="仿宋" w:eastAsia="仿宋" w:cs="仿宋"/>
                <w:color w:val="auto"/>
                <w:sz w:val="24"/>
                <w:szCs w:val="24"/>
                <w:highlight w:val="none"/>
              </w:rPr>
              <w:t>报价最多保留至小数点后两位</w:t>
            </w:r>
            <w:r>
              <w:rPr>
                <w:rFonts w:ascii="仿宋" w:hAnsi="仿宋" w:eastAsia="仿宋" w:cs="仿宋"/>
                <w:color w:val="auto"/>
                <w:sz w:val="24"/>
                <w:szCs w:val="24"/>
                <w:highlight w:val="none"/>
              </w:rPr>
              <w:t>）</w:t>
            </w:r>
          </w:p>
        </w:tc>
      </w:tr>
    </w:tbl>
    <w:p w14:paraId="4B7D49F5">
      <w:pPr>
        <w:keepNext w:val="0"/>
        <w:keepLines w:val="0"/>
        <w:pageBreakBefore w:val="0"/>
        <w:widowControl/>
        <w:tabs>
          <w:tab w:val="right" w:pos="9072"/>
        </w:tabs>
        <w:kinsoku/>
        <w:wordWrap/>
        <w:overflowPunct/>
        <w:topLinePunct w:val="0"/>
        <w:autoSpaceDE/>
        <w:autoSpaceDN/>
        <w:bidi w:val="0"/>
        <w:adjustRightInd/>
        <w:snapToGrid/>
        <w:spacing w:line="400" w:lineRule="exact"/>
        <w:ind w:firstLine="43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备注：1、本表“谈判报价”金额应与“第一次谈判报价表”中的“谈判报价”一致；</w:t>
      </w:r>
    </w:p>
    <w:p w14:paraId="2ECB9021">
      <w:pPr>
        <w:keepNext w:val="0"/>
        <w:keepLines w:val="0"/>
        <w:pageBreakBefore w:val="0"/>
        <w:widowControl/>
        <w:tabs>
          <w:tab w:val="right" w:pos="9072"/>
        </w:tabs>
        <w:kinsoku/>
        <w:wordWrap/>
        <w:overflowPunct/>
        <w:topLinePunct w:val="0"/>
        <w:autoSpaceDE/>
        <w:autoSpaceDN/>
        <w:bidi w:val="0"/>
        <w:adjustRightInd/>
        <w:snapToGrid/>
        <w:spacing w:line="400" w:lineRule="exact"/>
        <w:ind w:firstLine="430" w:firstLineChars="200"/>
        <w:textAlignment w:val="auto"/>
        <w:rPr>
          <w:rFonts w:hint="eastAsia" w:ascii="仿宋" w:hAnsi="仿宋" w:eastAsia="仿宋" w:cs="仿宋"/>
          <w:color w:val="auto"/>
          <w:sz w:val="24"/>
          <w:szCs w:val="24"/>
          <w:highlight w:val="none"/>
          <w:lang w:val="en-US" w:eastAsia="zh-CN"/>
        </w:rPr>
      </w:pPr>
      <w:r>
        <w:rPr>
          <w:rFonts w:hint="eastAsia" w:ascii="宋体" w:hAnsi="宋体" w:eastAsia="宋体" w:cs="宋体"/>
          <w:color w:val="auto"/>
          <w:sz w:val="21"/>
          <w:szCs w:val="21"/>
          <w:highlight w:val="none"/>
          <w:lang w:val="en-US" w:eastAsia="zh-CN"/>
        </w:rPr>
        <w:t xml:space="preserve">      2、本表为样表，仅供参考，供应商根据项目实际需求进行填写。</w:t>
      </w:r>
    </w:p>
    <w:p w14:paraId="1A2DDCCE">
      <w:pPr>
        <w:tabs>
          <w:tab w:val="right" w:pos="9072"/>
        </w:tabs>
        <w:spacing w:line="500" w:lineRule="exact"/>
        <w:ind w:firstLine="490" w:firstLineChars="200"/>
        <w:rPr>
          <w:rFonts w:hint="default" w:ascii="仿宋" w:hAnsi="仿宋" w:eastAsia="仿宋" w:cs="仿宋"/>
          <w:color w:val="auto"/>
          <w:sz w:val="24"/>
          <w:szCs w:val="24"/>
          <w:highlight w:val="none"/>
          <w:lang w:val="en-US" w:eastAsia="zh-CN"/>
        </w:rPr>
      </w:pPr>
    </w:p>
    <w:p w14:paraId="3CBEEB23">
      <w:pPr>
        <w:spacing w:line="500" w:lineRule="exact"/>
        <w:ind w:firstLine="570" w:firstLineChars="200"/>
        <w:jc w:val="right"/>
        <w:rPr>
          <w:rFonts w:hint="eastAsia"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47F3D597">
      <w:pPr>
        <w:spacing w:line="500" w:lineRule="exact"/>
        <w:ind w:firstLine="570" w:firstLineChars="200"/>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                                日  期：　　年　月　日</w:t>
      </w:r>
    </w:p>
    <w:p w14:paraId="1F9CA5E7">
      <w:pPr>
        <w:tabs>
          <w:tab w:val="right" w:pos="9072"/>
        </w:tabs>
        <w:spacing w:line="500" w:lineRule="exact"/>
        <w:rPr>
          <w:rFonts w:hint="eastAsia" w:ascii="仿宋" w:hAnsi="仿宋" w:eastAsia="仿宋" w:cs="仿宋"/>
          <w:color w:val="auto"/>
          <w:sz w:val="24"/>
          <w:szCs w:val="24"/>
          <w:highlight w:val="none"/>
        </w:rPr>
      </w:pPr>
    </w:p>
    <w:p w14:paraId="370A97D7">
      <w:pPr>
        <w:pStyle w:val="55"/>
        <w:spacing w:line="500" w:lineRule="exact"/>
        <w:ind w:firstLine="650" w:firstLineChars="200"/>
        <w:jc w:val="left"/>
        <w:outlineLvl w:val="9"/>
        <w:rPr>
          <w:rFonts w:ascii="仿宋" w:hAnsi="仿宋" w:eastAsia="仿宋" w:cs="仿宋"/>
          <w:b w:val="0"/>
          <w:bCs w:val="0"/>
          <w:color w:val="auto"/>
          <w:sz w:val="28"/>
          <w:szCs w:val="28"/>
          <w:highlight w:val="none"/>
        </w:rPr>
      </w:pPr>
      <w:r>
        <w:rPr>
          <w:rFonts w:hint="eastAsia" w:ascii="仿宋" w:hAnsi="仿宋" w:eastAsia="仿宋" w:cs="仿宋"/>
          <w:color w:val="auto"/>
          <w:highlight w:val="none"/>
        </w:rPr>
        <w:br w:type="page"/>
      </w:r>
    </w:p>
    <w:p w14:paraId="320A2E69">
      <w:pPr>
        <w:spacing w:beforeLines="0" w:line="500" w:lineRule="exact"/>
        <w:ind w:firstLine="570" w:firstLineChars="200"/>
        <w:outlineLvl w:val="2"/>
        <w:rPr>
          <w:rFonts w:ascii="仿宋" w:hAnsi="仿宋" w:eastAsia="仿宋" w:cs="仿宋"/>
          <w:b/>
          <w:bCs/>
          <w:color w:val="auto"/>
          <w:kern w:val="0"/>
          <w:sz w:val="28"/>
          <w:szCs w:val="28"/>
          <w:highlight w:val="none"/>
        </w:rPr>
      </w:pPr>
      <w:bookmarkStart w:id="307" w:name="_Toc32096"/>
      <w:r>
        <w:rPr>
          <w:rFonts w:hint="eastAsia" w:ascii="仿宋" w:hAnsi="仿宋" w:eastAsia="仿宋" w:cs="仿宋"/>
          <w:b/>
          <w:bCs/>
          <w:color w:val="auto"/>
          <w:sz w:val="28"/>
          <w:szCs w:val="28"/>
          <w:highlight w:val="none"/>
        </w:rPr>
        <w:t>三</w:t>
      </w:r>
      <w:r>
        <w:rPr>
          <w:rFonts w:hint="eastAsia" w:ascii="仿宋" w:hAnsi="仿宋" w:eastAsia="仿宋" w:cs="仿宋"/>
          <w:b/>
          <w:bCs/>
          <w:color w:val="auto"/>
          <w:kern w:val="0"/>
          <w:sz w:val="28"/>
          <w:szCs w:val="28"/>
          <w:highlight w:val="none"/>
        </w:rPr>
        <w:t>、供应商承诺书</w:t>
      </w:r>
      <w:bookmarkEnd w:id="307"/>
    </w:p>
    <w:p w14:paraId="060E6226">
      <w:pPr>
        <w:spacing w:beforeLines="0"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未签署下列承诺书的，其责任由供应商自行承担。</w:t>
      </w:r>
    </w:p>
    <w:p w14:paraId="317DBD12">
      <w:pPr>
        <w:spacing w:before="0" w:beforeLines="0" w:line="500" w:lineRule="exact"/>
        <w:ind w:firstLine="570" w:firstLineChars="200"/>
        <w:rPr>
          <w:rFonts w:ascii="仿宋" w:hAnsi="仿宋" w:eastAsia="仿宋" w:cs="仿宋"/>
          <w:b/>
          <w:color w:val="auto"/>
          <w:highlight w:val="none"/>
        </w:rPr>
      </w:pPr>
      <w:r>
        <w:rPr>
          <w:rFonts w:hint="eastAsia" w:ascii="仿宋" w:hAnsi="仿宋" w:eastAsia="仿宋" w:cs="仿宋"/>
          <w:b/>
          <w:color w:val="auto"/>
          <w:highlight w:val="none"/>
        </w:rPr>
        <w:t>（一）质量安全责任承诺书</w:t>
      </w:r>
    </w:p>
    <w:p w14:paraId="09D72306">
      <w:pPr>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为保证本采购项目顺利进行，作为谈判供应商，现郑重承诺：</w:t>
      </w:r>
    </w:p>
    <w:p w14:paraId="7E2F378C">
      <w:pPr>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1、我方谈判产品的生产（包括设计、制造、安装、改造、维修等）、投入使用的材料等均完全符合国家现行质量、安全、环保标准和要求。</w:t>
      </w:r>
    </w:p>
    <w:p w14:paraId="3A516BEB">
      <w:pPr>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2、我方将严格按照国家现行相关储存、运输、安装调试技术标准及规范、服务标准及规范、施工标准及规范，在规定的时限内，保质、保量完成项目全部内容，并向采购人交付合格产品。</w:t>
      </w:r>
    </w:p>
    <w:p w14:paraId="61E04E47">
      <w:pPr>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3、对于因产品生产质量以及储存、运输、安装调试、服务、施工等过程中产生的任何安全事故，我方承担全部责任。</w:t>
      </w:r>
    </w:p>
    <w:p w14:paraId="085F0308">
      <w:pPr>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4、我方提供的货物、工程、服务等符合现行的国家、行业、地区、企业标准及要求，标准不一致的，以更为严格的为准，我方对提供的货物、工程、服务等的质量、安全、环保等承担全部责任。</w:t>
      </w:r>
    </w:p>
    <w:p w14:paraId="3DF8A4A2">
      <w:pPr>
        <w:spacing w:line="500" w:lineRule="exact"/>
        <w:ind w:firstLine="570" w:firstLineChars="200"/>
        <w:rPr>
          <w:rFonts w:ascii="仿宋" w:hAnsi="仿宋" w:eastAsia="仿宋" w:cs="仿宋"/>
          <w:color w:val="auto"/>
          <w:highlight w:val="none"/>
        </w:rPr>
      </w:pPr>
    </w:p>
    <w:p w14:paraId="39843F4E">
      <w:pPr>
        <w:spacing w:line="500" w:lineRule="exact"/>
        <w:ind w:firstLine="570" w:firstLineChars="200"/>
        <w:jc w:val="right"/>
        <w:rPr>
          <w:rFonts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154593BA">
      <w:pPr>
        <w:spacing w:line="500" w:lineRule="exact"/>
        <w:ind w:firstLine="570" w:firstLineChars="200"/>
        <w:jc w:val="center"/>
        <w:rPr>
          <w:rFonts w:ascii="仿宋" w:hAnsi="仿宋" w:eastAsia="仿宋" w:cs="仿宋"/>
          <w:color w:val="auto"/>
          <w:highlight w:val="none"/>
        </w:rPr>
      </w:pPr>
      <w:r>
        <w:rPr>
          <w:rFonts w:hint="eastAsia" w:ascii="仿宋" w:hAnsi="仿宋" w:eastAsia="仿宋" w:cs="仿宋"/>
          <w:color w:val="auto"/>
          <w:highlight w:val="none"/>
        </w:rPr>
        <w:t xml:space="preserve">                                日  期：　　年　月　日</w:t>
      </w:r>
    </w:p>
    <w:p w14:paraId="41B929A8">
      <w:pPr>
        <w:spacing w:line="500" w:lineRule="exact"/>
        <w:jc w:val="right"/>
        <w:rPr>
          <w:rFonts w:hint="eastAsia" w:ascii="仿宋" w:hAnsi="仿宋" w:eastAsia="仿宋" w:cs="仿宋"/>
          <w:color w:val="auto"/>
          <w:highlight w:val="none"/>
        </w:rPr>
      </w:pPr>
    </w:p>
    <w:p w14:paraId="5A73AEE1">
      <w:pPr>
        <w:widowControl w:val="0"/>
        <w:spacing w:line="500" w:lineRule="exact"/>
        <w:ind w:firstLine="570" w:firstLineChars="200"/>
        <w:rPr>
          <w:rFonts w:ascii="仿宋" w:hAnsi="仿宋" w:eastAsia="仿宋" w:cs="仿宋"/>
          <w:b/>
          <w:color w:val="auto"/>
          <w:highlight w:val="none"/>
        </w:rPr>
      </w:pPr>
      <w:r>
        <w:rPr>
          <w:rFonts w:hint="eastAsia" w:ascii="仿宋" w:hAnsi="仿宋" w:eastAsia="仿宋" w:cs="仿宋"/>
          <w:b/>
          <w:color w:val="auto"/>
          <w:highlight w:val="none"/>
        </w:rPr>
        <w:br w:type="page"/>
      </w:r>
      <w:r>
        <w:rPr>
          <w:rFonts w:hint="eastAsia" w:ascii="仿宋" w:hAnsi="仿宋" w:eastAsia="仿宋" w:cs="仿宋"/>
          <w:b/>
          <w:color w:val="auto"/>
          <w:highlight w:val="none"/>
        </w:rPr>
        <w:t>（二）拒绝政府采购领域商业贿赂承诺书</w:t>
      </w:r>
    </w:p>
    <w:p w14:paraId="720855AB">
      <w:pPr>
        <w:widowControl w:val="0"/>
        <w:overflowPunct w:val="0"/>
        <w:topLinePunct/>
        <w:spacing w:line="500" w:lineRule="exact"/>
        <w:jc w:val="center"/>
        <w:rPr>
          <w:rFonts w:ascii="仿宋" w:hAnsi="仿宋" w:eastAsia="仿宋" w:cs="仿宋"/>
          <w:bCs/>
          <w:color w:val="auto"/>
          <w:highlight w:val="none"/>
        </w:rPr>
      </w:pPr>
      <w:r>
        <w:rPr>
          <w:rFonts w:hint="eastAsia" w:ascii="仿宋" w:hAnsi="仿宋" w:eastAsia="仿宋" w:cs="仿宋"/>
          <w:bCs/>
          <w:color w:val="auto"/>
          <w:highlight w:val="none"/>
        </w:rPr>
        <w:t>（执行陕财办采管[2006]21号文件）</w:t>
      </w:r>
    </w:p>
    <w:p w14:paraId="2C553B93">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为响应党中央、国务院关于治理政府采购领域商业贿赂行为的号召，我公司在此庄严承诺：</w:t>
      </w:r>
    </w:p>
    <w:p w14:paraId="6E839D1A">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1、在参与政府采购活动中遵纪守法、诚信经营、公平竞标。</w:t>
      </w:r>
    </w:p>
    <w:p w14:paraId="44B7412C">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2、不向政府采购人、采购代理机构和政府采购评审专家进行任何形式的商业贿赂以谋取交易机会。</w:t>
      </w:r>
    </w:p>
    <w:p w14:paraId="18ADD3DB">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3、不向政府采购代理机构和采购人提供虚假资质文件或采用虚假应标方式参与政府采购市场竞争并谋取中标、成交。</w:t>
      </w:r>
    </w:p>
    <w:p w14:paraId="26E5F343">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4、不采取“围标、陪标”等商业欺诈手段获得政府采购定单。</w:t>
      </w:r>
    </w:p>
    <w:p w14:paraId="0E9CCAF6">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5、不采取不正当手段诋毁、排挤其他供应商。</w:t>
      </w:r>
    </w:p>
    <w:p w14:paraId="36300D75">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6、不在提供商品和服务时“偷梁换柱、以次充好”损害采购人的合法权益。</w:t>
      </w:r>
    </w:p>
    <w:p w14:paraId="497C927D">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7、不与采购人、采购代理机构政府采购评审专家或其它供应商恶意串通，进行质疑和投诉，维护政府采购市场秩序。</w:t>
      </w:r>
    </w:p>
    <w:p w14:paraId="6AFDD37C">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8、尊重和接受政府采购监督管理部门的监督和政府采购代理机构谈判采购要求，承担因违约行为给采购人造成的损失。</w:t>
      </w:r>
    </w:p>
    <w:p w14:paraId="56693F01">
      <w:pPr>
        <w:widowControl w:val="0"/>
        <w:spacing w:line="500" w:lineRule="exact"/>
        <w:ind w:firstLine="570" w:firstLineChars="200"/>
        <w:rPr>
          <w:rFonts w:ascii="仿宋" w:hAnsi="仿宋" w:eastAsia="仿宋" w:cs="仿宋"/>
          <w:color w:val="auto"/>
          <w:highlight w:val="none"/>
        </w:rPr>
      </w:pPr>
      <w:r>
        <w:rPr>
          <w:rFonts w:hint="eastAsia" w:ascii="仿宋" w:hAnsi="仿宋" w:eastAsia="仿宋" w:cs="仿宋"/>
          <w:color w:val="auto"/>
          <w:highlight w:val="none"/>
        </w:rPr>
        <w:t>9、不发生其他有悖于政府采购公开、公平、公正和诚信原则的行为。</w:t>
      </w:r>
    </w:p>
    <w:p w14:paraId="40845033">
      <w:pPr>
        <w:widowControl w:val="0"/>
        <w:spacing w:line="500" w:lineRule="exact"/>
        <w:rPr>
          <w:rFonts w:ascii="仿宋" w:hAnsi="仿宋" w:eastAsia="仿宋" w:cs="仿宋"/>
          <w:color w:val="auto"/>
          <w:highlight w:val="none"/>
        </w:rPr>
      </w:pPr>
    </w:p>
    <w:p w14:paraId="46C42727">
      <w:pPr>
        <w:widowControl w:val="0"/>
        <w:spacing w:line="500" w:lineRule="exact"/>
        <w:ind w:firstLine="5130" w:firstLineChars="1800"/>
        <w:rPr>
          <w:rFonts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3B4E95E0">
      <w:pPr>
        <w:widowControl w:val="0"/>
        <w:spacing w:line="500" w:lineRule="exact"/>
        <w:ind w:firstLine="570" w:firstLineChars="200"/>
        <w:jc w:val="center"/>
        <w:rPr>
          <w:rFonts w:ascii="仿宋" w:hAnsi="仿宋" w:eastAsia="仿宋" w:cs="仿宋"/>
          <w:color w:val="auto"/>
          <w:highlight w:val="none"/>
        </w:rPr>
      </w:pPr>
      <w:r>
        <w:rPr>
          <w:rFonts w:hint="eastAsia" w:ascii="仿宋" w:hAnsi="仿宋" w:eastAsia="仿宋" w:cs="仿宋"/>
          <w:color w:val="auto"/>
          <w:highlight w:val="none"/>
        </w:rPr>
        <w:t xml:space="preserve">                            日  期：　　年　月　日</w:t>
      </w:r>
    </w:p>
    <w:p w14:paraId="3A4EE6BF">
      <w:pPr>
        <w:pStyle w:val="60"/>
        <w:spacing w:line="500" w:lineRule="exact"/>
        <w:ind w:firstLine="330" w:firstLineChars="200"/>
        <w:rPr>
          <w:rFonts w:ascii="仿宋" w:hAnsi="仿宋" w:eastAsia="仿宋" w:cs="仿宋"/>
          <w:b/>
          <w:bCs/>
          <w:color w:val="auto"/>
          <w:sz w:val="28"/>
          <w:szCs w:val="28"/>
          <w:highlight w:val="none"/>
        </w:rPr>
      </w:pPr>
      <w:r>
        <w:rPr>
          <w:rFonts w:hint="eastAsia" w:ascii="仿宋" w:hAnsi="仿宋" w:eastAsia="仿宋" w:cs="仿宋"/>
          <w:color w:val="auto"/>
          <w:highlight w:val="none"/>
        </w:rPr>
        <w:br w:type="page"/>
      </w:r>
      <w:bookmarkStart w:id="308" w:name="_Toc11709"/>
      <w:bookmarkStart w:id="309" w:name="_Toc9339"/>
      <w:bookmarkStart w:id="310" w:name="_Toc24568"/>
      <w:bookmarkStart w:id="311" w:name="_Toc1596"/>
      <w:bookmarkStart w:id="312" w:name="_Toc15364"/>
      <w:bookmarkStart w:id="313" w:name="_Toc17794"/>
      <w:bookmarkStart w:id="314" w:name="_Toc29995"/>
      <w:bookmarkStart w:id="315" w:name="_Toc14522"/>
      <w:bookmarkStart w:id="316" w:name="_Toc11343"/>
      <w:bookmarkStart w:id="317" w:name="_Toc28398"/>
      <w:r>
        <w:rPr>
          <w:rFonts w:hint="eastAsia" w:ascii="仿宋" w:hAnsi="仿宋" w:eastAsia="仿宋" w:cs="仿宋"/>
          <w:b/>
          <w:bCs/>
          <w:color w:val="auto"/>
          <w:sz w:val="28"/>
          <w:szCs w:val="28"/>
          <w:highlight w:val="none"/>
        </w:rPr>
        <w:t>四、</w:t>
      </w:r>
      <w:bookmarkEnd w:id="308"/>
      <w:r>
        <w:rPr>
          <w:rFonts w:hint="eastAsia" w:ascii="仿宋" w:hAnsi="仿宋" w:eastAsia="仿宋" w:cs="仿宋"/>
          <w:b/>
          <w:bCs/>
          <w:color w:val="auto"/>
          <w:sz w:val="28"/>
          <w:szCs w:val="28"/>
          <w:highlight w:val="none"/>
        </w:rPr>
        <w:t>实质性条款响应</w:t>
      </w:r>
    </w:p>
    <w:p w14:paraId="4CDD03F1">
      <w:pPr>
        <w:tabs>
          <w:tab w:val="right" w:pos="9070"/>
        </w:tabs>
        <w:spacing w:line="500" w:lineRule="exact"/>
        <w:ind w:firstLine="570" w:firstLineChars="200"/>
        <w:rPr>
          <w:rFonts w:hint="eastAsia" w:ascii="仿宋" w:hAnsi="仿宋" w:eastAsia="仿宋" w:cs="仿宋"/>
          <w:color w:val="000000"/>
        </w:rPr>
      </w:pPr>
      <w:r>
        <w:rPr>
          <w:rFonts w:hint="eastAsia" w:ascii="仿宋" w:hAnsi="仿宋" w:eastAsia="仿宋" w:cs="仿宋"/>
          <w:color w:val="000000"/>
          <w:highlight w:val="none"/>
        </w:rPr>
        <w:t>（一）按照</w:t>
      </w:r>
      <w:r>
        <w:rPr>
          <w:rFonts w:hint="eastAsia" w:ascii="仿宋" w:hAnsi="仿宋" w:eastAsia="仿宋" w:cs="仿宋"/>
          <w:color w:val="000000"/>
          <w:highlight w:val="none"/>
          <w:lang w:val="en-US" w:eastAsia="zh-CN"/>
        </w:rPr>
        <w:t>谈判</w:t>
      </w:r>
      <w:r>
        <w:rPr>
          <w:rFonts w:hint="eastAsia" w:ascii="仿宋" w:hAnsi="仿宋" w:eastAsia="仿宋" w:cs="仿宋"/>
          <w:color w:val="000000"/>
          <w:highlight w:val="none"/>
        </w:rPr>
        <w:t>文件第三章“</w:t>
      </w:r>
      <w:r>
        <w:rPr>
          <w:rFonts w:hint="eastAsia" w:ascii="仿宋" w:hAnsi="仿宋" w:eastAsia="仿宋" w:cs="仿宋"/>
          <w:color w:val="000000"/>
          <w:highlight w:val="none"/>
          <w:lang w:val="en-US" w:eastAsia="zh-CN"/>
        </w:rPr>
        <w:t>采购</w:t>
      </w:r>
      <w:r>
        <w:rPr>
          <w:rFonts w:hint="eastAsia" w:ascii="仿宋" w:hAnsi="仿宋" w:eastAsia="仿宋" w:cs="仿宋"/>
          <w:color w:val="000000"/>
          <w:highlight w:val="none"/>
        </w:rPr>
        <w:t>内容及采购要求”中“★”内容要求，</w:t>
      </w:r>
      <w:r>
        <w:rPr>
          <w:rFonts w:hint="eastAsia" w:ascii="仿宋" w:hAnsi="仿宋" w:eastAsia="仿宋" w:cs="仿宋"/>
          <w:color w:val="000000"/>
          <w:highlight w:val="none"/>
          <w:lang w:val="en-US" w:eastAsia="zh-CN"/>
        </w:rPr>
        <w:t>如须</w:t>
      </w:r>
      <w:r>
        <w:rPr>
          <w:rFonts w:hint="eastAsia" w:ascii="仿宋" w:hAnsi="仿宋" w:eastAsia="仿宋" w:cs="仿宋"/>
          <w:color w:val="000000"/>
          <w:highlight w:val="none"/>
        </w:rPr>
        <w:t>提供相关承诺</w:t>
      </w:r>
      <w:r>
        <w:rPr>
          <w:rFonts w:hint="eastAsia" w:ascii="仿宋" w:hAnsi="仿宋" w:eastAsia="仿宋" w:cs="仿宋"/>
          <w:color w:val="000000"/>
        </w:rPr>
        <w:t>函</w:t>
      </w:r>
      <w:r>
        <w:rPr>
          <w:rFonts w:hint="eastAsia" w:ascii="仿宋" w:hAnsi="仿宋" w:eastAsia="仿宋" w:cs="仿宋"/>
          <w:color w:val="000000"/>
          <w:lang w:eastAsia="zh-CN"/>
        </w:rPr>
        <w:t>，</w:t>
      </w:r>
      <w:r>
        <w:rPr>
          <w:rFonts w:hint="eastAsia" w:ascii="仿宋" w:hAnsi="仿宋" w:eastAsia="仿宋" w:cs="仿宋"/>
          <w:color w:val="000000"/>
        </w:rPr>
        <w:t>供应商将承诺函附至此处。</w:t>
      </w:r>
    </w:p>
    <w:p w14:paraId="7D4066FF">
      <w:pPr>
        <w:widowControl w:val="0"/>
        <w:ind w:firstLine="430" w:firstLineChars="200"/>
        <w:rPr>
          <w:rFonts w:hint="eastAsia" w:ascii="宋体" w:hAnsi="宋体" w:eastAsia="宋体" w:cs="宋体"/>
          <w:color w:val="auto"/>
          <w:sz w:val="21"/>
          <w:szCs w:val="21"/>
        </w:rPr>
      </w:pPr>
    </w:p>
    <w:p w14:paraId="0862CD28">
      <w:pPr>
        <w:pStyle w:val="2"/>
        <w:spacing w:afterLines="0" w:line="500" w:lineRule="exact"/>
        <w:rPr>
          <w:rFonts w:hint="eastAsia" w:ascii="宋体" w:hAnsi="宋体" w:cs="宋体"/>
          <w:color w:val="auto"/>
        </w:rPr>
      </w:pPr>
    </w:p>
    <w:p w14:paraId="5335DAD2">
      <w:pPr>
        <w:tabs>
          <w:tab w:val="right" w:pos="9070"/>
        </w:tabs>
        <w:spacing w:afterLines="0" w:line="500" w:lineRule="exact"/>
        <w:ind w:firstLine="570" w:firstLineChars="200"/>
        <w:rPr>
          <w:rFonts w:hint="eastAsia" w:ascii="仿宋" w:hAnsi="仿宋" w:eastAsia="仿宋" w:cs="仿宋"/>
        </w:rPr>
      </w:pPr>
      <w:r>
        <w:rPr>
          <w:rFonts w:hint="eastAsia" w:ascii="仿宋" w:hAnsi="仿宋" w:eastAsia="仿宋" w:cs="仿宋"/>
        </w:rPr>
        <w:tab/>
      </w:r>
    </w:p>
    <w:p w14:paraId="43435B9B">
      <w:pPr>
        <w:tabs>
          <w:tab w:val="right" w:pos="9070"/>
        </w:tabs>
        <w:spacing w:afterLines="0" w:line="500" w:lineRule="exact"/>
        <w:ind w:firstLine="570" w:firstLineChars="200"/>
        <w:rPr>
          <w:rFonts w:hint="eastAsia" w:ascii="仿宋" w:hAnsi="仿宋" w:eastAsia="仿宋" w:cs="仿宋"/>
        </w:rPr>
      </w:pPr>
    </w:p>
    <w:p w14:paraId="48CD1AF0">
      <w:pPr>
        <w:pStyle w:val="2"/>
        <w:numPr>
          <w:ilvl w:val="-1"/>
          <w:numId w:val="0"/>
        </w:numPr>
        <w:spacing w:afterLines="0" w:line="500" w:lineRule="exact"/>
        <w:ind w:firstLine="570" w:firstLineChars="200"/>
        <w:rPr>
          <w:rFonts w:hint="eastAsia" w:ascii="仿宋" w:hAnsi="仿宋" w:eastAsia="仿宋" w:cs="仿宋"/>
          <w:color w:val="000000"/>
          <w:kern w:val="2"/>
          <w:sz w:val="28"/>
          <w:szCs w:val="28"/>
          <w:highlight w:val="none"/>
          <w:lang w:val="en-US" w:eastAsia="zh-CN" w:bidi="ar-SA"/>
        </w:rPr>
      </w:pPr>
      <w:r>
        <w:rPr>
          <w:rFonts w:hint="eastAsia" w:ascii="仿宋" w:hAnsi="仿宋" w:eastAsia="仿宋" w:cs="仿宋"/>
          <w:color w:val="000000"/>
          <w:kern w:val="2"/>
          <w:sz w:val="28"/>
          <w:szCs w:val="28"/>
          <w:highlight w:val="none"/>
          <w:lang w:val="en-US" w:eastAsia="zh-CN" w:bidi="ar-SA"/>
        </w:rPr>
        <w:t>（二）按照谈判文件第三章“采购内容及采购要求”中“★”内容要求，如须提供证书复印件等相关证明材料，供应商将证明材料附至此处。</w:t>
      </w:r>
    </w:p>
    <w:bookmarkEnd w:id="309"/>
    <w:bookmarkEnd w:id="310"/>
    <w:bookmarkEnd w:id="311"/>
    <w:bookmarkEnd w:id="312"/>
    <w:bookmarkEnd w:id="313"/>
    <w:bookmarkEnd w:id="314"/>
    <w:bookmarkEnd w:id="315"/>
    <w:bookmarkEnd w:id="316"/>
    <w:bookmarkEnd w:id="317"/>
    <w:p w14:paraId="06BF06A8">
      <w:pPr>
        <w:widowControl w:val="0"/>
        <w:ind w:firstLine="570" w:firstLineChars="200"/>
        <w:jc w:val="left"/>
        <w:rPr>
          <w:rFonts w:hint="eastAsia" w:ascii="仿宋" w:hAnsi="仿宋" w:eastAsia="仿宋" w:cs="仿宋"/>
          <w:bCs/>
          <w:color w:val="auto"/>
          <w:sz w:val="28"/>
          <w:szCs w:val="28"/>
          <w:highlight w:val="none"/>
        </w:rPr>
      </w:pPr>
    </w:p>
    <w:p w14:paraId="5B17B36F">
      <w:pPr>
        <w:widowControl w:val="0"/>
        <w:ind w:firstLine="570" w:firstLineChars="200"/>
        <w:jc w:val="left"/>
        <w:rPr>
          <w:rFonts w:hint="eastAsia" w:ascii="仿宋" w:hAnsi="仿宋" w:eastAsia="仿宋" w:cs="仿宋"/>
          <w:bCs/>
          <w:color w:val="auto"/>
          <w:sz w:val="28"/>
          <w:szCs w:val="28"/>
          <w:highlight w:val="none"/>
        </w:rPr>
      </w:pPr>
    </w:p>
    <w:p w14:paraId="2E508B94">
      <w:pPr>
        <w:widowControl w:val="0"/>
        <w:ind w:firstLine="570" w:firstLineChars="200"/>
        <w:jc w:val="left"/>
        <w:rPr>
          <w:rFonts w:hint="eastAsia" w:ascii="仿宋" w:hAnsi="仿宋" w:eastAsia="仿宋" w:cs="仿宋"/>
          <w:bCs/>
          <w:color w:val="auto"/>
          <w:sz w:val="28"/>
          <w:szCs w:val="28"/>
          <w:highlight w:val="none"/>
        </w:rPr>
      </w:pPr>
    </w:p>
    <w:p w14:paraId="3C405DB1">
      <w:pPr>
        <w:widowControl w:val="0"/>
        <w:ind w:firstLine="570" w:firstLineChars="200"/>
        <w:jc w:val="left"/>
        <w:rPr>
          <w:rFonts w:hint="eastAsia" w:ascii="仿宋" w:hAnsi="仿宋" w:eastAsia="仿宋" w:cs="仿宋"/>
          <w:bCs/>
          <w:color w:val="auto"/>
          <w:sz w:val="28"/>
          <w:szCs w:val="28"/>
          <w:highlight w:val="none"/>
        </w:rPr>
      </w:pPr>
    </w:p>
    <w:p w14:paraId="14CAF8D4">
      <w:pPr>
        <w:widowControl w:val="0"/>
        <w:ind w:firstLine="570" w:firstLineChars="200"/>
        <w:jc w:val="left"/>
        <w:rPr>
          <w:rFonts w:hint="eastAsia" w:ascii="仿宋" w:hAnsi="仿宋" w:eastAsia="仿宋" w:cs="仿宋"/>
          <w:bCs/>
          <w:color w:val="auto"/>
          <w:sz w:val="28"/>
          <w:szCs w:val="28"/>
          <w:highlight w:val="none"/>
        </w:rPr>
      </w:pPr>
    </w:p>
    <w:p w14:paraId="39E60641">
      <w:pPr>
        <w:pStyle w:val="2"/>
        <w:spacing w:afterLines="0" w:line="500" w:lineRule="exact"/>
        <w:ind w:firstLine="5415" w:firstLineChars="1900"/>
        <w:jc w:val="right"/>
        <w:rPr>
          <w:rFonts w:hint="eastAsia" w:ascii="仿宋" w:hAnsi="仿宋" w:eastAsia="仿宋" w:cs="仿宋"/>
          <w:color w:val="auto"/>
          <w:sz w:val="28"/>
        </w:rPr>
      </w:pPr>
      <w:r>
        <w:rPr>
          <w:rFonts w:hint="eastAsia" w:ascii="仿宋" w:hAnsi="仿宋" w:eastAsia="仿宋" w:cs="仿宋"/>
          <w:color w:val="auto"/>
          <w:sz w:val="28"/>
        </w:rPr>
        <w:t>供应商：</w:t>
      </w:r>
      <w:r>
        <w:rPr>
          <w:rFonts w:hint="eastAsia" w:ascii="仿宋" w:hAnsi="仿宋" w:eastAsia="仿宋" w:cs="仿宋"/>
          <w:color w:val="auto"/>
          <w:sz w:val="28"/>
          <w:u w:val="single"/>
        </w:rPr>
        <w:t>名称</w:t>
      </w:r>
      <w:r>
        <w:rPr>
          <w:rFonts w:hint="eastAsia" w:ascii="仿宋" w:hAnsi="仿宋" w:eastAsia="仿宋" w:cs="仿宋"/>
          <w:color w:val="auto"/>
          <w:sz w:val="28"/>
        </w:rPr>
        <w:t>（加盖公章）</w:t>
      </w:r>
    </w:p>
    <w:p w14:paraId="7FC73DFA">
      <w:pPr>
        <w:widowControl w:val="0"/>
        <w:ind w:firstLine="570" w:firstLineChars="200"/>
        <w:jc w:val="left"/>
        <w:rPr>
          <w:rFonts w:ascii="仿宋" w:hAnsi="仿宋" w:eastAsia="仿宋" w:cs="仿宋"/>
          <w:b/>
          <w:bCs/>
          <w:color w:val="auto"/>
          <w:kern w:val="0"/>
          <w:sz w:val="28"/>
          <w:szCs w:val="28"/>
          <w:highlight w:val="none"/>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日期：　年　月　日</w:t>
      </w:r>
      <w:r>
        <w:rPr>
          <w:rFonts w:hint="eastAsia" w:ascii="仿宋" w:hAnsi="仿宋" w:eastAsia="仿宋" w:cs="仿宋"/>
          <w:b/>
          <w:color w:val="auto"/>
          <w:highlight w:val="none"/>
        </w:rPr>
        <w:br w:type="page"/>
      </w:r>
      <w:r>
        <w:rPr>
          <w:rFonts w:hint="eastAsia" w:ascii="仿宋" w:hAnsi="仿宋" w:eastAsia="仿宋" w:cs="仿宋"/>
          <w:b/>
          <w:color w:val="auto"/>
          <w:highlight w:val="none"/>
          <w:lang w:val="en-US" w:eastAsia="zh-CN"/>
        </w:rPr>
        <w:t xml:space="preserve">    </w:t>
      </w:r>
      <w:r>
        <w:rPr>
          <w:rFonts w:hint="eastAsia" w:ascii="仿宋" w:hAnsi="仿宋" w:eastAsia="仿宋" w:cs="仿宋"/>
          <w:b/>
          <w:color w:val="auto"/>
          <w:sz w:val="28"/>
          <w:szCs w:val="28"/>
          <w:highlight w:val="none"/>
        </w:rPr>
        <w:t>五</w:t>
      </w:r>
      <w:r>
        <w:rPr>
          <w:rFonts w:hint="eastAsia" w:ascii="仿宋" w:hAnsi="仿宋" w:eastAsia="仿宋" w:cs="仿宋"/>
          <w:b/>
          <w:bCs/>
          <w:color w:val="auto"/>
          <w:kern w:val="0"/>
          <w:sz w:val="28"/>
          <w:szCs w:val="28"/>
          <w:highlight w:val="none"/>
        </w:rPr>
        <w:t>、合同草案条款响应</w:t>
      </w:r>
    </w:p>
    <w:p w14:paraId="22BF5A86">
      <w:pPr>
        <w:spacing w:line="500" w:lineRule="exact"/>
        <w:ind w:firstLine="570" w:firstLineChars="200"/>
        <w:rPr>
          <w:rFonts w:hint="eastAsia" w:ascii="仿宋" w:hAnsi="仿宋" w:eastAsia="仿宋" w:cs="仿宋"/>
          <w:bCs/>
          <w:color w:val="auto"/>
          <w:highlight w:val="none"/>
        </w:rPr>
      </w:pPr>
      <w:r>
        <w:rPr>
          <w:rFonts w:hint="eastAsia" w:ascii="仿宋" w:hAnsi="仿宋" w:eastAsia="仿宋" w:cs="仿宋"/>
          <w:bCs/>
          <w:color w:val="auto"/>
          <w:highlight w:val="none"/>
        </w:rPr>
        <w:t>完全理解并接受谈判文件中“合同草案条款”要求。</w:t>
      </w:r>
    </w:p>
    <w:p w14:paraId="5AC72A72">
      <w:pPr>
        <w:pStyle w:val="26"/>
        <w:spacing w:after="190"/>
        <w:ind w:firstLine="186"/>
        <w:rPr>
          <w:rFonts w:hint="eastAsia" w:ascii="仿宋" w:hAnsi="仿宋" w:eastAsia="仿宋" w:cs="仿宋"/>
          <w:sz w:val="28"/>
          <w:szCs w:val="28"/>
          <w:highlight w:val="none"/>
        </w:rPr>
      </w:pPr>
    </w:p>
    <w:p w14:paraId="49F0F4FB">
      <w:pPr>
        <w:spacing w:line="500" w:lineRule="exact"/>
        <w:ind w:firstLine="4560" w:firstLineChars="1600"/>
        <w:rPr>
          <w:rFonts w:hint="eastAsia" w:ascii="仿宋" w:hAnsi="仿宋" w:eastAsia="仿宋" w:cs="仿宋"/>
          <w:color w:val="auto"/>
          <w:highlight w:val="none"/>
        </w:rPr>
      </w:pPr>
      <w:r>
        <w:rPr>
          <w:rFonts w:hint="eastAsia" w:ascii="仿宋" w:hAnsi="仿宋" w:eastAsia="仿宋" w:cs="仿宋"/>
          <w:color w:val="auto"/>
          <w:highlight w:val="none"/>
        </w:rPr>
        <w:t>供应商：</w:t>
      </w:r>
      <w:r>
        <w:rPr>
          <w:rFonts w:hint="eastAsia" w:ascii="仿宋" w:hAnsi="仿宋" w:eastAsia="仿宋" w:cs="仿宋"/>
          <w:color w:val="auto"/>
          <w:highlight w:val="none"/>
          <w:u w:val="single"/>
        </w:rPr>
        <w:t>名称</w:t>
      </w:r>
      <w:r>
        <w:rPr>
          <w:rFonts w:hint="eastAsia" w:ascii="仿宋" w:hAnsi="仿宋" w:eastAsia="仿宋" w:cs="仿宋"/>
          <w:color w:val="auto"/>
          <w:highlight w:val="none"/>
        </w:rPr>
        <w:t>（加盖公章）</w:t>
      </w:r>
    </w:p>
    <w:p w14:paraId="546A372E">
      <w:pPr>
        <w:spacing w:line="500" w:lineRule="exact"/>
        <w:ind w:firstLine="4560" w:firstLineChars="1600"/>
        <w:rPr>
          <w:rFonts w:hint="eastAsia" w:ascii="仿宋" w:hAnsi="仿宋" w:eastAsia="仿宋" w:cs="仿宋"/>
          <w:color w:val="auto"/>
          <w:highlight w:val="none"/>
        </w:rPr>
      </w:pPr>
      <w:r>
        <w:rPr>
          <w:rFonts w:hint="eastAsia" w:ascii="仿宋" w:hAnsi="仿宋" w:eastAsia="仿宋" w:cs="仿宋"/>
          <w:color w:val="auto"/>
          <w:highlight w:val="none"/>
        </w:rPr>
        <w:t>日  期：　　年　月　日</w:t>
      </w:r>
    </w:p>
    <w:p w14:paraId="231662DE">
      <w:pPr>
        <w:pStyle w:val="55"/>
        <w:numPr>
          <w:ilvl w:val="-1"/>
          <w:numId w:val="0"/>
        </w:numPr>
        <w:ind w:left="0" w:firstLine="0"/>
        <w:outlineLvl w:val="1"/>
        <w:rPr>
          <w:rStyle w:val="61"/>
          <w:rFonts w:hint="eastAsia" w:ascii="仿宋" w:hAnsi="仿宋" w:eastAsia="仿宋" w:cs="仿宋"/>
          <w:b w:val="0"/>
          <w:bCs w:val="0"/>
          <w:color w:val="auto"/>
          <w:sz w:val="32"/>
          <w:szCs w:val="32"/>
          <w:highlight w:val="none"/>
        </w:rPr>
      </w:pPr>
      <w:r>
        <w:rPr>
          <w:rStyle w:val="61"/>
          <w:rFonts w:hint="eastAsia" w:ascii="仿宋" w:hAnsi="仿宋" w:eastAsia="仿宋" w:cs="仿宋"/>
          <w:b w:val="0"/>
          <w:bCs w:val="0"/>
          <w:color w:val="auto"/>
          <w:sz w:val="32"/>
          <w:szCs w:val="32"/>
          <w:highlight w:val="none"/>
        </w:rPr>
        <w:br w:type="page"/>
      </w:r>
      <w:bookmarkStart w:id="318" w:name="_Toc21575"/>
      <w:r>
        <w:rPr>
          <w:rStyle w:val="61"/>
          <w:rFonts w:hint="eastAsia" w:ascii="仿宋" w:hAnsi="仿宋" w:eastAsia="仿宋" w:cs="仿宋"/>
          <w:b/>
          <w:bCs/>
          <w:color w:val="auto"/>
          <w:sz w:val="32"/>
          <w:szCs w:val="32"/>
          <w:highlight w:val="none"/>
          <w:lang w:val="en-US" w:eastAsia="zh-CN"/>
        </w:rPr>
        <w:t xml:space="preserve">第三部分  </w:t>
      </w:r>
      <w:bookmarkStart w:id="319" w:name="_Toc2201"/>
      <w:bookmarkStart w:id="320" w:name="_Toc9770"/>
      <w:r>
        <w:rPr>
          <w:rStyle w:val="61"/>
          <w:rFonts w:hint="eastAsia" w:ascii="仿宋" w:hAnsi="仿宋" w:eastAsia="仿宋" w:cs="仿宋"/>
          <w:b/>
          <w:bCs/>
          <w:color w:val="auto"/>
          <w:sz w:val="32"/>
          <w:szCs w:val="32"/>
          <w:highlight w:val="none"/>
        </w:rPr>
        <w:t>响应方案</w:t>
      </w:r>
      <w:bookmarkEnd w:id="319"/>
      <w:bookmarkEnd w:id="320"/>
    </w:p>
    <w:bookmarkEnd w:id="318"/>
    <w:p w14:paraId="5C1EFEE6">
      <w:pPr>
        <w:pStyle w:val="55"/>
        <w:numPr>
          <w:ilvl w:val="-1"/>
          <w:numId w:val="0"/>
        </w:numPr>
        <w:spacing w:line="500" w:lineRule="exact"/>
        <w:ind w:firstLine="570" w:firstLineChars="200"/>
        <w:jc w:val="left"/>
        <w:outlineLvl w:val="2"/>
        <w:rPr>
          <w:rFonts w:hint="eastAsia" w:ascii="仿宋" w:hAnsi="仿宋" w:eastAsia="仿宋" w:cs="仿宋"/>
          <w:color w:val="auto"/>
          <w:sz w:val="28"/>
          <w:szCs w:val="28"/>
          <w:highlight w:val="none"/>
          <w:lang w:eastAsia="zh-CN"/>
        </w:rPr>
      </w:pPr>
      <w:bookmarkStart w:id="321" w:name="_Toc17089"/>
      <w:r>
        <w:rPr>
          <w:rFonts w:hint="eastAsia" w:ascii="仿宋" w:hAnsi="仿宋" w:eastAsia="仿宋" w:cs="仿宋"/>
          <w:color w:val="auto"/>
          <w:sz w:val="28"/>
          <w:szCs w:val="28"/>
          <w:highlight w:val="none"/>
          <w:lang w:val="en-US" w:eastAsia="zh-CN"/>
        </w:rPr>
        <w:t>一、</w:t>
      </w:r>
      <w:bookmarkEnd w:id="321"/>
      <w:r>
        <w:rPr>
          <w:rFonts w:hint="eastAsia" w:ascii="仿宋" w:hAnsi="仿宋" w:eastAsia="仿宋" w:cs="仿宋"/>
          <w:color w:val="auto"/>
          <w:sz w:val="28"/>
          <w:szCs w:val="28"/>
          <w:highlight w:val="none"/>
          <w:lang w:eastAsia="zh-CN"/>
        </w:rPr>
        <w:t>对本国产品的支持政策</w:t>
      </w:r>
    </w:p>
    <w:p w14:paraId="6E7A49B2">
      <w:pPr>
        <w:shd w:val="clear"/>
        <w:spacing w:before="190" w:beforeLines="50" w:line="500" w:lineRule="exact"/>
        <w:ind w:firstLine="0" w:firstLineChars="0"/>
        <w:jc w:val="center"/>
        <w:rPr>
          <w:rFonts w:hint="eastAsia" w:ascii="仿宋" w:hAnsi="仿宋" w:eastAsia="仿宋" w:cs="仿宋"/>
          <w:b/>
          <w:color w:val="auto"/>
          <w:kern w:val="0"/>
          <w:highlight w:val="none"/>
        </w:rPr>
      </w:pPr>
      <w:r>
        <w:rPr>
          <w:rFonts w:hint="eastAsia" w:ascii="仿宋" w:hAnsi="仿宋" w:eastAsia="仿宋" w:cs="仿宋"/>
          <w:b/>
          <w:color w:val="auto"/>
          <w:kern w:val="0"/>
          <w:highlight w:val="none"/>
        </w:rPr>
        <w:t>关于符合本国产品标准的声明函</w:t>
      </w:r>
    </w:p>
    <w:p w14:paraId="7576411D">
      <w:pPr>
        <w:shd w:val="clear"/>
        <w:spacing w:line="500" w:lineRule="exact"/>
        <w:ind w:firstLine="57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本公司（单位）郑重声明，根据《国务院办公厅关于在政府采购中实施本国产品标准及相关政策的通知》（国办发〔2025〕34号）的规定，本公司（单位）</w:t>
      </w:r>
      <w:r>
        <w:rPr>
          <w:rFonts w:hint="eastAsia" w:ascii="仿宋" w:hAnsi="仿宋" w:eastAsia="仿宋" w:cs="仿宋"/>
          <w:i w:val="0"/>
          <w:iCs w:val="0"/>
          <w:caps w:val="0"/>
          <w:color w:val="auto"/>
          <w:spacing w:val="0"/>
          <w:sz w:val="28"/>
          <w:szCs w:val="28"/>
          <w:highlight w:val="none"/>
        </w:rPr>
        <w:t>参与</w:t>
      </w:r>
      <w:r>
        <w:rPr>
          <w:rFonts w:hint="eastAsia" w:ascii="仿宋" w:hAnsi="仿宋" w:eastAsia="仿宋" w:cs="仿宋"/>
          <w:i w:val="0"/>
          <w:iCs w:val="0"/>
          <w:caps w:val="0"/>
          <w:color w:val="auto"/>
          <w:spacing w:val="0"/>
          <w:sz w:val="28"/>
          <w:szCs w:val="28"/>
          <w:highlight w:val="none"/>
          <w:lang w:eastAsia="zh-CN"/>
        </w:rPr>
        <w:t>的</w:t>
      </w:r>
      <w:r>
        <w:rPr>
          <w:rFonts w:hint="eastAsia" w:ascii="仿宋" w:hAnsi="仿宋" w:eastAsia="仿宋" w:cs="仿宋"/>
          <w:i w:val="0"/>
          <w:iCs w:val="0"/>
          <w:caps w:val="0"/>
          <w:color w:val="auto"/>
          <w:spacing w:val="0"/>
          <w:sz w:val="28"/>
          <w:szCs w:val="28"/>
          <w:highlight w:val="none"/>
          <w:u w:val="single"/>
          <w:lang w:val="en-US" w:eastAsia="zh-CN"/>
        </w:rPr>
        <w:t xml:space="preserve">  </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u w:val="single"/>
          <w:lang w:val="en-US" w:eastAsia="zh-CN"/>
        </w:rPr>
        <w:t xml:space="preserve">  </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）第</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标段</w:t>
      </w:r>
      <w:r>
        <w:rPr>
          <w:rFonts w:hint="eastAsia" w:ascii="仿宋" w:hAnsi="仿宋" w:eastAsia="仿宋" w:cs="仿宋"/>
          <w:i w:val="0"/>
          <w:iCs w:val="0"/>
          <w:caps w:val="0"/>
          <w:color w:val="auto"/>
          <w:spacing w:val="0"/>
          <w:sz w:val="28"/>
          <w:szCs w:val="28"/>
          <w:highlight w:val="none"/>
        </w:rPr>
        <w:t>采购项目，</w:t>
      </w:r>
      <w:r>
        <w:rPr>
          <w:rFonts w:hint="eastAsia" w:ascii="仿宋" w:hAnsi="仿宋" w:eastAsia="仿宋" w:cs="仿宋"/>
          <w:color w:val="auto"/>
          <w:highlight w:val="none"/>
        </w:rPr>
        <w:t>提供的以下产品属于本国产品。具体情况如下：</w:t>
      </w:r>
    </w:p>
    <w:p w14:paraId="67E832CB">
      <w:pPr>
        <w:numPr>
          <w:ilvl w:val="-1"/>
          <w:numId w:val="0"/>
        </w:numPr>
        <w:shd w:val="clear"/>
        <w:spacing w:line="500" w:lineRule="exact"/>
        <w:ind w:firstLine="570" w:firstLineChars="200"/>
        <w:jc w:val="left"/>
        <w:rPr>
          <w:rFonts w:hint="eastAsia" w:ascii="仿宋" w:hAnsi="仿宋" w:eastAsia="仿宋" w:cs="仿宋"/>
          <w:color w:val="auto"/>
          <w:highlight w:val="none"/>
        </w:rPr>
      </w:pPr>
      <w:r>
        <w:rPr>
          <w:rFonts w:hint="eastAsia" w:ascii="仿宋" w:hAnsi="仿宋" w:eastAsia="仿宋" w:cs="仿宋"/>
          <w:color w:val="auto"/>
          <w:highlight w:val="none"/>
          <w:u w:val="single"/>
          <w:lang w:val="en-US" w:eastAsia="zh-CN"/>
        </w:rPr>
        <w:t>1.</w:t>
      </w:r>
      <w:r>
        <w:rPr>
          <w:rFonts w:hint="eastAsia" w:ascii="仿宋" w:hAnsi="仿宋" w:eastAsia="仿宋" w:cs="仿宋"/>
          <w:color w:val="auto"/>
          <w:highlight w:val="none"/>
          <w:u w:val="single"/>
        </w:rPr>
        <w:t>（产品名称1）</w:t>
      </w:r>
      <w:r>
        <w:rPr>
          <w:rFonts w:hint="eastAsia" w:ascii="仿宋" w:hAnsi="仿宋" w:eastAsia="仿宋" w:cs="仿宋"/>
          <w:color w:val="auto"/>
          <w:highlight w:val="none"/>
        </w:rPr>
        <w:t>，生产厂为</w:t>
      </w:r>
      <w:r>
        <w:rPr>
          <w:rFonts w:hint="eastAsia" w:ascii="仿宋" w:hAnsi="仿宋" w:eastAsia="仿宋" w:cs="仿宋"/>
          <w:color w:val="auto"/>
          <w:highlight w:val="none"/>
          <w:u w:val="single"/>
        </w:rPr>
        <w:t>（厂名）</w:t>
      </w:r>
      <w:r>
        <w:rPr>
          <w:rFonts w:hint="eastAsia" w:ascii="仿宋" w:hAnsi="仿宋" w:eastAsia="仿宋" w:cs="仿宋"/>
          <w:color w:val="auto"/>
          <w:highlight w:val="none"/>
        </w:rPr>
        <w:t>，厂址为</w:t>
      </w:r>
      <w:r>
        <w:rPr>
          <w:rFonts w:hint="eastAsia" w:ascii="仿宋" w:hAnsi="仿宋" w:eastAsia="仿宋" w:cs="仿宋"/>
          <w:color w:val="auto"/>
          <w:highlight w:val="none"/>
          <w:u w:val="single"/>
        </w:rPr>
        <w:t>（生产厂址）</w:t>
      </w:r>
      <w:r>
        <w:rPr>
          <w:rFonts w:hint="eastAsia" w:ascii="仿宋" w:hAnsi="仿宋" w:eastAsia="仿宋" w:cs="仿宋"/>
          <w:color w:val="auto"/>
          <w:highlight w:val="none"/>
        </w:rPr>
        <w:t>。</w:t>
      </w:r>
    </w:p>
    <w:p w14:paraId="3BFCBD05">
      <w:pPr>
        <w:numPr>
          <w:ilvl w:val="-1"/>
          <w:numId w:val="0"/>
        </w:numPr>
        <w:shd w:val="clear"/>
        <w:spacing w:line="500" w:lineRule="exact"/>
        <w:ind w:firstLine="57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2.</w:t>
      </w:r>
      <w:r>
        <w:rPr>
          <w:rFonts w:hint="eastAsia" w:ascii="仿宋" w:hAnsi="仿宋" w:eastAsia="仿宋" w:cs="仿宋"/>
          <w:color w:val="auto"/>
          <w:highlight w:val="none"/>
          <w:u w:val="single"/>
        </w:rPr>
        <w:t>（产品名称2）</w:t>
      </w:r>
      <w:r>
        <w:rPr>
          <w:rFonts w:hint="eastAsia" w:ascii="仿宋" w:hAnsi="仿宋" w:eastAsia="仿宋" w:cs="仿宋"/>
          <w:color w:val="auto"/>
          <w:highlight w:val="none"/>
        </w:rPr>
        <w:t>，生产厂为</w:t>
      </w:r>
      <w:r>
        <w:rPr>
          <w:rFonts w:hint="eastAsia" w:ascii="仿宋" w:hAnsi="仿宋" w:eastAsia="仿宋" w:cs="仿宋"/>
          <w:color w:val="auto"/>
          <w:highlight w:val="none"/>
          <w:u w:val="single"/>
        </w:rPr>
        <w:t>（厂名）</w:t>
      </w:r>
      <w:r>
        <w:rPr>
          <w:rFonts w:hint="eastAsia" w:ascii="仿宋" w:hAnsi="仿宋" w:eastAsia="仿宋" w:cs="仿宋"/>
          <w:color w:val="auto"/>
          <w:highlight w:val="none"/>
        </w:rPr>
        <w:t>，厂址为</w:t>
      </w:r>
      <w:r>
        <w:rPr>
          <w:rFonts w:hint="eastAsia" w:ascii="仿宋" w:hAnsi="仿宋" w:eastAsia="仿宋" w:cs="仿宋"/>
          <w:color w:val="auto"/>
          <w:highlight w:val="none"/>
          <w:u w:val="single"/>
        </w:rPr>
        <w:t>（生产厂址）</w:t>
      </w:r>
      <w:r>
        <w:rPr>
          <w:rFonts w:hint="eastAsia" w:ascii="仿宋" w:hAnsi="仿宋" w:eastAsia="仿宋" w:cs="仿宋"/>
          <w:color w:val="auto"/>
          <w:highlight w:val="none"/>
        </w:rPr>
        <w:t>。</w:t>
      </w:r>
    </w:p>
    <w:p w14:paraId="42D3E466">
      <w:pPr>
        <w:shd w:val="clear"/>
        <w:spacing w:line="500" w:lineRule="exact"/>
        <w:ind w:firstLine="57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w:t>
      </w:r>
    </w:p>
    <w:p w14:paraId="3C796D7A">
      <w:pPr>
        <w:shd w:val="clear"/>
        <w:wordWrap w:val="0"/>
        <w:spacing w:afterLines="0" w:line="500" w:lineRule="exact"/>
        <w:ind w:firstLine="570" w:firstLineChars="200"/>
        <w:rPr>
          <w:rFonts w:hint="eastAsia" w:ascii="仿宋" w:hAnsi="仿宋" w:eastAsia="仿宋" w:cs="仿宋"/>
          <w:i w:val="0"/>
          <w:iCs w:val="0"/>
          <w:caps w:val="0"/>
          <w:color w:val="auto"/>
          <w:spacing w:val="0"/>
          <w:sz w:val="28"/>
          <w:szCs w:val="28"/>
          <w:highlight w:val="none"/>
          <w:lang w:eastAsia="zh-CN"/>
        </w:rPr>
      </w:pPr>
      <w:r>
        <w:rPr>
          <w:rFonts w:hint="eastAsia" w:ascii="仿宋" w:hAnsi="仿宋" w:eastAsia="仿宋" w:cs="仿宋"/>
          <w:color w:val="auto"/>
          <w:sz w:val="28"/>
          <w:szCs w:val="28"/>
          <w:highlight w:val="none"/>
          <w:lang w:eastAsia="zh-CN"/>
        </w:rPr>
        <w:t>当采购项目或者</w:t>
      </w:r>
      <w:r>
        <w:rPr>
          <w:rFonts w:hint="eastAsia" w:ascii="仿宋" w:hAnsi="仿宋" w:eastAsia="仿宋" w:cs="仿宋"/>
          <w:color w:val="auto"/>
          <w:sz w:val="28"/>
          <w:szCs w:val="28"/>
          <w:highlight w:val="none"/>
          <w:lang w:val="en-US" w:eastAsia="zh-CN"/>
        </w:rPr>
        <w:t>标段</w:t>
      </w:r>
      <w:r>
        <w:rPr>
          <w:rFonts w:hint="eastAsia" w:ascii="仿宋" w:hAnsi="仿宋" w:eastAsia="仿宋" w:cs="仿宋"/>
          <w:color w:val="auto"/>
          <w:sz w:val="28"/>
          <w:szCs w:val="28"/>
          <w:highlight w:val="none"/>
          <w:lang w:eastAsia="zh-CN"/>
        </w:rPr>
        <w:t>中含有多种产品，</w:t>
      </w:r>
      <w:r>
        <w:rPr>
          <w:rFonts w:hint="eastAsia" w:ascii="仿宋" w:hAnsi="仿宋" w:eastAsia="仿宋" w:cs="仿宋"/>
          <w:color w:val="auto"/>
          <w:highlight w:val="none"/>
          <w:lang w:val="en-US" w:eastAsia="zh-CN"/>
        </w:rPr>
        <w:t>本公司</w:t>
      </w:r>
      <w:r>
        <w:rPr>
          <w:rFonts w:hint="eastAsia" w:ascii="仿宋" w:hAnsi="仿宋" w:eastAsia="仿宋" w:cs="仿宋"/>
          <w:color w:val="auto"/>
          <w:highlight w:val="none"/>
        </w:rPr>
        <w:t>（单位）</w:t>
      </w:r>
      <w:r>
        <w:rPr>
          <w:rFonts w:hint="eastAsia" w:ascii="仿宋" w:hAnsi="仿宋" w:eastAsia="仿宋" w:cs="仿宋"/>
          <w:color w:val="auto"/>
          <w:highlight w:val="none"/>
          <w:lang w:eastAsia="zh-CN"/>
        </w:rPr>
        <w:t>提供的符合</w:t>
      </w:r>
      <w:r>
        <w:rPr>
          <w:rFonts w:hint="eastAsia" w:ascii="仿宋" w:hAnsi="仿宋" w:eastAsia="仿宋" w:cs="仿宋"/>
          <w:i w:val="0"/>
          <w:iCs w:val="0"/>
          <w:caps w:val="0"/>
          <w:color w:val="auto"/>
          <w:spacing w:val="0"/>
          <w:sz w:val="28"/>
          <w:szCs w:val="28"/>
          <w:highlight w:val="none"/>
        </w:rPr>
        <w:t>本国产品标准的产品成本之和占所提供全部产品成本之和的比例</w:t>
      </w:r>
      <w:r>
        <w:rPr>
          <w:rFonts w:hint="eastAsia" w:ascii="仿宋" w:hAnsi="仿宋" w:eastAsia="仿宋" w:cs="仿宋"/>
          <w:color w:val="auto"/>
          <w:highlight w:val="none"/>
          <w:lang w:val="en-US" w:eastAsia="zh-CN"/>
        </w:rPr>
        <w:t>≥80%。</w:t>
      </w:r>
    </w:p>
    <w:p w14:paraId="68719CCF">
      <w:pPr>
        <w:shd w:val="clear"/>
        <w:spacing w:line="500" w:lineRule="exact"/>
        <w:ind w:firstLine="570" w:firstLineChars="200"/>
        <w:jc w:val="left"/>
        <w:rPr>
          <w:rFonts w:hint="eastAsia" w:ascii="仿宋" w:hAnsi="仿宋" w:eastAsia="仿宋" w:cs="仿宋"/>
          <w:color w:val="auto"/>
          <w:highlight w:val="none"/>
        </w:rPr>
      </w:pPr>
      <w:r>
        <w:rPr>
          <w:rFonts w:hint="eastAsia" w:ascii="仿宋" w:hAnsi="仿宋" w:eastAsia="仿宋" w:cs="仿宋"/>
          <w:color w:val="auto"/>
          <w:highlight w:val="none"/>
        </w:rPr>
        <w:t>本公司（单位）对上述声明内容的真实性负责。如有虚假，愿承担相应法律责任。</w:t>
      </w:r>
    </w:p>
    <w:p w14:paraId="1BD578BF">
      <w:pPr>
        <w:shd w:val="clear"/>
        <w:spacing w:line="500" w:lineRule="exact"/>
        <w:ind w:firstLine="570" w:firstLineChars="200"/>
        <w:jc w:val="left"/>
        <w:rPr>
          <w:rFonts w:hint="eastAsia" w:ascii="仿宋" w:hAnsi="仿宋" w:eastAsia="仿宋" w:cs="仿宋"/>
          <w:color w:val="auto"/>
          <w:highlight w:val="none"/>
        </w:rPr>
      </w:pPr>
    </w:p>
    <w:p w14:paraId="1B336614">
      <w:pPr>
        <w:shd w:val="clear"/>
        <w:spacing w:line="500" w:lineRule="exact"/>
        <w:ind w:firstLine="570" w:firstLineChars="200"/>
        <w:jc w:val="righ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lang w:eastAsia="zh-CN"/>
        </w:rPr>
        <w:t>：</w:t>
      </w:r>
      <w:r>
        <w:rPr>
          <w:rFonts w:hint="eastAsia" w:ascii="仿宋" w:hAnsi="仿宋" w:eastAsia="仿宋" w:cs="仿宋"/>
          <w:color w:val="auto"/>
          <w:highlight w:val="none"/>
        </w:rPr>
        <w:t>名称（盖章）</w:t>
      </w:r>
    </w:p>
    <w:p w14:paraId="59628749">
      <w:pPr>
        <w:shd w:val="clear"/>
        <w:spacing w:line="500" w:lineRule="exact"/>
        <w:ind w:firstLine="570" w:firstLineChars="200"/>
        <w:jc w:val="right"/>
        <w:rPr>
          <w:rFonts w:hint="eastAsia" w:ascii="仿宋" w:hAnsi="仿宋" w:eastAsia="仿宋" w:cs="仿宋"/>
          <w:color w:val="auto"/>
          <w:highlight w:val="none"/>
        </w:rPr>
      </w:pPr>
      <w:r>
        <w:rPr>
          <w:rFonts w:hint="eastAsia" w:ascii="仿宋" w:hAnsi="仿宋" w:eastAsia="仿宋" w:cs="仿宋"/>
          <w:color w:val="auto"/>
          <w:highlight w:val="none"/>
        </w:rPr>
        <w:t>日期：</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年</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月</w:t>
      </w:r>
      <w:r>
        <w:rPr>
          <w:rFonts w:hint="eastAsia" w:ascii="仿宋" w:hAnsi="仿宋" w:eastAsia="仿宋" w:cs="仿宋"/>
          <w:color w:val="auto"/>
          <w:highlight w:val="none"/>
          <w:lang w:val="en-US" w:eastAsia="zh-CN"/>
        </w:rPr>
        <w:t xml:space="preserve">  </w:t>
      </w:r>
      <w:r>
        <w:rPr>
          <w:rFonts w:hint="eastAsia" w:ascii="仿宋" w:hAnsi="仿宋" w:eastAsia="仿宋" w:cs="仿宋"/>
          <w:color w:val="auto"/>
          <w:highlight w:val="none"/>
        </w:rPr>
        <w:t>日</w:t>
      </w:r>
    </w:p>
    <w:p w14:paraId="0CC9646D">
      <w:pPr>
        <w:shd w:val="clear"/>
        <w:tabs>
          <w:tab w:val="left" w:pos="5670"/>
        </w:tabs>
        <w:spacing w:line="400" w:lineRule="exact"/>
        <w:ind w:firstLine="43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备注：</w:t>
      </w:r>
    </w:p>
    <w:p w14:paraId="2802CCA9">
      <w:pPr>
        <w:numPr>
          <w:ilvl w:val="0"/>
          <w:numId w:val="0"/>
        </w:numPr>
        <w:shd w:val="clear"/>
        <w:spacing w:line="400" w:lineRule="exact"/>
        <w:ind w:firstLine="430" w:firstLineChars="200"/>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1、</w:t>
      </w:r>
      <w:r>
        <w:rPr>
          <w:rFonts w:hint="eastAsia" w:ascii="宋体" w:hAnsi="宋体" w:eastAsia="宋体" w:cs="宋体"/>
          <w:color w:val="auto"/>
          <w:sz w:val="21"/>
          <w:szCs w:val="21"/>
        </w:rPr>
        <w:t>项目不分标段的，第___标段空白处填写“/”。</w:t>
      </w:r>
    </w:p>
    <w:p w14:paraId="0CB5F1E3">
      <w:pPr>
        <w:numPr>
          <w:ilvl w:val="0"/>
          <w:numId w:val="0"/>
        </w:numPr>
        <w:shd w:val="clear"/>
        <w:spacing w:line="400" w:lineRule="exact"/>
        <w:ind w:firstLine="43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产品如有型号，请在“产品名称”栏一并填写。</w:t>
      </w:r>
    </w:p>
    <w:p w14:paraId="7052B15B">
      <w:pPr>
        <w:numPr>
          <w:ilvl w:val="0"/>
          <w:numId w:val="0"/>
        </w:numPr>
        <w:shd w:val="clear"/>
        <w:spacing w:line="400" w:lineRule="exact"/>
        <w:ind w:firstLine="430" w:firstLineChars="200"/>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2"/>
          <w:sz w:val="21"/>
          <w:szCs w:val="21"/>
          <w:highlight w:val="none"/>
          <w:lang w:val="en-US" w:eastAsia="zh-CN" w:bidi="ar-SA"/>
        </w:rPr>
        <w:t>3、</w:t>
      </w:r>
      <w:r>
        <w:rPr>
          <w:rFonts w:hint="eastAsia" w:ascii="宋体" w:hAnsi="宋体" w:eastAsia="宋体" w:cs="宋体"/>
          <w:b w:val="0"/>
          <w:bCs w:val="0"/>
          <w:color w:val="auto"/>
          <w:sz w:val="21"/>
          <w:szCs w:val="21"/>
          <w:highlight w:val="none"/>
        </w:rPr>
        <w:t>生产厂名与厂址应与生产厂营业执照载明的相关信息保持一致。</w:t>
      </w:r>
    </w:p>
    <w:p w14:paraId="6BF06E13">
      <w:pPr>
        <w:numPr>
          <w:ilvl w:val="0"/>
          <w:numId w:val="0"/>
        </w:numPr>
        <w:shd w:val="clear"/>
        <w:spacing w:line="400" w:lineRule="exact"/>
        <w:ind w:firstLine="43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填写前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请认真阅读</w:t>
      </w:r>
      <w:r>
        <w:rPr>
          <w:rFonts w:hint="eastAsia" w:ascii="宋体" w:hAnsi="宋体" w:eastAsia="宋体" w:cs="宋体"/>
          <w:color w:val="auto"/>
          <w:sz w:val="21"/>
          <w:szCs w:val="21"/>
          <w:highlight w:val="none"/>
          <w:lang w:val="en-US" w:eastAsia="zh-CN"/>
        </w:rPr>
        <w:t>《关于在政府采购中实施本国产品标准及相关政策的通知》（国办发〔2025〕34号）、财政部 工业和信息化部关于贯彻落实《国务院办公厅关于在政府采购中实施本国产品标准及相关政策的通知》的意见（财库〔2025〕30号）。</w:t>
      </w:r>
    </w:p>
    <w:p w14:paraId="5E0B4D67">
      <w:pPr>
        <w:numPr>
          <w:ilvl w:val="0"/>
          <w:numId w:val="0"/>
        </w:numPr>
        <w:spacing w:line="400" w:lineRule="exact"/>
        <w:ind w:firstLine="430" w:firstLineChars="200"/>
        <w:jc w:val="left"/>
        <w:rPr>
          <w:rFonts w:hint="eastAsia" w:ascii="宋体" w:hAnsi="宋体" w:eastAsia="宋体" w:cs="宋体"/>
          <w:b w:val="0"/>
          <w:bCs w:val="0"/>
          <w:strike w:val="0"/>
          <w:dstrike w:val="0"/>
          <w:color w:val="auto"/>
          <w:sz w:val="21"/>
          <w:szCs w:val="21"/>
          <w:highlight w:val="none"/>
        </w:rPr>
      </w:pPr>
      <w:r>
        <w:rPr>
          <w:rFonts w:hint="eastAsia" w:ascii="宋体" w:hAnsi="宋体" w:eastAsia="宋体" w:cs="宋体"/>
          <w:b w:val="0"/>
          <w:bCs w:val="0"/>
          <w:color w:val="auto"/>
          <w:sz w:val="21"/>
          <w:szCs w:val="21"/>
          <w:highlight w:val="none"/>
          <w:lang w:val="en-US" w:eastAsia="zh-CN"/>
        </w:rPr>
        <w:t>5、</w:t>
      </w:r>
      <w:r>
        <w:rPr>
          <w:rFonts w:hint="eastAsia" w:ascii="宋体" w:hAnsi="宋体" w:eastAsia="宋体" w:cs="宋体"/>
          <w:b w:val="0"/>
          <w:bCs w:val="0"/>
          <w:strike w:val="0"/>
          <w:dstrike w:val="0"/>
          <w:color w:val="auto"/>
          <w:sz w:val="21"/>
          <w:szCs w:val="21"/>
          <w:highlight w:val="none"/>
        </w:rPr>
        <w:t>请各</w:t>
      </w:r>
      <w:r>
        <w:rPr>
          <w:rFonts w:hint="eastAsia" w:ascii="宋体" w:hAnsi="宋体" w:eastAsia="宋体" w:cs="宋体"/>
          <w:b w:val="0"/>
          <w:bCs w:val="0"/>
          <w:strike w:val="0"/>
          <w:dstrike w:val="0"/>
          <w:color w:val="auto"/>
          <w:sz w:val="21"/>
          <w:szCs w:val="21"/>
          <w:highlight w:val="none"/>
          <w:lang w:val="en-US" w:eastAsia="zh-CN"/>
        </w:rPr>
        <w:t>供应商</w:t>
      </w:r>
      <w:r>
        <w:rPr>
          <w:rFonts w:hint="eastAsia" w:ascii="宋体" w:hAnsi="宋体" w:eastAsia="宋体" w:cs="宋体"/>
          <w:b w:val="0"/>
          <w:bCs w:val="0"/>
          <w:strike w:val="0"/>
          <w:dstrike w:val="0"/>
          <w:color w:val="auto"/>
          <w:sz w:val="21"/>
          <w:szCs w:val="21"/>
          <w:highlight w:val="none"/>
        </w:rPr>
        <w:t>按照</w:t>
      </w:r>
      <w:r>
        <w:rPr>
          <w:rFonts w:hint="eastAsia" w:ascii="宋体" w:hAnsi="宋体" w:eastAsia="宋体" w:cs="宋体"/>
          <w:b w:val="0"/>
          <w:bCs w:val="0"/>
          <w:strike w:val="0"/>
          <w:dstrike w:val="0"/>
          <w:color w:val="auto"/>
          <w:sz w:val="21"/>
          <w:szCs w:val="21"/>
          <w:highlight w:val="none"/>
          <w:lang w:val="en-US" w:eastAsia="zh-CN"/>
        </w:rPr>
        <w:t>谈判</w:t>
      </w:r>
      <w:r>
        <w:rPr>
          <w:rFonts w:hint="eastAsia" w:ascii="宋体" w:hAnsi="宋体" w:eastAsia="宋体" w:cs="宋体"/>
          <w:b w:val="0"/>
          <w:bCs w:val="0"/>
          <w:strike w:val="0"/>
          <w:dstrike w:val="0"/>
          <w:color w:val="auto"/>
          <w:sz w:val="21"/>
          <w:szCs w:val="21"/>
          <w:highlight w:val="none"/>
        </w:rPr>
        <w:t>文件第</w:t>
      </w:r>
      <w:r>
        <w:rPr>
          <w:rFonts w:hint="eastAsia" w:ascii="宋体" w:hAnsi="宋体" w:eastAsia="宋体" w:cs="宋体"/>
          <w:b w:val="0"/>
          <w:bCs w:val="0"/>
          <w:strike w:val="0"/>
          <w:dstrike w:val="0"/>
          <w:color w:val="auto"/>
          <w:sz w:val="21"/>
          <w:szCs w:val="21"/>
          <w:highlight w:val="none"/>
          <w:lang w:val="en-US" w:eastAsia="zh-CN"/>
        </w:rPr>
        <w:t>三</w:t>
      </w:r>
      <w:r>
        <w:rPr>
          <w:rFonts w:hint="eastAsia" w:ascii="宋体" w:hAnsi="宋体" w:eastAsia="宋体" w:cs="宋体"/>
          <w:b w:val="0"/>
          <w:bCs w:val="0"/>
          <w:strike w:val="0"/>
          <w:dstrike w:val="0"/>
          <w:color w:val="auto"/>
          <w:sz w:val="21"/>
          <w:szCs w:val="21"/>
          <w:highlight w:val="none"/>
        </w:rPr>
        <w:t>章《</w:t>
      </w:r>
      <w:r>
        <w:rPr>
          <w:rFonts w:hint="eastAsia" w:ascii="宋体" w:hAnsi="宋体" w:eastAsia="宋体" w:cs="宋体"/>
          <w:b w:val="0"/>
          <w:bCs w:val="0"/>
          <w:strike w:val="0"/>
          <w:dstrike w:val="0"/>
          <w:color w:val="auto"/>
          <w:sz w:val="21"/>
          <w:szCs w:val="21"/>
          <w:highlight w:val="none"/>
          <w:lang w:val="en-US" w:eastAsia="zh-CN"/>
        </w:rPr>
        <w:t>采购清单</w:t>
      </w:r>
      <w:r>
        <w:rPr>
          <w:rFonts w:hint="eastAsia" w:ascii="宋体" w:hAnsi="宋体" w:eastAsia="宋体" w:cs="宋体"/>
          <w:b w:val="0"/>
          <w:bCs w:val="0"/>
          <w:strike w:val="0"/>
          <w:dstrike w:val="0"/>
          <w:color w:val="auto"/>
          <w:sz w:val="21"/>
          <w:szCs w:val="21"/>
          <w:highlight w:val="none"/>
        </w:rPr>
        <w:t>》中实际采购货物清单</w:t>
      </w:r>
      <w:r>
        <w:rPr>
          <w:rFonts w:hint="eastAsia" w:ascii="宋体" w:hAnsi="宋体" w:eastAsia="宋体" w:cs="宋体"/>
          <w:b w:val="0"/>
          <w:bCs w:val="0"/>
          <w:strike w:val="0"/>
          <w:dstrike w:val="0"/>
          <w:color w:val="auto"/>
          <w:sz w:val="21"/>
          <w:szCs w:val="21"/>
          <w:highlight w:val="none"/>
          <w:lang w:val="en-US" w:eastAsia="zh-CN"/>
        </w:rPr>
        <w:t>第一标段：1项；第二标段：</w:t>
      </w:r>
      <w:r>
        <w:rPr>
          <w:rFonts w:hint="eastAsia" w:ascii="宋体" w:hAnsi="宋体" w:eastAsia="宋体" w:cs="宋体"/>
          <w:b w:val="0"/>
          <w:bCs w:val="0"/>
          <w:strike w:val="0"/>
          <w:dstrike w:val="0"/>
          <w:color w:val="auto"/>
          <w:sz w:val="21"/>
          <w:szCs w:val="21"/>
          <w:highlight w:val="none"/>
        </w:rPr>
        <w:t>（第1-</w:t>
      </w:r>
      <w:r>
        <w:rPr>
          <w:rFonts w:hint="eastAsia" w:ascii="宋体" w:hAnsi="宋体" w:eastAsia="宋体" w:cs="宋体"/>
          <w:b w:val="0"/>
          <w:bCs w:val="0"/>
          <w:strike w:val="0"/>
          <w:dstrike w:val="0"/>
          <w:color w:val="auto"/>
          <w:sz w:val="21"/>
          <w:szCs w:val="21"/>
          <w:highlight w:val="none"/>
          <w:lang w:val="en-US" w:eastAsia="zh-CN"/>
        </w:rPr>
        <w:t>5</w:t>
      </w:r>
      <w:r>
        <w:rPr>
          <w:rFonts w:hint="eastAsia" w:ascii="宋体" w:hAnsi="宋体" w:eastAsia="宋体" w:cs="宋体"/>
          <w:b w:val="0"/>
          <w:bCs w:val="0"/>
          <w:strike w:val="0"/>
          <w:dstrike w:val="0"/>
          <w:color w:val="auto"/>
          <w:sz w:val="21"/>
          <w:szCs w:val="21"/>
          <w:highlight w:val="none"/>
        </w:rPr>
        <w:t>项）标的数量，按标的数量填写，可自行向下延续序号。</w:t>
      </w:r>
    </w:p>
    <w:p w14:paraId="12D77D00">
      <w:pPr>
        <w:numPr>
          <w:ilvl w:val="0"/>
          <w:numId w:val="0"/>
        </w:numPr>
        <w:spacing w:after="0" w:line="400" w:lineRule="exact"/>
        <w:ind w:firstLine="570" w:firstLineChars="200"/>
        <w:jc w:val="left"/>
        <w:rPr>
          <w:rFonts w:hint="eastAsia" w:ascii="仿宋" w:hAnsi="仿宋" w:eastAsia="仿宋" w:cs="仿宋"/>
          <w:bCs/>
          <w:highlight w:val="none"/>
        </w:rPr>
      </w:pPr>
      <w:r>
        <w:rPr>
          <w:rFonts w:hint="eastAsia" w:ascii="仿宋" w:hAnsi="仿宋" w:eastAsia="仿宋" w:cs="仿宋"/>
          <w:b/>
          <w:bCs/>
          <w:color w:val="auto"/>
          <w:highlight w:val="none"/>
        </w:rPr>
        <w:t>特别提醒：中标</w:t>
      </w:r>
      <w:r>
        <w:rPr>
          <w:rFonts w:hint="eastAsia" w:ascii="仿宋" w:hAnsi="仿宋" w:eastAsia="仿宋" w:cs="仿宋"/>
          <w:b/>
          <w:bCs/>
          <w:color w:val="auto"/>
          <w:highlight w:val="none"/>
          <w:lang w:val="en-US" w:eastAsia="zh-CN"/>
        </w:rPr>
        <w:t>供应商</w:t>
      </w:r>
      <w:r>
        <w:rPr>
          <w:rFonts w:hint="eastAsia" w:ascii="仿宋" w:hAnsi="仿宋" w:eastAsia="仿宋" w:cs="仿宋"/>
          <w:b/>
          <w:bCs/>
          <w:color w:val="auto"/>
          <w:highlight w:val="none"/>
        </w:rPr>
        <w:t>享受</w:t>
      </w:r>
      <w:r>
        <w:rPr>
          <w:rFonts w:hint="eastAsia" w:ascii="仿宋" w:hAnsi="仿宋" w:eastAsia="仿宋" w:cs="仿宋"/>
          <w:b/>
          <w:bCs/>
          <w:color w:val="auto"/>
          <w:highlight w:val="none"/>
          <w:lang w:eastAsia="zh-CN"/>
        </w:rPr>
        <w:t>对本国产品的支</w:t>
      </w:r>
      <w:r>
        <w:rPr>
          <w:rFonts w:hint="eastAsia" w:ascii="仿宋" w:hAnsi="仿宋" w:eastAsia="仿宋" w:cs="仿宋"/>
          <w:b/>
          <w:bCs/>
          <w:color w:val="auto"/>
          <w:highlight w:val="none"/>
        </w:rPr>
        <w:t>持政策的，中标</w:t>
      </w:r>
      <w:r>
        <w:rPr>
          <w:rFonts w:hint="eastAsia" w:ascii="仿宋" w:hAnsi="仿宋" w:eastAsia="仿宋" w:cs="仿宋"/>
          <w:b/>
          <w:bCs/>
          <w:color w:val="auto"/>
          <w:highlight w:val="none"/>
          <w:lang w:val="en-US" w:eastAsia="zh-CN"/>
        </w:rPr>
        <w:t>供应商</w:t>
      </w:r>
      <w:r>
        <w:rPr>
          <w:rFonts w:hint="eastAsia" w:ascii="仿宋" w:hAnsi="仿宋" w:eastAsia="仿宋" w:cs="仿宋"/>
          <w:b/>
          <w:bCs/>
          <w:color w:val="auto"/>
          <w:highlight w:val="none"/>
        </w:rPr>
        <w:t>的《</w:t>
      </w:r>
      <w:r>
        <w:rPr>
          <w:rFonts w:hint="eastAsia" w:ascii="仿宋" w:hAnsi="仿宋" w:eastAsia="仿宋" w:cs="仿宋"/>
          <w:b/>
          <w:bCs/>
          <w:color w:val="auto"/>
          <w:highlight w:val="none"/>
          <w:lang w:eastAsia="zh-CN"/>
        </w:rPr>
        <w:t>关于符合本国产品标准的</w:t>
      </w:r>
      <w:r>
        <w:rPr>
          <w:rFonts w:hint="eastAsia" w:ascii="仿宋" w:hAnsi="仿宋" w:eastAsia="仿宋" w:cs="仿宋"/>
          <w:b/>
          <w:bCs/>
          <w:color w:val="auto"/>
          <w:highlight w:val="none"/>
          <w:lang w:val="en-US" w:eastAsia="zh-CN"/>
        </w:rPr>
        <w:t>声明函</w:t>
      </w:r>
      <w:r>
        <w:rPr>
          <w:rFonts w:hint="eastAsia" w:ascii="仿宋" w:hAnsi="仿宋" w:eastAsia="仿宋" w:cs="仿宋"/>
          <w:b/>
          <w:bCs/>
          <w:color w:val="auto"/>
          <w:highlight w:val="none"/>
        </w:rPr>
        <w:t>》将随中标结果公告一同公布，接受社会监督。</w:t>
      </w:r>
    </w:p>
    <w:p w14:paraId="5EFE4D43">
      <w:pPr>
        <w:pStyle w:val="55"/>
        <w:spacing w:line="500" w:lineRule="exact"/>
        <w:ind w:firstLine="570" w:firstLineChars="200"/>
        <w:jc w:val="left"/>
        <w:outlineLvl w:val="2"/>
        <w:rPr>
          <w:rFonts w:ascii="仿宋" w:hAnsi="仿宋" w:eastAsia="仿宋" w:cs="仿宋"/>
          <w:color w:val="auto"/>
          <w:sz w:val="28"/>
          <w:szCs w:val="28"/>
          <w:highlight w:val="none"/>
        </w:rPr>
      </w:pPr>
      <w:bookmarkStart w:id="322" w:name="_Toc13329"/>
      <w:r>
        <w:rPr>
          <w:rFonts w:hint="eastAsia" w:ascii="仿宋" w:hAnsi="仿宋" w:eastAsia="仿宋" w:cs="仿宋"/>
          <w:color w:val="auto"/>
          <w:sz w:val="28"/>
          <w:szCs w:val="28"/>
          <w:highlight w:val="none"/>
        </w:rPr>
        <w:t>二、响应方案</w:t>
      </w:r>
      <w:bookmarkEnd w:id="322"/>
    </w:p>
    <w:p w14:paraId="58326056">
      <w:pPr>
        <w:spacing w:line="500" w:lineRule="exact"/>
        <w:ind w:firstLine="570" w:firstLineChars="200"/>
        <w:jc w:val="left"/>
        <w:rPr>
          <w:rFonts w:ascii="仿宋" w:hAnsi="仿宋" w:eastAsia="仿宋" w:cs="仿宋"/>
          <w:b/>
          <w:bCs/>
          <w:color w:val="auto"/>
          <w:sz w:val="28"/>
          <w:szCs w:val="28"/>
          <w:highlight w:val="none"/>
        </w:rPr>
      </w:pPr>
      <w:r>
        <w:rPr>
          <w:rFonts w:hint="eastAsia" w:ascii="仿宋" w:hAnsi="仿宋" w:eastAsia="仿宋" w:cs="仿宋"/>
          <w:bCs/>
          <w:color w:val="auto"/>
          <w:highlight w:val="none"/>
        </w:rPr>
        <w:t>参照谈判文件第二章第七项《组织评审》各条款的要求，结合第三章《采购内容及采购要求》编制响应方案。</w:t>
      </w:r>
    </w:p>
    <w:p w14:paraId="6F33E9C7">
      <w:pPr>
        <w:spacing w:line="500" w:lineRule="exact"/>
        <w:outlineLvl w:val="2"/>
        <w:rPr>
          <w:rFonts w:ascii="仿宋" w:hAnsi="仿宋" w:eastAsia="仿宋" w:cs="仿宋"/>
          <w:b/>
          <w:bCs/>
          <w:color w:val="auto"/>
          <w:kern w:val="0"/>
          <w:sz w:val="32"/>
          <w:szCs w:val="32"/>
          <w:highlight w:val="none"/>
        </w:rPr>
      </w:pPr>
    </w:p>
    <w:p w14:paraId="7491BFFA">
      <w:pPr>
        <w:rPr>
          <w:rFonts w:hint="eastAsia" w:ascii="仿宋" w:hAnsi="仿宋" w:eastAsia="仿宋" w:cs="仿宋"/>
          <w:color w:val="auto"/>
          <w:highlight w:val="none"/>
        </w:rPr>
      </w:pPr>
    </w:p>
    <w:p w14:paraId="7AB457B6">
      <w:pPr>
        <w:rPr>
          <w:rFonts w:hint="eastAsia" w:ascii="仿宋" w:hAnsi="仿宋" w:eastAsia="仿宋" w:cs="仿宋"/>
          <w:color w:val="auto"/>
          <w:highlight w:val="none"/>
        </w:rPr>
      </w:pPr>
    </w:p>
    <w:sectPr>
      <w:footerReference r:id="rId13" w:type="first"/>
      <w:headerReference r:id="rId10" w:type="default"/>
      <w:footerReference r:id="rId11" w:type="default"/>
      <w:footerReference r:id="rId12" w:type="even"/>
      <w:pgSz w:w="11906" w:h="16838"/>
      <w:pgMar w:top="1417" w:right="1417" w:bottom="1417" w:left="1417" w:header="851" w:footer="794" w:gutter="0"/>
      <w:cols w:space="720" w:num="1"/>
      <w:docGrid w:type="linesAndChars" w:linePitch="381" w:charSpace="122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40B665BE-18CD-4D27-A02F-6D3E383F79A9}"/>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儷宋 Pro">
    <w:altName w:val="宋体"/>
    <w:panose1 w:val="02020300000000000000"/>
    <w:charset w:val="88"/>
    <w:family w:val="auto"/>
    <w:pitch w:val="default"/>
    <w:sig w:usb0="00000000" w:usb1="00000000" w:usb2="00000016" w:usb3="00000000" w:csb0="0010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Tahoma">
    <w:panose1 w:val="020B0604030504040204"/>
    <w:charset w:val="00"/>
    <w:family w:val="swiss"/>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embedRegular r:id="rId2" w:fontKey="{6C4093EF-F44B-4AF4-BF9E-EBFE9FF88EC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82EF2E">
    <w:pPr>
      <w:pStyle w:val="18"/>
    </w:pPr>
  </w:p>
  <w:p w14:paraId="624C2121">
    <w:pPr>
      <w:pStyle w:val="18"/>
      <w:tabs>
        <w:tab w:val="center" w:pos="4535"/>
        <w:tab w:val="clear" w:pos="4153"/>
        <w:tab w:val="clear" w:pos="8306"/>
      </w:tabs>
      <w:rPr>
        <w:rFonts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85DDF8">
    <w:pPr>
      <w:pStyle w:val="18"/>
      <w:tabs>
        <w:tab w:val="center" w:pos="4536"/>
        <w:tab w:val="right" w:pos="9070"/>
        <w:tab w:val="clear" w:pos="4153"/>
        <w:tab w:val="clear" w:pos="8306"/>
      </w:tabs>
      <w:rPr>
        <w:rFonts w:ascii="宋体" w:hAnsi="宋体"/>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01B767">
    <w:pPr>
      <w:pStyle w:val="18"/>
      <w:tabs>
        <w:tab w:val="clear" w:pos="4153"/>
        <w:tab w:val="clear" w:pos="8306"/>
      </w:tabs>
      <w:rPr>
        <w:rFonts w:ascii="宋体" w:hAnsi="宋体"/>
      </w:rPr>
    </w:pPr>
    <w:r>
      <mc:AlternateContent>
        <mc:Choice Requires="wps">
          <w:drawing>
            <wp:anchor distT="0" distB="0" distL="0" distR="0" simplePos="0" relativeHeight="251660288" behindDoc="0" locked="0" layoutInCell="1" allowOverlap="1">
              <wp:simplePos x="0" y="0"/>
              <wp:positionH relativeFrom="margin">
                <wp:posOffset>2653665</wp:posOffset>
              </wp:positionH>
              <wp:positionV relativeFrom="paragraph">
                <wp:posOffset>-95250</wp:posOffset>
              </wp:positionV>
              <wp:extent cx="1828800" cy="1828800"/>
              <wp:effectExtent l="0" t="0" r="0" b="0"/>
              <wp:wrapNone/>
              <wp:docPr id="4097"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B0074DD">
                          <w:pPr>
                            <w:pStyle w:val="18"/>
                          </w:pPr>
                          <w:r>
                            <w:t xml:space="preserve">第 </w:t>
                          </w:r>
                          <w:r>
                            <w:fldChar w:fldCharType="begin"/>
                          </w:r>
                          <w:r>
                            <w:instrText xml:space="preserve"> PAGE  \* MERGEFORMAT </w:instrText>
                          </w:r>
                          <w:r>
                            <w:fldChar w:fldCharType="separate"/>
                          </w:r>
                          <w:r>
                            <w:t>34</w:t>
                          </w:r>
                          <w:r>
                            <w:fldChar w:fldCharType="end"/>
                          </w:r>
                          <w:r>
                            <w:t xml:space="preserve"> 页</w:t>
                          </w:r>
                        </w:p>
                      </w:txbxContent>
                    </wps:txbx>
                    <wps:bodyPr vert="horz" wrap="none" lIns="0" tIns="0" rIns="0" bIns="0" anchor="t">
                      <a:spAutoFit/>
                    </wps:bodyPr>
                  </wps:wsp>
                </a:graphicData>
              </a:graphic>
            </wp:anchor>
          </w:drawing>
        </mc:Choice>
        <mc:Fallback>
          <w:pict>
            <v:rect id="文本框 3" o:spid="_x0000_s1026" o:spt="1" style="position:absolute;left:0pt;margin-left:208.95pt;margin-top:-7.5pt;height:144pt;width:144pt;mso-position-horizontal-relative:margin;mso-wrap-style:none;z-index:251660288;mso-width-relative:page;mso-height-relative:page;" filled="f" stroked="f" coordsize="21600,21600" o:gfxdata="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WggzZdgAAAALAQAADwAAAAAAAAABACAAAAAiAAAAZHJz&#10;L2Rvd25yZXYueG1sUEsBAhQAFAAAAAgAh07iQBCkxETLAQAAkgMAAA4AAAAAAAAAAQAgAAAAJwEA&#10;AGRycy9lMm9Eb2MueG1sUEsFBgAAAAAGAAYAWQEAAGQFAAAAAA==&#10;">
              <v:fill on="f" focussize="0,0"/>
              <v:stroke on="f"/>
              <v:imagedata o:title=""/>
              <o:lock v:ext="edit" aspectratio="f"/>
              <v:textbox inset="0mm,0mm,0mm,0mm" style="mso-fit-shape-to-text:t;">
                <w:txbxContent>
                  <w:p w14:paraId="1B0074DD">
                    <w:pPr>
                      <w:pStyle w:val="18"/>
                    </w:pPr>
                    <w:r>
                      <w:t xml:space="preserve">第 </w:t>
                    </w:r>
                    <w:r>
                      <w:fldChar w:fldCharType="begin"/>
                    </w:r>
                    <w:r>
                      <w:instrText xml:space="preserve"> PAGE  \* MERGEFORMAT </w:instrText>
                    </w:r>
                    <w:r>
                      <w:fldChar w:fldCharType="separate"/>
                    </w:r>
                    <w:r>
                      <w:t>34</w:t>
                    </w:r>
                    <w:r>
                      <w:fldChar w:fldCharType="end"/>
                    </w:r>
                    <w:r>
                      <w:t xml:space="preserve"> 页</w:t>
                    </w:r>
                  </w:p>
                </w:txbxContent>
              </v:textbox>
            </v:rect>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61BBFB">
    <w:pPr>
      <w:pStyle w:val="18"/>
      <w:tabs>
        <w:tab w:val="center" w:pos="4536"/>
        <w:tab w:val="right" w:pos="10489"/>
        <w:tab w:val="clear" w:pos="4153"/>
        <w:tab w:val="clear" w:pos="8306"/>
      </w:tabs>
      <w:rPr>
        <w:rFonts w:ascii="宋体"/>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CC8CBC8">
                          <w:pPr>
                            <w:pStyle w:val="18"/>
                          </w:pPr>
                          <w:r>
                            <w:t xml:space="preserve">第 </w:t>
                          </w:r>
                          <w:r>
                            <w:fldChar w:fldCharType="begin"/>
                          </w:r>
                          <w:r>
                            <w:instrText xml:space="preserve"> PAGE  \* MERGEFORMAT </w:instrText>
                          </w:r>
                          <w:r>
                            <w:fldChar w:fldCharType="separate"/>
                          </w:r>
                          <w:r>
                            <w:t>52</w:t>
                          </w:r>
                          <w:r>
                            <w:fldChar w:fldCharType="end"/>
                          </w:r>
                          <w: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3CC8CBC8">
                    <w:pPr>
                      <w:pStyle w:val="18"/>
                    </w:pPr>
                    <w:r>
                      <w:t xml:space="preserve">第 </w:t>
                    </w:r>
                    <w:r>
                      <w:fldChar w:fldCharType="begin"/>
                    </w:r>
                    <w:r>
                      <w:instrText xml:space="preserve"> PAGE  \* MERGEFORMAT </w:instrText>
                    </w:r>
                    <w:r>
                      <w:fldChar w:fldCharType="separate"/>
                    </w:r>
                    <w:r>
                      <w:t>52</w:t>
                    </w:r>
                    <w:r>
                      <w:fldChar w:fldCharType="end"/>
                    </w:r>
                    <w:r>
                      <w:t xml:space="preserve"> 页</w:t>
                    </w:r>
                  </w:p>
                </w:txbxContent>
              </v:textbox>
            </v:shape>
          </w:pict>
        </mc:Fallback>
      </mc:AlternateContent>
    </w:r>
  </w:p>
  <w:p w14:paraId="0309B54E">
    <w:pPr>
      <w:pStyle w:val="18"/>
      <w:tabs>
        <w:tab w:val="center" w:pos="7002"/>
        <w:tab w:val="right" w:pos="15421"/>
        <w:tab w:val="clear" w:pos="4153"/>
        <w:tab w:val="clear" w:pos="8306"/>
      </w:tabs>
      <w:ind w:right="-2"/>
      <w:jc w:val="both"/>
      <w:rPr>
        <w:rFonts w:asci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6B448D">
    <w:pPr>
      <w:pStyle w:val="18"/>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2"/>
              <wp:cNvGraphicFramePr/>
              <a:graphic xmlns:a="http://schemas.openxmlformats.org/drawingml/2006/main">
                <a:graphicData uri="http://schemas.microsoft.com/office/word/2010/wordprocessingShape">
                  <wps:wsp>
                    <wps:cNvSpPr/>
                    <wps:spPr>
                      <a:xfrm>
                        <a:off x="0" y="0"/>
                        <a:ext cx="857885" cy="147955"/>
                      </a:xfrm>
                      <a:prstGeom prst="rect">
                        <a:avLst/>
                      </a:prstGeom>
                      <a:noFill/>
                      <a:ln>
                        <a:noFill/>
                      </a:ln>
                    </wps:spPr>
                    <wps:txbx>
                      <w:txbxContent>
                        <w:p w14:paraId="13FCB0ED">
                          <w:pPr>
                            <w:pStyle w:val="18"/>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2</w:t>
                          </w:r>
                          <w:r>
                            <w:rPr>
                              <w:rFonts w:ascii="宋体" w:hAnsi="宋体"/>
                            </w:rPr>
                            <w:fldChar w:fldCharType="end"/>
                          </w:r>
                          <w:r>
                            <w:rPr>
                              <w:rFonts w:hint="eastAsia" w:ascii="宋体" w:hAnsi="宋体"/>
                            </w:rPr>
                            <w:t>页 共48页</w:t>
                          </w:r>
                        </w:p>
                      </w:txbxContent>
                    </wps:txbx>
                    <wps:bodyPr wrap="none" lIns="0" tIns="0" rIns="0" bIns="0" upright="1">
                      <a:spAutoFit/>
                    </wps:bodyPr>
                  </wps:wsp>
                </a:graphicData>
              </a:graphic>
            </wp:anchor>
          </w:drawing>
        </mc:Choice>
        <mc:Fallback>
          <w:pict>
            <v:rect id="文本框 2" o:spid="_x0000_s1026" o:spt="1" style="position:absolute;left:0pt;margin-top:0pt;height:11.65pt;width:67.55pt;mso-position-horizontal:center;mso-position-horizontal-relative:margin;mso-wrap-style:none;z-index:251659264;mso-width-relative:page;mso-height-relative:page;" filled="f" stroked="f" coordsize="21600,21600" o:gfxdata="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CYLk4rSAAAABAEAAA8AAAAAAAAAAQAgAAAAIgAAAGRycy9kb3ducmV2&#10;LnhtbFBLAQIUABQAAAAIAIdO4kBHYVdJyQEAAI0DAAAOAAAAAAAAAAEAIAAAACEBAABkcnMvZTJv&#10;RG9jLnhtbFBLBQYAAAAABgAGAFkBAABcBQAAAAA=&#10;">
              <v:fill on="f" focussize="0,0"/>
              <v:stroke on="f"/>
              <v:imagedata o:title=""/>
              <o:lock v:ext="edit" aspectratio="f"/>
              <v:textbox inset="0mm,0mm,0mm,0mm" style="mso-fit-shape-to-text:t;">
                <w:txbxContent>
                  <w:p w14:paraId="13FCB0ED">
                    <w:pPr>
                      <w:pStyle w:val="18"/>
                      <w:jc w:val="center"/>
                    </w:pPr>
                    <w:r>
                      <w:rPr>
                        <w:rFonts w:hint="eastAsia" w:ascii="宋体" w:hAnsi="宋体"/>
                      </w:rPr>
                      <w:t>第</w:t>
                    </w:r>
                    <w:r>
                      <w:rPr>
                        <w:rFonts w:ascii="宋体" w:hAnsi="宋体"/>
                      </w:rPr>
                      <w:fldChar w:fldCharType="begin"/>
                    </w:r>
                    <w:r>
                      <w:rPr>
                        <w:rFonts w:hint="eastAsia" w:ascii="宋体" w:hAnsi="宋体"/>
                      </w:rPr>
                      <w:instrText xml:space="preserve">PAGE   \* MERGEFORMAT</w:instrText>
                    </w:r>
                    <w:r>
                      <w:rPr>
                        <w:rFonts w:ascii="宋体" w:hAnsi="宋体"/>
                      </w:rPr>
                      <w:fldChar w:fldCharType="separate"/>
                    </w:r>
                    <w:r>
                      <w:rPr>
                        <w:rFonts w:ascii="宋体" w:hAnsi="宋体"/>
                      </w:rPr>
                      <w:t>2</w:t>
                    </w:r>
                    <w:r>
                      <w:rPr>
                        <w:rFonts w:ascii="宋体" w:hAnsi="宋体"/>
                      </w:rPr>
                      <w:fldChar w:fldCharType="end"/>
                    </w:r>
                    <w:r>
                      <w:rPr>
                        <w:rFonts w:hint="eastAsia" w:ascii="宋体" w:hAnsi="宋体"/>
                      </w:rPr>
                      <w:t>页 共48页</w:t>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79AE7F">
    <w:pPr>
      <w:pStyle w:val="18"/>
      <w:tabs>
        <w:tab w:val="center" w:pos="4280"/>
        <w:tab w:val="clear" w:pos="4153"/>
        <w:tab w:val="clear" w:pos="8306"/>
      </w:tabs>
    </w:pPr>
    <w:r>
      <w:rPr>
        <w:rFonts w:hint="eastAsia" w:ascii="宋体" w:hAnsi="宋体"/>
      </w:rPr>
      <w:t>陕西省省级单位政府采购中心</w:t>
    </w:r>
    <w:r>
      <w:rPr>
        <w:rFonts w:hint="eastAsia" w:ascii="宋体" w:hAnsi="宋体"/>
      </w:rPr>
      <w:tab/>
    </w:r>
    <w:r>
      <w:rPr>
        <w:rFonts w:hint="eastAsia" w:ascii="宋体" w:hAnsi="宋体"/>
      </w:rPr>
      <w:t>第</w:t>
    </w:r>
    <w:r>
      <w:rPr>
        <w:rFonts w:ascii="宋体" w:hAnsi="宋体"/>
      </w:rPr>
      <w:fldChar w:fldCharType="begin"/>
    </w:r>
    <w:r>
      <w:rPr>
        <w:rFonts w:ascii="宋体" w:hAnsi="宋体"/>
      </w:rPr>
      <w:instrText xml:space="preserve"> PAGE </w:instrText>
    </w:r>
    <w:r>
      <w:rPr>
        <w:rFonts w:ascii="宋体" w:hAnsi="宋体"/>
      </w:rPr>
      <w:fldChar w:fldCharType="separate"/>
    </w:r>
    <w:r>
      <w:rPr>
        <w:rFonts w:ascii="宋体" w:hAnsi="宋体"/>
      </w:rPr>
      <w:t>30</w:t>
    </w:r>
    <w:r>
      <w:rPr>
        <w:rFonts w:ascii="宋体" w:hAnsi="宋体"/>
      </w:rPr>
      <w:fldChar w:fldCharType="end"/>
    </w:r>
    <w:r>
      <w:rPr>
        <w:rFonts w:hint="eastAsia" w:ascii="宋体" w:hAnsi="宋体"/>
      </w:rPr>
      <w:t>页 共</w:t>
    </w:r>
    <w:r>
      <w:rPr>
        <w:rFonts w:ascii="宋体" w:hAnsi="宋体"/>
      </w:rPr>
      <w:fldChar w:fldCharType="begin"/>
    </w:r>
    <w:r>
      <w:rPr>
        <w:rFonts w:ascii="宋体" w:hAnsi="宋体"/>
      </w:rPr>
      <w:instrText xml:space="preserve"> =</w:instrText>
    </w:r>
    <w:r>
      <w:rPr>
        <w:rFonts w:ascii="宋体" w:hAnsi="宋体"/>
      </w:rPr>
      <w:fldChar w:fldCharType="begin"/>
    </w:r>
    <w:r>
      <w:rPr>
        <w:rFonts w:ascii="宋体" w:hAnsi="宋体"/>
      </w:rPr>
      <w:instrText xml:space="preserve"> NUMPAGES </w:instrText>
    </w:r>
    <w:r>
      <w:rPr>
        <w:rFonts w:ascii="宋体" w:hAnsi="宋体"/>
      </w:rPr>
      <w:fldChar w:fldCharType="separate"/>
    </w:r>
    <w:r>
      <w:rPr>
        <w:rFonts w:ascii="宋体" w:hAnsi="宋体"/>
      </w:rPr>
      <w:instrText xml:space="preserve">66</w:instrText>
    </w:r>
    <w:r>
      <w:rPr>
        <w:rFonts w:ascii="宋体" w:hAnsi="宋体"/>
      </w:rPr>
      <w:fldChar w:fldCharType="end"/>
    </w:r>
    <w:r>
      <w:rPr>
        <w:rFonts w:ascii="宋体" w:hAnsi="宋体"/>
      </w:rPr>
      <w:instrText xml:space="preserve">-1 </w:instrText>
    </w:r>
    <w:r>
      <w:rPr>
        <w:rFonts w:ascii="宋体" w:hAnsi="宋体"/>
      </w:rPr>
      <w:fldChar w:fldCharType="separate"/>
    </w:r>
    <w:r>
      <w:rPr>
        <w:rFonts w:ascii="宋体" w:hAnsi="宋体"/>
      </w:rPr>
      <w:t>65</w:t>
    </w:r>
    <w:r>
      <w:rPr>
        <w:rFonts w:ascii="宋体" w:hAnsi="宋体"/>
      </w:rPr>
      <w:fldChar w:fldCharType="end"/>
    </w:r>
    <w:r>
      <w:rPr>
        <w:rFonts w:hint="eastAsia" w:ascii="宋体" w:hAnsi="宋体"/>
      </w:rPr>
      <w:t>页</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987431">
    <w:pPr>
      <w:pStyle w:val="19"/>
      <w:pBdr>
        <w:bottom w:val="none" w:color="auto" w:sz="0" w:space="1"/>
      </w:pBdr>
      <w:jc w:val="right"/>
      <w:rPr>
        <w:rFonts w:ascii="宋体" w:hAnsi="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D1E5B">
    <w:pPr>
      <w:pStyle w:val="19"/>
      <w:pBdr>
        <w:bottom w:val="none" w:color="auto" w:sz="0" w:space="1"/>
      </w:pBdr>
      <w:rPr>
        <w:rFonts w:hint="eastAsia" w:ascii="仿宋" w:hAnsi="仿宋" w:eastAsia="仿宋" w:cs="仿宋"/>
        <w:sz w:val="24"/>
        <w:szCs w:val="24"/>
        <w:lang w:eastAsia="zh-CN"/>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8F8C5">
    <w:pPr>
      <w:pStyle w:val="19"/>
      <w:pBdr>
        <w:bottom w:val="none" w:color="auto" w:sz="0" w:space="1"/>
      </w:pBdr>
      <w:rPr>
        <w:rFonts w:hint="eastAsia" w:eastAsia="仿宋"/>
        <w:sz w:val="24"/>
        <w:szCs w:val="24"/>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572C00"/>
    <w:multiLevelType w:val="singleLevel"/>
    <w:tmpl w:val="D6572C00"/>
    <w:lvl w:ilvl="0" w:tentative="0">
      <w:start w:val="2"/>
      <w:numFmt w:val="chineseCounting"/>
      <w:suff w:val="nothing"/>
      <w:lvlText w:val="（%1）"/>
      <w:lvlJc w:val="left"/>
      <w:rPr>
        <w:rFonts w:hint="eastAsia"/>
      </w:rPr>
    </w:lvl>
  </w:abstractNum>
  <w:abstractNum w:abstractNumId="1">
    <w:nsid w:val="E1E5AEB2"/>
    <w:multiLevelType w:val="singleLevel"/>
    <w:tmpl w:val="E1E5AEB2"/>
    <w:lvl w:ilvl="0" w:tentative="0">
      <w:start w:val="2"/>
      <w:numFmt w:val="chineseCounting"/>
      <w:suff w:val="nothing"/>
      <w:lvlText w:val="%1、"/>
      <w:lvlJc w:val="left"/>
      <w:rPr>
        <w:rFonts w:hint="eastAsia"/>
      </w:rPr>
    </w:lvl>
  </w:abstractNum>
  <w:abstractNum w:abstractNumId="2">
    <w:nsid w:val="F361B2AB"/>
    <w:multiLevelType w:val="singleLevel"/>
    <w:tmpl w:val="F361B2AB"/>
    <w:lvl w:ilvl="0" w:tentative="0">
      <w:start w:val="3"/>
      <w:numFmt w:val="chineseCounting"/>
      <w:suff w:val="nothing"/>
      <w:lvlText w:val="%1、"/>
      <w:lvlJc w:val="left"/>
      <w:rPr>
        <w:rFonts w:hint="eastAsia"/>
      </w:rPr>
    </w:lvl>
  </w:abstractNum>
  <w:abstractNum w:abstractNumId="3">
    <w:nsid w:val="00000003"/>
    <w:multiLevelType w:val="singleLevel"/>
    <w:tmpl w:val="00000003"/>
    <w:lvl w:ilvl="0" w:tentative="0">
      <w:start w:val="2"/>
      <w:numFmt w:val="decimal"/>
      <w:suff w:val="nothing"/>
      <w:lvlText w:val="%1、"/>
      <w:lvlJc w:val="left"/>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embedTrueTypeFonts/>
  <w:saveSubsetFonts/>
  <w:bordersDoNotSurroundHeader w:val="0"/>
  <w:bordersDoNotSurroundFooter w:val="0"/>
  <w:attachedTemplate r:id="rId1"/>
  <w:documentProtection w:enforcement="0"/>
  <w:defaultTabStop w:val="420"/>
  <w:drawingGridHorizontalSpacing w:val="283"/>
  <w:drawingGridVerticalSpacing w:val="381"/>
  <w:displayHorizontalDrawingGridEvery w:val="1"/>
  <w:displayVerticalDrawingGridEvery w:val="1"/>
  <w:doNotShadeFormData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E4M2I0NTg5YjQ3MTFiNzc5NjhkNGZkNmY5NzIyNDQifQ=="/>
    <w:docVar w:name="KSO_WPS_MARK_KEY" w:val="60654223-2afe-41bd-b934-64074d27d3f8"/>
  </w:docVars>
  <w:rsids>
    <w:rsidRoot w:val="00172A27"/>
    <w:rsid w:val="000004E4"/>
    <w:rsid w:val="000067FA"/>
    <w:rsid w:val="00006CB1"/>
    <w:rsid w:val="00006D93"/>
    <w:rsid w:val="00006F79"/>
    <w:rsid w:val="00010272"/>
    <w:rsid w:val="000134AA"/>
    <w:rsid w:val="00013D05"/>
    <w:rsid w:val="000153C4"/>
    <w:rsid w:val="00016CA4"/>
    <w:rsid w:val="00016E4B"/>
    <w:rsid w:val="00017C69"/>
    <w:rsid w:val="0002046D"/>
    <w:rsid w:val="00021A1F"/>
    <w:rsid w:val="00021AAC"/>
    <w:rsid w:val="00023622"/>
    <w:rsid w:val="00025A17"/>
    <w:rsid w:val="00025C6A"/>
    <w:rsid w:val="00026265"/>
    <w:rsid w:val="00026FE0"/>
    <w:rsid w:val="000327A3"/>
    <w:rsid w:val="00035605"/>
    <w:rsid w:val="00035B4D"/>
    <w:rsid w:val="00040F12"/>
    <w:rsid w:val="0004127D"/>
    <w:rsid w:val="00041F32"/>
    <w:rsid w:val="00043439"/>
    <w:rsid w:val="0004605F"/>
    <w:rsid w:val="000473F0"/>
    <w:rsid w:val="00050D4B"/>
    <w:rsid w:val="000540B1"/>
    <w:rsid w:val="00056723"/>
    <w:rsid w:val="00060739"/>
    <w:rsid w:val="00060F1E"/>
    <w:rsid w:val="00060FA9"/>
    <w:rsid w:val="0006152D"/>
    <w:rsid w:val="00062574"/>
    <w:rsid w:val="000658F0"/>
    <w:rsid w:val="00065F6A"/>
    <w:rsid w:val="000668A4"/>
    <w:rsid w:val="00067A9B"/>
    <w:rsid w:val="0007114C"/>
    <w:rsid w:val="00071F7C"/>
    <w:rsid w:val="000720B4"/>
    <w:rsid w:val="0007299D"/>
    <w:rsid w:val="00073169"/>
    <w:rsid w:val="00075E62"/>
    <w:rsid w:val="0007702B"/>
    <w:rsid w:val="00077EDD"/>
    <w:rsid w:val="000821A1"/>
    <w:rsid w:val="00082E8E"/>
    <w:rsid w:val="00084010"/>
    <w:rsid w:val="00084A48"/>
    <w:rsid w:val="00084D5D"/>
    <w:rsid w:val="00087A67"/>
    <w:rsid w:val="00090BE4"/>
    <w:rsid w:val="000910F1"/>
    <w:rsid w:val="00092451"/>
    <w:rsid w:val="00093129"/>
    <w:rsid w:val="00095097"/>
    <w:rsid w:val="000953A2"/>
    <w:rsid w:val="0009553B"/>
    <w:rsid w:val="000964D9"/>
    <w:rsid w:val="00097061"/>
    <w:rsid w:val="000A1AD0"/>
    <w:rsid w:val="000A24DC"/>
    <w:rsid w:val="000A3D3B"/>
    <w:rsid w:val="000A4187"/>
    <w:rsid w:val="000A5337"/>
    <w:rsid w:val="000A7A7E"/>
    <w:rsid w:val="000B6558"/>
    <w:rsid w:val="000B6817"/>
    <w:rsid w:val="000C07CF"/>
    <w:rsid w:val="000C10D2"/>
    <w:rsid w:val="000C28F4"/>
    <w:rsid w:val="000C2D1B"/>
    <w:rsid w:val="000C3342"/>
    <w:rsid w:val="000C4B3A"/>
    <w:rsid w:val="000C5F5C"/>
    <w:rsid w:val="000C66FA"/>
    <w:rsid w:val="000C7932"/>
    <w:rsid w:val="000D2481"/>
    <w:rsid w:val="000D4803"/>
    <w:rsid w:val="000D490F"/>
    <w:rsid w:val="000D4B6A"/>
    <w:rsid w:val="000D566B"/>
    <w:rsid w:val="000D714A"/>
    <w:rsid w:val="000D7985"/>
    <w:rsid w:val="000D7D94"/>
    <w:rsid w:val="000E022C"/>
    <w:rsid w:val="000E0BB3"/>
    <w:rsid w:val="000E1EC1"/>
    <w:rsid w:val="000E34F5"/>
    <w:rsid w:val="000E3C3E"/>
    <w:rsid w:val="000E474C"/>
    <w:rsid w:val="000E671E"/>
    <w:rsid w:val="000E7452"/>
    <w:rsid w:val="000F04D9"/>
    <w:rsid w:val="000F0CAA"/>
    <w:rsid w:val="000F2C4F"/>
    <w:rsid w:val="000F2F48"/>
    <w:rsid w:val="000F37C0"/>
    <w:rsid w:val="000F6013"/>
    <w:rsid w:val="000F6716"/>
    <w:rsid w:val="001019C2"/>
    <w:rsid w:val="00104800"/>
    <w:rsid w:val="00104DA6"/>
    <w:rsid w:val="001062C7"/>
    <w:rsid w:val="00106D28"/>
    <w:rsid w:val="00107F68"/>
    <w:rsid w:val="001127DB"/>
    <w:rsid w:val="00113090"/>
    <w:rsid w:val="00113290"/>
    <w:rsid w:val="001141F6"/>
    <w:rsid w:val="00114ECB"/>
    <w:rsid w:val="00115E63"/>
    <w:rsid w:val="00117060"/>
    <w:rsid w:val="00120650"/>
    <w:rsid w:val="0012102A"/>
    <w:rsid w:val="00121A96"/>
    <w:rsid w:val="00122811"/>
    <w:rsid w:val="0012349B"/>
    <w:rsid w:val="00123F8F"/>
    <w:rsid w:val="00124D56"/>
    <w:rsid w:val="0012721F"/>
    <w:rsid w:val="001275F9"/>
    <w:rsid w:val="00130186"/>
    <w:rsid w:val="001302E4"/>
    <w:rsid w:val="0013087E"/>
    <w:rsid w:val="001310C3"/>
    <w:rsid w:val="00132477"/>
    <w:rsid w:val="001328AF"/>
    <w:rsid w:val="00133200"/>
    <w:rsid w:val="0014313C"/>
    <w:rsid w:val="00143F5B"/>
    <w:rsid w:val="001442C3"/>
    <w:rsid w:val="00144E69"/>
    <w:rsid w:val="001455C6"/>
    <w:rsid w:val="0014588A"/>
    <w:rsid w:val="001475C3"/>
    <w:rsid w:val="001518CB"/>
    <w:rsid w:val="00152490"/>
    <w:rsid w:val="00152EBF"/>
    <w:rsid w:val="00153F57"/>
    <w:rsid w:val="00156119"/>
    <w:rsid w:val="00157065"/>
    <w:rsid w:val="001577F0"/>
    <w:rsid w:val="00157BBE"/>
    <w:rsid w:val="00161737"/>
    <w:rsid w:val="00162780"/>
    <w:rsid w:val="00163C8A"/>
    <w:rsid w:val="00165A3F"/>
    <w:rsid w:val="001669AF"/>
    <w:rsid w:val="00166B2F"/>
    <w:rsid w:val="001709EF"/>
    <w:rsid w:val="00171532"/>
    <w:rsid w:val="00171A5D"/>
    <w:rsid w:val="0017209E"/>
    <w:rsid w:val="001726B3"/>
    <w:rsid w:val="00172A27"/>
    <w:rsid w:val="00173795"/>
    <w:rsid w:val="00174FFB"/>
    <w:rsid w:val="00176068"/>
    <w:rsid w:val="00176AFD"/>
    <w:rsid w:val="00177DF1"/>
    <w:rsid w:val="00180D22"/>
    <w:rsid w:val="0018226E"/>
    <w:rsid w:val="00182B53"/>
    <w:rsid w:val="00182B70"/>
    <w:rsid w:val="00182D83"/>
    <w:rsid w:val="00182EB0"/>
    <w:rsid w:val="001831A0"/>
    <w:rsid w:val="0018352C"/>
    <w:rsid w:val="0018359D"/>
    <w:rsid w:val="00183E89"/>
    <w:rsid w:val="00187807"/>
    <w:rsid w:val="00187D42"/>
    <w:rsid w:val="00190325"/>
    <w:rsid w:val="0019037C"/>
    <w:rsid w:val="00193F78"/>
    <w:rsid w:val="0019404E"/>
    <w:rsid w:val="00195011"/>
    <w:rsid w:val="001A06A2"/>
    <w:rsid w:val="001A1299"/>
    <w:rsid w:val="001A1C39"/>
    <w:rsid w:val="001A2D5E"/>
    <w:rsid w:val="001A4164"/>
    <w:rsid w:val="001A6008"/>
    <w:rsid w:val="001B0488"/>
    <w:rsid w:val="001B2552"/>
    <w:rsid w:val="001B5D3B"/>
    <w:rsid w:val="001B659A"/>
    <w:rsid w:val="001B665B"/>
    <w:rsid w:val="001B6AFD"/>
    <w:rsid w:val="001B71D5"/>
    <w:rsid w:val="001C0065"/>
    <w:rsid w:val="001C0085"/>
    <w:rsid w:val="001C17DE"/>
    <w:rsid w:val="001C1A1F"/>
    <w:rsid w:val="001C23E9"/>
    <w:rsid w:val="001C3406"/>
    <w:rsid w:val="001C3A25"/>
    <w:rsid w:val="001C4E86"/>
    <w:rsid w:val="001C624C"/>
    <w:rsid w:val="001C6AD6"/>
    <w:rsid w:val="001C6E8A"/>
    <w:rsid w:val="001D0CE0"/>
    <w:rsid w:val="001D1BCD"/>
    <w:rsid w:val="001D3950"/>
    <w:rsid w:val="001D3EEA"/>
    <w:rsid w:val="001D5748"/>
    <w:rsid w:val="001D5AF4"/>
    <w:rsid w:val="001D5BA2"/>
    <w:rsid w:val="001D5E09"/>
    <w:rsid w:val="001D72CE"/>
    <w:rsid w:val="001D779F"/>
    <w:rsid w:val="001D7CE9"/>
    <w:rsid w:val="001D7F8F"/>
    <w:rsid w:val="001E086B"/>
    <w:rsid w:val="001E18B3"/>
    <w:rsid w:val="001E1FB3"/>
    <w:rsid w:val="001E248F"/>
    <w:rsid w:val="001E4C56"/>
    <w:rsid w:val="001E4D10"/>
    <w:rsid w:val="001F0F45"/>
    <w:rsid w:val="001F104D"/>
    <w:rsid w:val="001F1DDF"/>
    <w:rsid w:val="001F205D"/>
    <w:rsid w:val="001F2D68"/>
    <w:rsid w:val="001F48C0"/>
    <w:rsid w:val="001F5332"/>
    <w:rsid w:val="001F70FC"/>
    <w:rsid w:val="001F7B06"/>
    <w:rsid w:val="002022E8"/>
    <w:rsid w:val="0020573C"/>
    <w:rsid w:val="002062C6"/>
    <w:rsid w:val="00206A46"/>
    <w:rsid w:val="0021133A"/>
    <w:rsid w:val="00211854"/>
    <w:rsid w:val="00213571"/>
    <w:rsid w:val="00213B88"/>
    <w:rsid w:val="00215ED4"/>
    <w:rsid w:val="0021650A"/>
    <w:rsid w:val="00216877"/>
    <w:rsid w:val="002169A9"/>
    <w:rsid w:val="00216A4E"/>
    <w:rsid w:val="0022130C"/>
    <w:rsid w:val="00222AE6"/>
    <w:rsid w:val="00222CF8"/>
    <w:rsid w:val="002230F1"/>
    <w:rsid w:val="00224818"/>
    <w:rsid w:val="00224B1A"/>
    <w:rsid w:val="00226DA4"/>
    <w:rsid w:val="00230A38"/>
    <w:rsid w:val="0023122B"/>
    <w:rsid w:val="00232785"/>
    <w:rsid w:val="00232BED"/>
    <w:rsid w:val="00233D40"/>
    <w:rsid w:val="00237339"/>
    <w:rsid w:val="00237892"/>
    <w:rsid w:val="00245442"/>
    <w:rsid w:val="00246D69"/>
    <w:rsid w:val="00251487"/>
    <w:rsid w:val="002515D9"/>
    <w:rsid w:val="00252797"/>
    <w:rsid w:val="00253807"/>
    <w:rsid w:val="002543E8"/>
    <w:rsid w:val="00254F49"/>
    <w:rsid w:val="00256629"/>
    <w:rsid w:val="00256B5F"/>
    <w:rsid w:val="0025722A"/>
    <w:rsid w:val="002602F4"/>
    <w:rsid w:val="0026221E"/>
    <w:rsid w:val="0026279D"/>
    <w:rsid w:val="00262F73"/>
    <w:rsid w:val="00264438"/>
    <w:rsid w:val="00265DDD"/>
    <w:rsid w:val="002669D3"/>
    <w:rsid w:val="00266E57"/>
    <w:rsid w:val="002701C1"/>
    <w:rsid w:val="00270C45"/>
    <w:rsid w:val="00270E94"/>
    <w:rsid w:val="002718A6"/>
    <w:rsid w:val="0027190A"/>
    <w:rsid w:val="002721C1"/>
    <w:rsid w:val="00274DDB"/>
    <w:rsid w:val="002758E9"/>
    <w:rsid w:val="0027649B"/>
    <w:rsid w:val="00277D63"/>
    <w:rsid w:val="00280FC4"/>
    <w:rsid w:val="0028163D"/>
    <w:rsid w:val="00282047"/>
    <w:rsid w:val="0028253D"/>
    <w:rsid w:val="0028708F"/>
    <w:rsid w:val="0028762F"/>
    <w:rsid w:val="00287FBB"/>
    <w:rsid w:val="002901CD"/>
    <w:rsid w:val="002901D6"/>
    <w:rsid w:val="00290F80"/>
    <w:rsid w:val="00297669"/>
    <w:rsid w:val="00297A72"/>
    <w:rsid w:val="002A22F0"/>
    <w:rsid w:val="002A3D88"/>
    <w:rsid w:val="002A3FDD"/>
    <w:rsid w:val="002A4E5D"/>
    <w:rsid w:val="002A59C5"/>
    <w:rsid w:val="002A5E1C"/>
    <w:rsid w:val="002A6542"/>
    <w:rsid w:val="002A6AAA"/>
    <w:rsid w:val="002A76AB"/>
    <w:rsid w:val="002B0150"/>
    <w:rsid w:val="002B1258"/>
    <w:rsid w:val="002B2507"/>
    <w:rsid w:val="002B3B2B"/>
    <w:rsid w:val="002B4A8B"/>
    <w:rsid w:val="002B4DD0"/>
    <w:rsid w:val="002B5BDC"/>
    <w:rsid w:val="002B5EA1"/>
    <w:rsid w:val="002B67D7"/>
    <w:rsid w:val="002C149B"/>
    <w:rsid w:val="002C3518"/>
    <w:rsid w:val="002C375F"/>
    <w:rsid w:val="002C3D7D"/>
    <w:rsid w:val="002C7355"/>
    <w:rsid w:val="002C791B"/>
    <w:rsid w:val="002D0CF7"/>
    <w:rsid w:val="002D47BB"/>
    <w:rsid w:val="002D58D8"/>
    <w:rsid w:val="002E0DC3"/>
    <w:rsid w:val="002E144F"/>
    <w:rsid w:val="002E16AE"/>
    <w:rsid w:val="002E1BFB"/>
    <w:rsid w:val="002E3460"/>
    <w:rsid w:val="002E4226"/>
    <w:rsid w:val="002E5DE4"/>
    <w:rsid w:val="002E61F9"/>
    <w:rsid w:val="002F1089"/>
    <w:rsid w:val="002F1C38"/>
    <w:rsid w:val="002F2BAB"/>
    <w:rsid w:val="002F4169"/>
    <w:rsid w:val="002F4A48"/>
    <w:rsid w:val="002F5556"/>
    <w:rsid w:val="002F558C"/>
    <w:rsid w:val="002F57A8"/>
    <w:rsid w:val="002F65D9"/>
    <w:rsid w:val="002F66CF"/>
    <w:rsid w:val="002F72AF"/>
    <w:rsid w:val="00300FB5"/>
    <w:rsid w:val="0030146B"/>
    <w:rsid w:val="00303688"/>
    <w:rsid w:val="00305E41"/>
    <w:rsid w:val="003063B9"/>
    <w:rsid w:val="003073B4"/>
    <w:rsid w:val="003077C4"/>
    <w:rsid w:val="003118B9"/>
    <w:rsid w:val="00311E53"/>
    <w:rsid w:val="0031392F"/>
    <w:rsid w:val="003142A2"/>
    <w:rsid w:val="00315D95"/>
    <w:rsid w:val="003203C1"/>
    <w:rsid w:val="003215A4"/>
    <w:rsid w:val="00324CF3"/>
    <w:rsid w:val="00325140"/>
    <w:rsid w:val="003254CA"/>
    <w:rsid w:val="00326A35"/>
    <w:rsid w:val="00326D8C"/>
    <w:rsid w:val="00331A66"/>
    <w:rsid w:val="00331ED3"/>
    <w:rsid w:val="00332515"/>
    <w:rsid w:val="003329EE"/>
    <w:rsid w:val="00332E49"/>
    <w:rsid w:val="00333081"/>
    <w:rsid w:val="00336B78"/>
    <w:rsid w:val="00337855"/>
    <w:rsid w:val="003403ED"/>
    <w:rsid w:val="003415B8"/>
    <w:rsid w:val="00343B3E"/>
    <w:rsid w:val="0034451E"/>
    <w:rsid w:val="003446F4"/>
    <w:rsid w:val="00345212"/>
    <w:rsid w:val="003479A9"/>
    <w:rsid w:val="003501C9"/>
    <w:rsid w:val="00350694"/>
    <w:rsid w:val="003513BE"/>
    <w:rsid w:val="00351A22"/>
    <w:rsid w:val="00352D79"/>
    <w:rsid w:val="00353287"/>
    <w:rsid w:val="00355785"/>
    <w:rsid w:val="003557CA"/>
    <w:rsid w:val="00355927"/>
    <w:rsid w:val="00356077"/>
    <w:rsid w:val="00356611"/>
    <w:rsid w:val="00357F57"/>
    <w:rsid w:val="0036333E"/>
    <w:rsid w:val="00364B39"/>
    <w:rsid w:val="00364C0C"/>
    <w:rsid w:val="00364D51"/>
    <w:rsid w:val="00364E15"/>
    <w:rsid w:val="0036776D"/>
    <w:rsid w:val="00370521"/>
    <w:rsid w:val="00372364"/>
    <w:rsid w:val="00373E66"/>
    <w:rsid w:val="00373F68"/>
    <w:rsid w:val="00374DC8"/>
    <w:rsid w:val="00376A99"/>
    <w:rsid w:val="00376EBE"/>
    <w:rsid w:val="00377114"/>
    <w:rsid w:val="003812D5"/>
    <w:rsid w:val="00381D05"/>
    <w:rsid w:val="00385408"/>
    <w:rsid w:val="00387B22"/>
    <w:rsid w:val="00387FA9"/>
    <w:rsid w:val="00390270"/>
    <w:rsid w:val="00390F06"/>
    <w:rsid w:val="00391C6E"/>
    <w:rsid w:val="00391E75"/>
    <w:rsid w:val="003929E9"/>
    <w:rsid w:val="0039432C"/>
    <w:rsid w:val="00394861"/>
    <w:rsid w:val="0039532A"/>
    <w:rsid w:val="003962E7"/>
    <w:rsid w:val="003964DC"/>
    <w:rsid w:val="00396DA9"/>
    <w:rsid w:val="003971BF"/>
    <w:rsid w:val="00397E79"/>
    <w:rsid w:val="003A04C8"/>
    <w:rsid w:val="003A1787"/>
    <w:rsid w:val="003A295E"/>
    <w:rsid w:val="003A3C3F"/>
    <w:rsid w:val="003A47A1"/>
    <w:rsid w:val="003A53B2"/>
    <w:rsid w:val="003A5659"/>
    <w:rsid w:val="003A6838"/>
    <w:rsid w:val="003B0E7D"/>
    <w:rsid w:val="003B11ED"/>
    <w:rsid w:val="003B3CCE"/>
    <w:rsid w:val="003B3E4D"/>
    <w:rsid w:val="003B4AAE"/>
    <w:rsid w:val="003B78F7"/>
    <w:rsid w:val="003B7A6B"/>
    <w:rsid w:val="003C13A6"/>
    <w:rsid w:val="003C195F"/>
    <w:rsid w:val="003C3A13"/>
    <w:rsid w:val="003C4ABB"/>
    <w:rsid w:val="003C6454"/>
    <w:rsid w:val="003D0BA7"/>
    <w:rsid w:val="003D2D27"/>
    <w:rsid w:val="003D39C0"/>
    <w:rsid w:val="003E063C"/>
    <w:rsid w:val="003E0F8A"/>
    <w:rsid w:val="003E13EE"/>
    <w:rsid w:val="003E1A9A"/>
    <w:rsid w:val="003E1E40"/>
    <w:rsid w:val="003E3256"/>
    <w:rsid w:val="003E3707"/>
    <w:rsid w:val="003E3FAD"/>
    <w:rsid w:val="003E63E2"/>
    <w:rsid w:val="003E78D3"/>
    <w:rsid w:val="003F093D"/>
    <w:rsid w:val="003F1F3D"/>
    <w:rsid w:val="003F3256"/>
    <w:rsid w:val="003F3A2B"/>
    <w:rsid w:val="003F4085"/>
    <w:rsid w:val="003F4FDF"/>
    <w:rsid w:val="003F5E75"/>
    <w:rsid w:val="003F77B7"/>
    <w:rsid w:val="003F7E69"/>
    <w:rsid w:val="00401437"/>
    <w:rsid w:val="00401849"/>
    <w:rsid w:val="00403C6C"/>
    <w:rsid w:val="00404546"/>
    <w:rsid w:val="0040454B"/>
    <w:rsid w:val="004058D1"/>
    <w:rsid w:val="00406380"/>
    <w:rsid w:val="00411650"/>
    <w:rsid w:val="004122B3"/>
    <w:rsid w:val="0041639A"/>
    <w:rsid w:val="0042214B"/>
    <w:rsid w:val="0042423F"/>
    <w:rsid w:val="004242E2"/>
    <w:rsid w:val="00424947"/>
    <w:rsid w:val="004255C3"/>
    <w:rsid w:val="0042607E"/>
    <w:rsid w:val="00432CCA"/>
    <w:rsid w:val="0044025B"/>
    <w:rsid w:val="00442991"/>
    <w:rsid w:val="00444D6F"/>
    <w:rsid w:val="004459AF"/>
    <w:rsid w:val="00445EB1"/>
    <w:rsid w:val="00447286"/>
    <w:rsid w:val="00447749"/>
    <w:rsid w:val="00450B91"/>
    <w:rsid w:val="0045211C"/>
    <w:rsid w:val="0045296F"/>
    <w:rsid w:val="00452C56"/>
    <w:rsid w:val="004530F9"/>
    <w:rsid w:val="004535F8"/>
    <w:rsid w:val="00454FD1"/>
    <w:rsid w:val="0045512C"/>
    <w:rsid w:val="00455FC1"/>
    <w:rsid w:val="00457451"/>
    <w:rsid w:val="00460F47"/>
    <w:rsid w:val="004610F9"/>
    <w:rsid w:val="00461D5F"/>
    <w:rsid w:val="00463240"/>
    <w:rsid w:val="0046340D"/>
    <w:rsid w:val="00465451"/>
    <w:rsid w:val="0046598B"/>
    <w:rsid w:val="004664D9"/>
    <w:rsid w:val="00466E14"/>
    <w:rsid w:val="004678EA"/>
    <w:rsid w:val="00467BD0"/>
    <w:rsid w:val="00470950"/>
    <w:rsid w:val="00470BB5"/>
    <w:rsid w:val="004712F8"/>
    <w:rsid w:val="004713FD"/>
    <w:rsid w:val="00471564"/>
    <w:rsid w:val="00471E1F"/>
    <w:rsid w:val="00472110"/>
    <w:rsid w:val="0047229C"/>
    <w:rsid w:val="004726CE"/>
    <w:rsid w:val="00473054"/>
    <w:rsid w:val="00473436"/>
    <w:rsid w:val="00473466"/>
    <w:rsid w:val="0047377E"/>
    <w:rsid w:val="00475BF8"/>
    <w:rsid w:val="00476873"/>
    <w:rsid w:val="00477389"/>
    <w:rsid w:val="00480831"/>
    <w:rsid w:val="0048218F"/>
    <w:rsid w:val="00482C98"/>
    <w:rsid w:val="00482ED5"/>
    <w:rsid w:val="0048324D"/>
    <w:rsid w:val="004840E3"/>
    <w:rsid w:val="0048563D"/>
    <w:rsid w:val="0048565B"/>
    <w:rsid w:val="00486147"/>
    <w:rsid w:val="00490AF1"/>
    <w:rsid w:val="00491012"/>
    <w:rsid w:val="0049101A"/>
    <w:rsid w:val="004919AE"/>
    <w:rsid w:val="00491FCC"/>
    <w:rsid w:val="0049200C"/>
    <w:rsid w:val="00492265"/>
    <w:rsid w:val="0049465F"/>
    <w:rsid w:val="00494F86"/>
    <w:rsid w:val="0049554D"/>
    <w:rsid w:val="004956A0"/>
    <w:rsid w:val="004956AD"/>
    <w:rsid w:val="004A0F44"/>
    <w:rsid w:val="004A2417"/>
    <w:rsid w:val="004A3FA2"/>
    <w:rsid w:val="004A461A"/>
    <w:rsid w:val="004A5908"/>
    <w:rsid w:val="004A6C03"/>
    <w:rsid w:val="004B01C0"/>
    <w:rsid w:val="004B124B"/>
    <w:rsid w:val="004B1964"/>
    <w:rsid w:val="004B35D8"/>
    <w:rsid w:val="004B43E9"/>
    <w:rsid w:val="004B4D1B"/>
    <w:rsid w:val="004B5371"/>
    <w:rsid w:val="004B55AA"/>
    <w:rsid w:val="004B6729"/>
    <w:rsid w:val="004B740D"/>
    <w:rsid w:val="004B7886"/>
    <w:rsid w:val="004B7923"/>
    <w:rsid w:val="004C08AF"/>
    <w:rsid w:val="004C12AB"/>
    <w:rsid w:val="004C2E8F"/>
    <w:rsid w:val="004C2F84"/>
    <w:rsid w:val="004C32AA"/>
    <w:rsid w:val="004C4449"/>
    <w:rsid w:val="004C5780"/>
    <w:rsid w:val="004C59F0"/>
    <w:rsid w:val="004C69C2"/>
    <w:rsid w:val="004C6A9E"/>
    <w:rsid w:val="004D1616"/>
    <w:rsid w:val="004D2689"/>
    <w:rsid w:val="004D7826"/>
    <w:rsid w:val="004E02EF"/>
    <w:rsid w:val="004E03C6"/>
    <w:rsid w:val="004E3546"/>
    <w:rsid w:val="004E3C00"/>
    <w:rsid w:val="004E5EFB"/>
    <w:rsid w:val="004E7D4E"/>
    <w:rsid w:val="004F01FB"/>
    <w:rsid w:val="004F0D4C"/>
    <w:rsid w:val="004F3CA7"/>
    <w:rsid w:val="004F7733"/>
    <w:rsid w:val="004F792A"/>
    <w:rsid w:val="00501590"/>
    <w:rsid w:val="00503D14"/>
    <w:rsid w:val="00504388"/>
    <w:rsid w:val="0050679B"/>
    <w:rsid w:val="0050770A"/>
    <w:rsid w:val="005112AC"/>
    <w:rsid w:val="00511ABE"/>
    <w:rsid w:val="00511C56"/>
    <w:rsid w:val="00512FDD"/>
    <w:rsid w:val="005135BB"/>
    <w:rsid w:val="00513BD5"/>
    <w:rsid w:val="00514FEE"/>
    <w:rsid w:val="00516267"/>
    <w:rsid w:val="005163B0"/>
    <w:rsid w:val="00516DF7"/>
    <w:rsid w:val="00520927"/>
    <w:rsid w:val="00520E8A"/>
    <w:rsid w:val="005231C1"/>
    <w:rsid w:val="005241CB"/>
    <w:rsid w:val="005267B6"/>
    <w:rsid w:val="00527532"/>
    <w:rsid w:val="005276AD"/>
    <w:rsid w:val="005279BB"/>
    <w:rsid w:val="005306EA"/>
    <w:rsid w:val="00530943"/>
    <w:rsid w:val="0053127A"/>
    <w:rsid w:val="00531682"/>
    <w:rsid w:val="005322D5"/>
    <w:rsid w:val="0053611A"/>
    <w:rsid w:val="00536F20"/>
    <w:rsid w:val="0053781B"/>
    <w:rsid w:val="0053785B"/>
    <w:rsid w:val="00537FF5"/>
    <w:rsid w:val="005406EF"/>
    <w:rsid w:val="00540D8A"/>
    <w:rsid w:val="005410DA"/>
    <w:rsid w:val="00541498"/>
    <w:rsid w:val="00542F4A"/>
    <w:rsid w:val="00543D57"/>
    <w:rsid w:val="0054404F"/>
    <w:rsid w:val="00544ABB"/>
    <w:rsid w:val="005451CF"/>
    <w:rsid w:val="00545599"/>
    <w:rsid w:val="00550A04"/>
    <w:rsid w:val="005528B2"/>
    <w:rsid w:val="005540C6"/>
    <w:rsid w:val="00557E32"/>
    <w:rsid w:val="00560138"/>
    <w:rsid w:val="0056289D"/>
    <w:rsid w:val="00562ADB"/>
    <w:rsid w:val="00563E58"/>
    <w:rsid w:val="00566CDA"/>
    <w:rsid w:val="00566E53"/>
    <w:rsid w:val="00566EE9"/>
    <w:rsid w:val="00567558"/>
    <w:rsid w:val="00570266"/>
    <w:rsid w:val="005702D0"/>
    <w:rsid w:val="00571208"/>
    <w:rsid w:val="0057333F"/>
    <w:rsid w:val="0057482F"/>
    <w:rsid w:val="00576936"/>
    <w:rsid w:val="00581002"/>
    <w:rsid w:val="00581B53"/>
    <w:rsid w:val="00582812"/>
    <w:rsid w:val="00582BD0"/>
    <w:rsid w:val="00583BF7"/>
    <w:rsid w:val="005848BC"/>
    <w:rsid w:val="00584D1A"/>
    <w:rsid w:val="00586FBA"/>
    <w:rsid w:val="00590990"/>
    <w:rsid w:val="005916B7"/>
    <w:rsid w:val="005923BB"/>
    <w:rsid w:val="00592ED2"/>
    <w:rsid w:val="005945E0"/>
    <w:rsid w:val="0059711B"/>
    <w:rsid w:val="005A0EA1"/>
    <w:rsid w:val="005A1EA3"/>
    <w:rsid w:val="005A40F7"/>
    <w:rsid w:val="005A5A02"/>
    <w:rsid w:val="005A7B24"/>
    <w:rsid w:val="005B0934"/>
    <w:rsid w:val="005B0FEC"/>
    <w:rsid w:val="005B2477"/>
    <w:rsid w:val="005B3C90"/>
    <w:rsid w:val="005B3F80"/>
    <w:rsid w:val="005B3FCF"/>
    <w:rsid w:val="005B56F6"/>
    <w:rsid w:val="005B5FB9"/>
    <w:rsid w:val="005B687F"/>
    <w:rsid w:val="005C4309"/>
    <w:rsid w:val="005C7B56"/>
    <w:rsid w:val="005D023C"/>
    <w:rsid w:val="005D0915"/>
    <w:rsid w:val="005D0F06"/>
    <w:rsid w:val="005D1062"/>
    <w:rsid w:val="005D2C97"/>
    <w:rsid w:val="005D2CB1"/>
    <w:rsid w:val="005D4548"/>
    <w:rsid w:val="005D5205"/>
    <w:rsid w:val="005D5586"/>
    <w:rsid w:val="005D64EE"/>
    <w:rsid w:val="005D6E97"/>
    <w:rsid w:val="005D7D3F"/>
    <w:rsid w:val="005E0093"/>
    <w:rsid w:val="005E17BF"/>
    <w:rsid w:val="005E1CED"/>
    <w:rsid w:val="005E23F7"/>
    <w:rsid w:val="005E45BF"/>
    <w:rsid w:val="005E5C38"/>
    <w:rsid w:val="005E6C3D"/>
    <w:rsid w:val="005F0070"/>
    <w:rsid w:val="005F00A8"/>
    <w:rsid w:val="005F04FD"/>
    <w:rsid w:val="005F2746"/>
    <w:rsid w:val="005F725C"/>
    <w:rsid w:val="00600A11"/>
    <w:rsid w:val="00600D89"/>
    <w:rsid w:val="0060285A"/>
    <w:rsid w:val="00604DE2"/>
    <w:rsid w:val="00606B85"/>
    <w:rsid w:val="00610AD8"/>
    <w:rsid w:val="006110A3"/>
    <w:rsid w:val="00611BF8"/>
    <w:rsid w:val="00612E00"/>
    <w:rsid w:val="00614095"/>
    <w:rsid w:val="00616640"/>
    <w:rsid w:val="00617594"/>
    <w:rsid w:val="00620DF5"/>
    <w:rsid w:val="006228D0"/>
    <w:rsid w:val="00622BBD"/>
    <w:rsid w:val="00624310"/>
    <w:rsid w:val="006265D7"/>
    <w:rsid w:val="00630CD6"/>
    <w:rsid w:val="00631652"/>
    <w:rsid w:val="006321C7"/>
    <w:rsid w:val="0063296F"/>
    <w:rsid w:val="00633DEF"/>
    <w:rsid w:val="00634B5A"/>
    <w:rsid w:val="0063701B"/>
    <w:rsid w:val="006370CC"/>
    <w:rsid w:val="00640489"/>
    <w:rsid w:val="006411E7"/>
    <w:rsid w:val="006412BA"/>
    <w:rsid w:val="00641D8C"/>
    <w:rsid w:val="00643F78"/>
    <w:rsid w:val="00644435"/>
    <w:rsid w:val="00644FB2"/>
    <w:rsid w:val="0064570B"/>
    <w:rsid w:val="0064598C"/>
    <w:rsid w:val="00645A9C"/>
    <w:rsid w:val="00645F63"/>
    <w:rsid w:val="00651DDF"/>
    <w:rsid w:val="00654500"/>
    <w:rsid w:val="00654E16"/>
    <w:rsid w:val="0066002E"/>
    <w:rsid w:val="00662173"/>
    <w:rsid w:val="00663119"/>
    <w:rsid w:val="006644EC"/>
    <w:rsid w:val="00667166"/>
    <w:rsid w:val="00667AC6"/>
    <w:rsid w:val="00670A3F"/>
    <w:rsid w:val="00671518"/>
    <w:rsid w:val="00671E2C"/>
    <w:rsid w:val="0067256E"/>
    <w:rsid w:val="00674377"/>
    <w:rsid w:val="0067450E"/>
    <w:rsid w:val="00674E4C"/>
    <w:rsid w:val="0067540F"/>
    <w:rsid w:val="0067586D"/>
    <w:rsid w:val="0067653F"/>
    <w:rsid w:val="00676C3D"/>
    <w:rsid w:val="006777CB"/>
    <w:rsid w:val="00680594"/>
    <w:rsid w:val="006836CA"/>
    <w:rsid w:val="00683B76"/>
    <w:rsid w:val="00683F8E"/>
    <w:rsid w:val="0068426C"/>
    <w:rsid w:val="0068647A"/>
    <w:rsid w:val="0068751B"/>
    <w:rsid w:val="006927EF"/>
    <w:rsid w:val="00694A99"/>
    <w:rsid w:val="006966C9"/>
    <w:rsid w:val="00696B4B"/>
    <w:rsid w:val="00696C89"/>
    <w:rsid w:val="00697217"/>
    <w:rsid w:val="00697F16"/>
    <w:rsid w:val="006A1664"/>
    <w:rsid w:val="006A26F2"/>
    <w:rsid w:val="006A2DFF"/>
    <w:rsid w:val="006A3291"/>
    <w:rsid w:val="006A3951"/>
    <w:rsid w:val="006A39E8"/>
    <w:rsid w:val="006A4DCD"/>
    <w:rsid w:val="006A6570"/>
    <w:rsid w:val="006A7003"/>
    <w:rsid w:val="006A7F9E"/>
    <w:rsid w:val="006B0CF0"/>
    <w:rsid w:val="006B1B5C"/>
    <w:rsid w:val="006B3336"/>
    <w:rsid w:val="006B3A1F"/>
    <w:rsid w:val="006B47F6"/>
    <w:rsid w:val="006C177A"/>
    <w:rsid w:val="006C1EAF"/>
    <w:rsid w:val="006C280A"/>
    <w:rsid w:val="006C4411"/>
    <w:rsid w:val="006C4768"/>
    <w:rsid w:val="006C6483"/>
    <w:rsid w:val="006C7D76"/>
    <w:rsid w:val="006C7F7C"/>
    <w:rsid w:val="006D06A5"/>
    <w:rsid w:val="006D16C3"/>
    <w:rsid w:val="006D1D07"/>
    <w:rsid w:val="006D33AA"/>
    <w:rsid w:val="006D35DF"/>
    <w:rsid w:val="006D3824"/>
    <w:rsid w:val="006D427E"/>
    <w:rsid w:val="006D4544"/>
    <w:rsid w:val="006D604C"/>
    <w:rsid w:val="006E013D"/>
    <w:rsid w:val="006E0571"/>
    <w:rsid w:val="006E10EB"/>
    <w:rsid w:val="006E1690"/>
    <w:rsid w:val="006E260A"/>
    <w:rsid w:val="006E285F"/>
    <w:rsid w:val="006E333D"/>
    <w:rsid w:val="006E504F"/>
    <w:rsid w:val="006F0265"/>
    <w:rsid w:val="006F056A"/>
    <w:rsid w:val="006F1299"/>
    <w:rsid w:val="006F24BA"/>
    <w:rsid w:val="006F37F6"/>
    <w:rsid w:val="006F693C"/>
    <w:rsid w:val="006F78D9"/>
    <w:rsid w:val="006F7AA9"/>
    <w:rsid w:val="007001CD"/>
    <w:rsid w:val="00700376"/>
    <w:rsid w:val="00700A86"/>
    <w:rsid w:val="00701DDB"/>
    <w:rsid w:val="007034BB"/>
    <w:rsid w:val="00704917"/>
    <w:rsid w:val="00710183"/>
    <w:rsid w:val="00710584"/>
    <w:rsid w:val="00710676"/>
    <w:rsid w:val="0071187E"/>
    <w:rsid w:val="00712113"/>
    <w:rsid w:val="007132B5"/>
    <w:rsid w:val="00715E05"/>
    <w:rsid w:val="007171E3"/>
    <w:rsid w:val="00717AAB"/>
    <w:rsid w:val="00717BDF"/>
    <w:rsid w:val="007207B3"/>
    <w:rsid w:val="00720A50"/>
    <w:rsid w:val="007210C4"/>
    <w:rsid w:val="00723224"/>
    <w:rsid w:val="007236AC"/>
    <w:rsid w:val="00723F0D"/>
    <w:rsid w:val="00723F19"/>
    <w:rsid w:val="007271CA"/>
    <w:rsid w:val="00727297"/>
    <w:rsid w:val="007313F2"/>
    <w:rsid w:val="0073175D"/>
    <w:rsid w:val="007319C5"/>
    <w:rsid w:val="00732849"/>
    <w:rsid w:val="007328CA"/>
    <w:rsid w:val="00733BDF"/>
    <w:rsid w:val="00733E30"/>
    <w:rsid w:val="00735DEE"/>
    <w:rsid w:val="00736364"/>
    <w:rsid w:val="0073709F"/>
    <w:rsid w:val="007433A5"/>
    <w:rsid w:val="00743F45"/>
    <w:rsid w:val="00744142"/>
    <w:rsid w:val="00744372"/>
    <w:rsid w:val="0074457D"/>
    <w:rsid w:val="00744B38"/>
    <w:rsid w:val="0074552A"/>
    <w:rsid w:val="007461F0"/>
    <w:rsid w:val="00746914"/>
    <w:rsid w:val="00746C56"/>
    <w:rsid w:val="00746CA2"/>
    <w:rsid w:val="0075075C"/>
    <w:rsid w:val="00750E12"/>
    <w:rsid w:val="0075249A"/>
    <w:rsid w:val="0075307C"/>
    <w:rsid w:val="00753870"/>
    <w:rsid w:val="00755A5A"/>
    <w:rsid w:val="0075789F"/>
    <w:rsid w:val="00757BAD"/>
    <w:rsid w:val="00757EE3"/>
    <w:rsid w:val="00760633"/>
    <w:rsid w:val="00761E40"/>
    <w:rsid w:val="00764207"/>
    <w:rsid w:val="00764A86"/>
    <w:rsid w:val="007652C1"/>
    <w:rsid w:val="007675FD"/>
    <w:rsid w:val="007723EF"/>
    <w:rsid w:val="0077566A"/>
    <w:rsid w:val="00775A78"/>
    <w:rsid w:val="007764DA"/>
    <w:rsid w:val="007769B2"/>
    <w:rsid w:val="00777644"/>
    <w:rsid w:val="007813D4"/>
    <w:rsid w:val="00782936"/>
    <w:rsid w:val="007839A3"/>
    <w:rsid w:val="00784DAD"/>
    <w:rsid w:val="00785378"/>
    <w:rsid w:val="007855C4"/>
    <w:rsid w:val="007909B4"/>
    <w:rsid w:val="00791D74"/>
    <w:rsid w:val="00792222"/>
    <w:rsid w:val="00792C2A"/>
    <w:rsid w:val="0079535A"/>
    <w:rsid w:val="00797DB9"/>
    <w:rsid w:val="007A11D9"/>
    <w:rsid w:val="007A121E"/>
    <w:rsid w:val="007A20D8"/>
    <w:rsid w:val="007A5819"/>
    <w:rsid w:val="007B1F02"/>
    <w:rsid w:val="007B31E0"/>
    <w:rsid w:val="007B4795"/>
    <w:rsid w:val="007B4980"/>
    <w:rsid w:val="007B59B9"/>
    <w:rsid w:val="007B737F"/>
    <w:rsid w:val="007B73E5"/>
    <w:rsid w:val="007B7BD3"/>
    <w:rsid w:val="007C00D3"/>
    <w:rsid w:val="007C0BD2"/>
    <w:rsid w:val="007C2978"/>
    <w:rsid w:val="007C3404"/>
    <w:rsid w:val="007C382E"/>
    <w:rsid w:val="007D2517"/>
    <w:rsid w:val="007D3DA3"/>
    <w:rsid w:val="007D5E64"/>
    <w:rsid w:val="007D60FD"/>
    <w:rsid w:val="007D7D6D"/>
    <w:rsid w:val="007E0172"/>
    <w:rsid w:val="007E02E2"/>
    <w:rsid w:val="007E0B38"/>
    <w:rsid w:val="007E2825"/>
    <w:rsid w:val="007E61D5"/>
    <w:rsid w:val="007E63B2"/>
    <w:rsid w:val="007E686D"/>
    <w:rsid w:val="007E68F7"/>
    <w:rsid w:val="007F0CE6"/>
    <w:rsid w:val="007F0EC7"/>
    <w:rsid w:val="007F11AC"/>
    <w:rsid w:val="007F22E2"/>
    <w:rsid w:val="007F2873"/>
    <w:rsid w:val="007F52A3"/>
    <w:rsid w:val="007F6016"/>
    <w:rsid w:val="007F681B"/>
    <w:rsid w:val="007F74AA"/>
    <w:rsid w:val="00801CDF"/>
    <w:rsid w:val="00803707"/>
    <w:rsid w:val="0080577D"/>
    <w:rsid w:val="0080637F"/>
    <w:rsid w:val="0080729E"/>
    <w:rsid w:val="008102C5"/>
    <w:rsid w:val="0081052D"/>
    <w:rsid w:val="0081053E"/>
    <w:rsid w:val="00810A85"/>
    <w:rsid w:val="00811B6A"/>
    <w:rsid w:val="00814414"/>
    <w:rsid w:val="0081516C"/>
    <w:rsid w:val="008160C6"/>
    <w:rsid w:val="00817C4F"/>
    <w:rsid w:val="00820F88"/>
    <w:rsid w:val="00821468"/>
    <w:rsid w:val="00822C9C"/>
    <w:rsid w:val="008265A2"/>
    <w:rsid w:val="00826CEB"/>
    <w:rsid w:val="00827F5E"/>
    <w:rsid w:val="00830F11"/>
    <w:rsid w:val="008317D7"/>
    <w:rsid w:val="0083306C"/>
    <w:rsid w:val="00834DC7"/>
    <w:rsid w:val="008375CF"/>
    <w:rsid w:val="00837F57"/>
    <w:rsid w:val="008404EC"/>
    <w:rsid w:val="008413E9"/>
    <w:rsid w:val="00841EFB"/>
    <w:rsid w:val="00842FB4"/>
    <w:rsid w:val="0084399C"/>
    <w:rsid w:val="00843C89"/>
    <w:rsid w:val="0085014B"/>
    <w:rsid w:val="008506CD"/>
    <w:rsid w:val="00850BE9"/>
    <w:rsid w:val="00851A42"/>
    <w:rsid w:val="00851AFC"/>
    <w:rsid w:val="0085231C"/>
    <w:rsid w:val="00852EB5"/>
    <w:rsid w:val="0085367B"/>
    <w:rsid w:val="00854313"/>
    <w:rsid w:val="008562ED"/>
    <w:rsid w:val="008569E0"/>
    <w:rsid w:val="00856CF3"/>
    <w:rsid w:val="00860FE0"/>
    <w:rsid w:val="00862C53"/>
    <w:rsid w:val="00863DEF"/>
    <w:rsid w:val="00864BD8"/>
    <w:rsid w:val="00865191"/>
    <w:rsid w:val="00865E8F"/>
    <w:rsid w:val="008670C5"/>
    <w:rsid w:val="00870A25"/>
    <w:rsid w:val="00871AAD"/>
    <w:rsid w:val="00872AEB"/>
    <w:rsid w:val="00872EAC"/>
    <w:rsid w:val="0087389C"/>
    <w:rsid w:val="008761B8"/>
    <w:rsid w:val="00876A20"/>
    <w:rsid w:val="00876C16"/>
    <w:rsid w:val="00877037"/>
    <w:rsid w:val="008778A5"/>
    <w:rsid w:val="00880C58"/>
    <w:rsid w:val="00880E63"/>
    <w:rsid w:val="00881B1B"/>
    <w:rsid w:val="00885204"/>
    <w:rsid w:val="00885CF8"/>
    <w:rsid w:val="0088667E"/>
    <w:rsid w:val="00887037"/>
    <w:rsid w:val="0088768A"/>
    <w:rsid w:val="00887759"/>
    <w:rsid w:val="0089070A"/>
    <w:rsid w:val="00893166"/>
    <w:rsid w:val="0089734C"/>
    <w:rsid w:val="00897F59"/>
    <w:rsid w:val="008A0E1F"/>
    <w:rsid w:val="008A223E"/>
    <w:rsid w:val="008A6FE0"/>
    <w:rsid w:val="008B0056"/>
    <w:rsid w:val="008B3932"/>
    <w:rsid w:val="008B4EAF"/>
    <w:rsid w:val="008B54CA"/>
    <w:rsid w:val="008B6973"/>
    <w:rsid w:val="008B7023"/>
    <w:rsid w:val="008C054D"/>
    <w:rsid w:val="008C2893"/>
    <w:rsid w:val="008C3931"/>
    <w:rsid w:val="008C4096"/>
    <w:rsid w:val="008C47D8"/>
    <w:rsid w:val="008C50C4"/>
    <w:rsid w:val="008C69FF"/>
    <w:rsid w:val="008C70B4"/>
    <w:rsid w:val="008D09D8"/>
    <w:rsid w:val="008D1653"/>
    <w:rsid w:val="008D4CF4"/>
    <w:rsid w:val="008D7B3D"/>
    <w:rsid w:val="008E02F5"/>
    <w:rsid w:val="008E1073"/>
    <w:rsid w:val="008E3152"/>
    <w:rsid w:val="008E3C6A"/>
    <w:rsid w:val="008E3F30"/>
    <w:rsid w:val="008E425F"/>
    <w:rsid w:val="008E5873"/>
    <w:rsid w:val="008E608C"/>
    <w:rsid w:val="008E7A5A"/>
    <w:rsid w:val="008E7C7E"/>
    <w:rsid w:val="008F1065"/>
    <w:rsid w:val="008F16E4"/>
    <w:rsid w:val="008F2C19"/>
    <w:rsid w:val="008F2CDA"/>
    <w:rsid w:val="008F3B20"/>
    <w:rsid w:val="008F47F9"/>
    <w:rsid w:val="008F5005"/>
    <w:rsid w:val="008F6397"/>
    <w:rsid w:val="00901379"/>
    <w:rsid w:val="00903ADB"/>
    <w:rsid w:val="009041DB"/>
    <w:rsid w:val="00904446"/>
    <w:rsid w:val="00904FF8"/>
    <w:rsid w:val="009069B8"/>
    <w:rsid w:val="0091272C"/>
    <w:rsid w:val="00912E11"/>
    <w:rsid w:val="00917309"/>
    <w:rsid w:val="00920A02"/>
    <w:rsid w:val="00920BA6"/>
    <w:rsid w:val="009228F1"/>
    <w:rsid w:val="00923C7C"/>
    <w:rsid w:val="009250F1"/>
    <w:rsid w:val="00933A45"/>
    <w:rsid w:val="00933CA0"/>
    <w:rsid w:val="009359A0"/>
    <w:rsid w:val="00935BA5"/>
    <w:rsid w:val="00937260"/>
    <w:rsid w:val="0093726D"/>
    <w:rsid w:val="009402D7"/>
    <w:rsid w:val="009417D6"/>
    <w:rsid w:val="00941ED9"/>
    <w:rsid w:val="00942A7C"/>
    <w:rsid w:val="00943498"/>
    <w:rsid w:val="00944610"/>
    <w:rsid w:val="0094504E"/>
    <w:rsid w:val="00945762"/>
    <w:rsid w:val="00945C59"/>
    <w:rsid w:val="009467BC"/>
    <w:rsid w:val="00947791"/>
    <w:rsid w:val="00947D31"/>
    <w:rsid w:val="009500AC"/>
    <w:rsid w:val="00951E49"/>
    <w:rsid w:val="00952FD4"/>
    <w:rsid w:val="009537DC"/>
    <w:rsid w:val="0095438E"/>
    <w:rsid w:val="00954D30"/>
    <w:rsid w:val="00957CD6"/>
    <w:rsid w:val="00960DE8"/>
    <w:rsid w:val="0096177F"/>
    <w:rsid w:val="00961DCD"/>
    <w:rsid w:val="00962450"/>
    <w:rsid w:val="00962B2C"/>
    <w:rsid w:val="009631DB"/>
    <w:rsid w:val="00963D1F"/>
    <w:rsid w:val="009641A6"/>
    <w:rsid w:val="00966E52"/>
    <w:rsid w:val="009704BB"/>
    <w:rsid w:val="009717C8"/>
    <w:rsid w:val="00971A8B"/>
    <w:rsid w:val="00972845"/>
    <w:rsid w:val="00973760"/>
    <w:rsid w:val="0097393E"/>
    <w:rsid w:val="00973EA8"/>
    <w:rsid w:val="00974111"/>
    <w:rsid w:val="0097592C"/>
    <w:rsid w:val="00977C2A"/>
    <w:rsid w:val="00980992"/>
    <w:rsid w:val="009815B7"/>
    <w:rsid w:val="00982FA5"/>
    <w:rsid w:val="00983EAE"/>
    <w:rsid w:val="009840A3"/>
    <w:rsid w:val="009846EF"/>
    <w:rsid w:val="009858DA"/>
    <w:rsid w:val="00985927"/>
    <w:rsid w:val="00985ADE"/>
    <w:rsid w:val="0098668A"/>
    <w:rsid w:val="00987106"/>
    <w:rsid w:val="0098743E"/>
    <w:rsid w:val="00987EAF"/>
    <w:rsid w:val="00992EF1"/>
    <w:rsid w:val="00995906"/>
    <w:rsid w:val="0099676F"/>
    <w:rsid w:val="0099684E"/>
    <w:rsid w:val="00996933"/>
    <w:rsid w:val="00996A50"/>
    <w:rsid w:val="00997414"/>
    <w:rsid w:val="00997461"/>
    <w:rsid w:val="00997850"/>
    <w:rsid w:val="00997CC3"/>
    <w:rsid w:val="009A0D01"/>
    <w:rsid w:val="009A2ABD"/>
    <w:rsid w:val="009A4379"/>
    <w:rsid w:val="009A6C23"/>
    <w:rsid w:val="009A736D"/>
    <w:rsid w:val="009B1F15"/>
    <w:rsid w:val="009B37C1"/>
    <w:rsid w:val="009B3F2D"/>
    <w:rsid w:val="009B4127"/>
    <w:rsid w:val="009B5723"/>
    <w:rsid w:val="009B6037"/>
    <w:rsid w:val="009C03D9"/>
    <w:rsid w:val="009C1A74"/>
    <w:rsid w:val="009C2120"/>
    <w:rsid w:val="009C2975"/>
    <w:rsid w:val="009C2A35"/>
    <w:rsid w:val="009C407E"/>
    <w:rsid w:val="009C4340"/>
    <w:rsid w:val="009C4B13"/>
    <w:rsid w:val="009C4BF0"/>
    <w:rsid w:val="009C560A"/>
    <w:rsid w:val="009C5C31"/>
    <w:rsid w:val="009C5E01"/>
    <w:rsid w:val="009C5FED"/>
    <w:rsid w:val="009C66F9"/>
    <w:rsid w:val="009C6DEA"/>
    <w:rsid w:val="009D3061"/>
    <w:rsid w:val="009D4541"/>
    <w:rsid w:val="009D4A5D"/>
    <w:rsid w:val="009D6425"/>
    <w:rsid w:val="009E1710"/>
    <w:rsid w:val="009E2C13"/>
    <w:rsid w:val="009E3F40"/>
    <w:rsid w:val="009E41B9"/>
    <w:rsid w:val="009E4375"/>
    <w:rsid w:val="009E4988"/>
    <w:rsid w:val="009E5346"/>
    <w:rsid w:val="009E679C"/>
    <w:rsid w:val="009E6D3F"/>
    <w:rsid w:val="009E7574"/>
    <w:rsid w:val="009F1717"/>
    <w:rsid w:val="009F1C40"/>
    <w:rsid w:val="009F6D44"/>
    <w:rsid w:val="00A02B1C"/>
    <w:rsid w:val="00A04D52"/>
    <w:rsid w:val="00A07FC8"/>
    <w:rsid w:val="00A100F7"/>
    <w:rsid w:val="00A1293E"/>
    <w:rsid w:val="00A13AB8"/>
    <w:rsid w:val="00A13F36"/>
    <w:rsid w:val="00A16E43"/>
    <w:rsid w:val="00A20EB0"/>
    <w:rsid w:val="00A230C4"/>
    <w:rsid w:val="00A23795"/>
    <w:rsid w:val="00A2472E"/>
    <w:rsid w:val="00A24D10"/>
    <w:rsid w:val="00A25371"/>
    <w:rsid w:val="00A27372"/>
    <w:rsid w:val="00A27B61"/>
    <w:rsid w:val="00A27D92"/>
    <w:rsid w:val="00A27F67"/>
    <w:rsid w:val="00A30644"/>
    <w:rsid w:val="00A30C69"/>
    <w:rsid w:val="00A316A7"/>
    <w:rsid w:val="00A322FF"/>
    <w:rsid w:val="00A33BE7"/>
    <w:rsid w:val="00A3747E"/>
    <w:rsid w:val="00A4054B"/>
    <w:rsid w:val="00A40573"/>
    <w:rsid w:val="00A4078A"/>
    <w:rsid w:val="00A40B2D"/>
    <w:rsid w:val="00A4472D"/>
    <w:rsid w:val="00A464F0"/>
    <w:rsid w:val="00A47BB9"/>
    <w:rsid w:val="00A50A63"/>
    <w:rsid w:val="00A52CA4"/>
    <w:rsid w:val="00A541F6"/>
    <w:rsid w:val="00A56646"/>
    <w:rsid w:val="00A5754C"/>
    <w:rsid w:val="00A57715"/>
    <w:rsid w:val="00A601E0"/>
    <w:rsid w:val="00A62025"/>
    <w:rsid w:val="00A63103"/>
    <w:rsid w:val="00A66FF8"/>
    <w:rsid w:val="00A701CB"/>
    <w:rsid w:val="00A70FF5"/>
    <w:rsid w:val="00A71233"/>
    <w:rsid w:val="00A722DC"/>
    <w:rsid w:val="00A73988"/>
    <w:rsid w:val="00A74570"/>
    <w:rsid w:val="00A7522E"/>
    <w:rsid w:val="00A757AA"/>
    <w:rsid w:val="00A75C79"/>
    <w:rsid w:val="00A80D46"/>
    <w:rsid w:val="00A8126B"/>
    <w:rsid w:val="00A8335E"/>
    <w:rsid w:val="00A854E0"/>
    <w:rsid w:val="00A902C1"/>
    <w:rsid w:val="00A9118A"/>
    <w:rsid w:val="00A911A4"/>
    <w:rsid w:val="00A91F36"/>
    <w:rsid w:val="00A93A34"/>
    <w:rsid w:val="00A93FC9"/>
    <w:rsid w:val="00A957F4"/>
    <w:rsid w:val="00A96B54"/>
    <w:rsid w:val="00A96B5D"/>
    <w:rsid w:val="00A977F9"/>
    <w:rsid w:val="00AA2139"/>
    <w:rsid w:val="00AA233A"/>
    <w:rsid w:val="00AA282E"/>
    <w:rsid w:val="00AA4C4C"/>
    <w:rsid w:val="00AA7392"/>
    <w:rsid w:val="00AA7F0C"/>
    <w:rsid w:val="00AB11EE"/>
    <w:rsid w:val="00AB1970"/>
    <w:rsid w:val="00AB20A0"/>
    <w:rsid w:val="00AB21C2"/>
    <w:rsid w:val="00AB2AD3"/>
    <w:rsid w:val="00AB30E6"/>
    <w:rsid w:val="00AB4A84"/>
    <w:rsid w:val="00AB659E"/>
    <w:rsid w:val="00AC066D"/>
    <w:rsid w:val="00AC0857"/>
    <w:rsid w:val="00AC49DB"/>
    <w:rsid w:val="00AC642C"/>
    <w:rsid w:val="00AC7A70"/>
    <w:rsid w:val="00AC7E93"/>
    <w:rsid w:val="00AD2C20"/>
    <w:rsid w:val="00AD333E"/>
    <w:rsid w:val="00AD4686"/>
    <w:rsid w:val="00AD5354"/>
    <w:rsid w:val="00AD58B7"/>
    <w:rsid w:val="00AD5E54"/>
    <w:rsid w:val="00AE50A1"/>
    <w:rsid w:val="00AE623F"/>
    <w:rsid w:val="00AE6300"/>
    <w:rsid w:val="00AE703E"/>
    <w:rsid w:val="00AF03FB"/>
    <w:rsid w:val="00AF08FF"/>
    <w:rsid w:val="00AF0FE4"/>
    <w:rsid w:val="00AF11BE"/>
    <w:rsid w:val="00AF245E"/>
    <w:rsid w:val="00AF3159"/>
    <w:rsid w:val="00AF3C0F"/>
    <w:rsid w:val="00AF3E38"/>
    <w:rsid w:val="00AF4E70"/>
    <w:rsid w:val="00AF6050"/>
    <w:rsid w:val="00B00B51"/>
    <w:rsid w:val="00B0337A"/>
    <w:rsid w:val="00B059FB"/>
    <w:rsid w:val="00B1196A"/>
    <w:rsid w:val="00B12D7F"/>
    <w:rsid w:val="00B1422D"/>
    <w:rsid w:val="00B147F2"/>
    <w:rsid w:val="00B14B60"/>
    <w:rsid w:val="00B1514E"/>
    <w:rsid w:val="00B203DC"/>
    <w:rsid w:val="00B20C61"/>
    <w:rsid w:val="00B20D21"/>
    <w:rsid w:val="00B214E7"/>
    <w:rsid w:val="00B2349D"/>
    <w:rsid w:val="00B2484A"/>
    <w:rsid w:val="00B24B21"/>
    <w:rsid w:val="00B2546D"/>
    <w:rsid w:val="00B26706"/>
    <w:rsid w:val="00B272F7"/>
    <w:rsid w:val="00B27599"/>
    <w:rsid w:val="00B27F2E"/>
    <w:rsid w:val="00B31DAD"/>
    <w:rsid w:val="00B35124"/>
    <w:rsid w:val="00B36FEB"/>
    <w:rsid w:val="00B379AB"/>
    <w:rsid w:val="00B4046B"/>
    <w:rsid w:val="00B405C7"/>
    <w:rsid w:val="00B41534"/>
    <w:rsid w:val="00B445A5"/>
    <w:rsid w:val="00B44C00"/>
    <w:rsid w:val="00B45444"/>
    <w:rsid w:val="00B47973"/>
    <w:rsid w:val="00B47FE7"/>
    <w:rsid w:val="00B51E20"/>
    <w:rsid w:val="00B525C5"/>
    <w:rsid w:val="00B5261C"/>
    <w:rsid w:val="00B53C34"/>
    <w:rsid w:val="00B54510"/>
    <w:rsid w:val="00B55535"/>
    <w:rsid w:val="00B56331"/>
    <w:rsid w:val="00B570E1"/>
    <w:rsid w:val="00B60647"/>
    <w:rsid w:val="00B608DB"/>
    <w:rsid w:val="00B60E19"/>
    <w:rsid w:val="00B60FBE"/>
    <w:rsid w:val="00B617D9"/>
    <w:rsid w:val="00B61FC8"/>
    <w:rsid w:val="00B627C4"/>
    <w:rsid w:val="00B62D4F"/>
    <w:rsid w:val="00B63020"/>
    <w:rsid w:val="00B6316A"/>
    <w:rsid w:val="00B631A8"/>
    <w:rsid w:val="00B637E3"/>
    <w:rsid w:val="00B63AD2"/>
    <w:rsid w:val="00B644FD"/>
    <w:rsid w:val="00B64D15"/>
    <w:rsid w:val="00B66BBF"/>
    <w:rsid w:val="00B670B5"/>
    <w:rsid w:val="00B67DD7"/>
    <w:rsid w:val="00B70590"/>
    <w:rsid w:val="00B70E9D"/>
    <w:rsid w:val="00B71061"/>
    <w:rsid w:val="00B716B1"/>
    <w:rsid w:val="00B71DDE"/>
    <w:rsid w:val="00B724F8"/>
    <w:rsid w:val="00B737D6"/>
    <w:rsid w:val="00B74283"/>
    <w:rsid w:val="00B75B61"/>
    <w:rsid w:val="00B77594"/>
    <w:rsid w:val="00B77E4B"/>
    <w:rsid w:val="00B80078"/>
    <w:rsid w:val="00B81E64"/>
    <w:rsid w:val="00B83112"/>
    <w:rsid w:val="00B8350F"/>
    <w:rsid w:val="00B85E5E"/>
    <w:rsid w:val="00B86EAE"/>
    <w:rsid w:val="00B87B60"/>
    <w:rsid w:val="00B90200"/>
    <w:rsid w:val="00B92C31"/>
    <w:rsid w:val="00B93985"/>
    <w:rsid w:val="00B94C4A"/>
    <w:rsid w:val="00BA056F"/>
    <w:rsid w:val="00BA44AB"/>
    <w:rsid w:val="00BA44FC"/>
    <w:rsid w:val="00BA4B5A"/>
    <w:rsid w:val="00BA6D7F"/>
    <w:rsid w:val="00BB0E72"/>
    <w:rsid w:val="00BB1168"/>
    <w:rsid w:val="00BB1A11"/>
    <w:rsid w:val="00BB2A04"/>
    <w:rsid w:val="00BB2FE1"/>
    <w:rsid w:val="00BB3135"/>
    <w:rsid w:val="00BB3356"/>
    <w:rsid w:val="00BB3C51"/>
    <w:rsid w:val="00BB4050"/>
    <w:rsid w:val="00BB4A2C"/>
    <w:rsid w:val="00BB4BC2"/>
    <w:rsid w:val="00BB4D66"/>
    <w:rsid w:val="00BB5766"/>
    <w:rsid w:val="00BB588A"/>
    <w:rsid w:val="00BB60ED"/>
    <w:rsid w:val="00BB6B36"/>
    <w:rsid w:val="00BB74CC"/>
    <w:rsid w:val="00BC0489"/>
    <w:rsid w:val="00BC5BE4"/>
    <w:rsid w:val="00BC7647"/>
    <w:rsid w:val="00BD114A"/>
    <w:rsid w:val="00BD25E5"/>
    <w:rsid w:val="00BD37CC"/>
    <w:rsid w:val="00BD58F2"/>
    <w:rsid w:val="00BD70C5"/>
    <w:rsid w:val="00BD7DFA"/>
    <w:rsid w:val="00BE0C32"/>
    <w:rsid w:val="00BE2461"/>
    <w:rsid w:val="00BE2852"/>
    <w:rsid w:val="00BE4D5D"/>
    <w:rsid w:val="00BF201E"/>
    <w:rsid w:val="00BF2126"/>
    <w:rsid w:val="00BF29F0"/>
    <w:rsid w:val="00BF4792"/>
    <w:rsid w:val="00BF4AF7"/>
    <w:rsid w:val="00BF4E14"/>
    <w:rsid w:val="00BF5F09"/>
    <w:rsid w:val="00BF64A1"/>
    <w:rsid w:val="00BF7C8B"/>
    <w:rsid w:val="00C021EC"/>
    <w:rsid w:val="00C0272B"/>
    <w:rsid w:val="00C03084"/>
    <w:rsid w:val="00C041DB"/>
    <w:rsid w:val="00C04D26"/>
    <w:rsid w:val="00C050CF"/>
    <w:rsid w:val="00C054C9"/>
    <w:rsid w:val="00C0682F"/>
    <w:rsid w:val="00C069EA"/>
    <w:rsid w:val="00C0759C"/>
    <w:rsid w:val="00C1082F"/>
    <w:rsid w:val="00C10E54"/>
    <w:rsid w:val="00C11333"/>
    <w:rsid w:val="00C11923"/>
    <w:rsid w:val="00C128F4"/>
    <w:rsid w:val="00C129DF"/>
    <w:rsid w:val="00C13162"/>
    <w:rsid w:val="00C13885"/>
    <w:rsid w:val="00C144D4"/>
    <w:rsid w:val="00C162B5"/>
    <w:rsid w:val="00C16303"/>
    <w:rsid w:val="00C16559"/>
    <w:rsid w:val="00C169D5"/>
    <w:rsid w:val="00C16AC8"/>
    <w:rsid w:val="00C16CB6"/>
    <w:rsid w:val="00C174F7"/>
    <w:rsid w:val="00C17584"/>
    <w:rsid w:val="00C2043C"/>
    <w:rsid w:val="00C2182B"/>
    <w:rsid w:val="00C22FFB"/>
    <w:rsid w:val="00C233E0"/>
    <w:rsid w:val="00C2520A"/>
    <w:rsid w:val="00C252A7"/>
    <w:rsid w:val="00C2696D"/>
    <w:rsid w:val="00C278D2"/>
    <w:rsid w:val="00C302B8"/>
    <w:rsid w:val="00C30C13"/>
    <w:rsid w:val="00C31B8B"/>
    <w:rsid w:val="00C3277B"/>
    <w:rsid w:val="00C3281E"/>
    <w:rsid w:val="00C33895"/>
    <w:rsid w:val="00C34A26"/>
    <w:rsid w:val="00C3683F"/>
    <w:rsid w:val="00C36D29"/>
    <w:rsid w:val="00C37685"/>
    <w:rsid w:val="00C42E89"/>
    <w:rsid w:val="00C42F09"/>
    <w:rsid w:val="00C4456A"/>
    <w:rsid w:val="00C46824"/>
    <w:rsid w:val="00C46E84"/>
    <w:rsid w:val="00C50CD5"/>
    <w:rsid w:val="00C51078"/>
    <w:rsid w:val="00C516DA"/>
    <w:rsid w:val="00C549C7"/>
    <w:rsid w:val="00C554DF"/>
    <w:rsid w:val="00C6045D"/>
    <w:rsid w:val="00C60A10"/>
    <w:rsid w:val="00C619DB"/>
    <w:rsid w:val="00C62446"/>
    <w:rsid w:val="00C6290E"/>
    <w:rsid w:val="00C62B96"/>
    <w:rsid w:val="00C63A8C"/>
    <w:rsid w:val="00C63CF0"/>
    <w:rsid w:val="00C640AA"/>
    <w:rsid w:val="00C65096"/>
    <w:rsid w:val="00C6723A"/>
    <w:rsid w:val="00C72DFF"/>
    <w:rsid w:val="00C73D79"/>
    <w:rsid w:val="00C7488A"/>
    <w:rsid w:val="00C7541E"/>
    <w:rsid w:val="00C754F0"/>
    <w:rsid w:val="00C762CE"/>
    <w:rsid w:val="00C80B66"/>
    <w:rsid w:val="00C819B8"/>
    <w:rsid w:val="00C82AFD"/>
    <w:rsid w:val="00C83F47"/>
    <w:rsid w:val="00C90046"/>
    <w:rsid w:val="00C9091F"/>
    <w:rsid w:val="00C909B9"/>
    <w:rsid w:val="00C91BD6"/>
    <w:rsid w:val="00C94554"/>
    <w:rsid w:val="00C946EF"/>
    <w:rsid w:val="00C9534C"/>
    <w:rsid w:val="00C96004"/>
    <w:rsid w:val="00C9603A"/>
    <w:rsid w:val="00C96CDF"/>
    <w:rsid w:val="00C96FC3"/>
    <w:rsid w:val="00C971D9"/>
    <w:rsid w:val="00CA025F"/>
    <w:rsid w:val="00CA1EEE"/>
    <w:rsid w:val="00CA22D6"/>
    <w:rsid w:val="00CA4B18"/>
    <w:rsid w:val="00CA52FD"/>
    <w:rsid w:val="00CA588D"/>
    <w:rsid w:val="00CA7A57"/>
    <w:rsid w:val="00CB01EC"/>
    <w:rsid w:val="00CB064D"/>
    <w:rsid w:val="00CB1BA1"/>
    <w:rsid w:val="00CB26BF"/>
    <w:rsid w:val="00CB3DE1"/>
    <w:rsid w:val="00CB4183"/>
    <w:rsid w:val="00CB442A"/>
    <w:rsid w:val="00CB54CF"/>
    <w:rsid w:val="00CB7201"/>
    <w:rsid w:val="00CC152E"/>
    <w:rsid w:val="00CC273C"/>
    <w:rsid w:val="00CC3DE4"/>
    <w:rsid w:val="00CC4CA5"/>
    <w:rsid w:val="00CC67C7"/>
    <w:rsid w:val="00CD0035"/>
    <w:rsid w:val="00CD7DFB"/>
    <w:rsid w:val="00CE2E4F"/>
    <w:rsid w:val="00CE33B6"/>
    <w:rsid w:val="00CE5D15"/>
    <w:rsid w:val="00CF03E4"/>
    <w:rsid w:val="00CF08A6"/>
    <w:rsid w:val="00CF31D5"/>
    <w:rsid w:val="00CF3320"/>
    <w:rsid w:val="00CF45EC"/>
    <w:rsid w:val="00CF536D"/>
    <w:rsid w:val="00CF7C2C"/>
    <w:rsid w:val="00D015E0"/>
    <w:rsid w:val="00D01AD1"/>
    <w:rsid w:val="00D01E19"/>
    <w:rsid w:val="00D045EE"/>
    <w:rsid w:val="00D04784"/>
    <w:rsid w:val="00D04EA4"/>
    <w:rsid w:val="00D06668"/>
    <w:rsid w:val="00D06868"/>
    <w:rsid w:val="00D074E2"/>
    <w:rsid w:val="00D0773C"/>
    <w:rsid w:val="00D0792B"/>
    <w:rsid w:val="00D103A6"/>
    <w:rsid w:val="00D107B3"/>
    <w:rsid w:val="00D1143B"/>
    <w:rsid w:val="00D12809"/>
    <w:rsid w:val="00D12FC9"/>
    <w:rsid w:val="00D139E3"/>
    <w:rsid w:val="00D14351"/>
    <w:rsid w:val="00D161C6"/>
    <w:rsid w:val="00D164C2"/>
    <w:rsid w:val="00D200E3"/>
    <w:rsid w:val="00D20157"/>
    <w:rsid w:val="00D202F1"/>
    <w:rsid w:val="00D20FC3"/>
    <w:rsid w:val="00D2173E"/>
    <w:rsid w:val="00D21FFA"/>
    <w:rsid w:val="00D2265D"/>
    <w:rsid w:val="00D22741"/>
    <w:rsid w:val="00D22B35"/>
    <w:rsid w:val="00D23E07"/>
    <w:rsid w:val="00D23EF1"/>
    <w:rsid w:val="00D24A0D"/>
    <w:rsid w:val="00D2651E"/>
    <w:rsid w:val="00D26AE9"/>
    <w:rsid w:val="00D27E93"/>
    <w:rsid w:val="00D305BE"/>
    <w:rsid w:val="00D3092C"/>
    <w:rsid w:val="00D31053"/>
    <w:rsid w:val="00D31BC4"/>
    <w:rsid w:val="00D32024"/>
    <w:rsid w:val="00D3441B"/>
    <w:rsid w:val="00D34C9F"/>
    <w:rsid w:val="00D36695"/>
    <w:rsid w:val="00D40FA0"/>
    <w:rsid w:val="00D41F4D"/>
    <w:rsid w:val="00D43C53"/>
    <w:rsid w:val="00D44333"/>
    <w:rsid w:val="00D451B3"/>
    <w:rsid w:val="00D46406"/>
    <w:rsid w:val="00D46A6D"/>
    <w:rsid w:val="00D46EC6"/>
    <w:rsid w:val="00D470EB"/>
    <w:rsid w:val="00D47D0D"/>
    <w:rsid w:val="00D505DB"/>
    <w:rsid w:val="00D51E27"/>
    <w:rsid w:val="00D52268"/>
    <w:rsid w:val="00D53E41"/>
    <w:rsid w:val="00D54168"/>
    <w:rsid w:val="00D5471B"/>
    <w:rsid w:val="00D548EE"/>
    <w:rsid w:val="00D5586C"/>
    <w:rsid w:val="00D5587A"/>
    <w:rsid w:val="00D55EE9"/>
    <w:rsid w:val="00D56365"/>
    <w:rsid w:val="00D56A20"/>
    <w:rsid w:val="00D5750F"/>
    <w:rsid w:val="00D60C66"/>
    <w:rsid w:val="00D6174D"/>
    <w:rsid w:val="00D628EC"/>
    <w:rsid w:val="00D62E05"/>
    <w:rsid w:val="00D63FB6"/>
    <w:rsid w:val="00D65E0E"/>
    <w:rsid w:val="00D704C3"/>
    <w:rsid w:val="00D7088D"/>
    <w:rsid w:val="00D708A1"/>
    <w:rsid w:val="00D7110C"/>
    <w:rsid w:val="00D719C7"/>
    <w:rsid w:val="00D740FD"/>
    <w:rsid w:val="00D74265"/>
    <w:rsid w:val="00D75A01"/>
    <w:rsid w:val="00D75E70"/>
    <w:rsid w:val="00D7669F"/>
    <w:rsid w:val="00D80263"/>
    <w:rsid w:val="00D83DC8"/>
    <w:rsid w:val="00D85602"/>
    <w:rsid w:val="00D909BF"/>
    <w:rsid w:val="00D915FF"/>
    <w:rsid w:val="00D91C5F"/>
    <w:rsid w:val="00D92785"/>
    <w:rsid w:val="00D927D6"/>
    <w:rsid w:val="00D9291C"/>
    <w:rsid w:val="00D94AE5"/>
    <w:rsid w:val="00D94C1C"/>
    <w:rsid w:val="00D9723B"/>
    <w:rsid w:val="00D97FEA"/>
    <w:rsid w:val="00DA050E"/>
    <w:rsid w:val="00DA09E9"/>
    <w:rsid w:val="00DA18FC"/>
    <w:rsid w:val="00DA1930"/>
    <w:rsid w:val="00DA28BA"/>
    <w:rsid w:val="00DA3249"/>
    <w:rsid w:val="00DA3F43"/>
    <w:rsid w:val="00DA595C"/>
    <w:rsid w:val="00DA5D79"/>
    <w:rsid w:val="00DA73A2"/>
    <w:rsid w:val="00DB0AE8"/>
    <w:rsid w:val="00DB2E21"/>
    <w:rsid w:val="00DB37F9"/>
    <w:rsid w:val="00DB39CC"/>
    <w:rsid w:val="00DB414B"/>
    <w:rsid w:val="00DB4366"/>
    <w:rsid w:val="00DB5538"/>
    <w:rsid w:val="00DB59FF"/>
    <w:rsid w:val="00DB6228"/>
    <w:rsid w:val="00DB6376"/>
    <w:rsid w:val="00DB7255"/>
    <w:rsid w:val="00DB7816"/>
    <w:rsid w:val="00DC0DAB"/>
    <w:rsid w:val="00DC0DBF"/>
    <w:rsid w:val="00DC2FD0"/>
    <w:rsid w:val="00DC4375"/>
    <w:rsid w:val="00DC4460"/>
    <w:rsid w:val="00DC7292"/>
    <w:rsid w:val="00DD0C31"/>
    <w:rsid w:val="00DD0CA9"/>
    <w:rsid w:val="00DD265E"/>
    <w:rsid w:val="00DD2C9D"/>
    <w:rsid w:val="00DD51C4"/>
    <w:rsid w:val="00DD6565"/>
    <w:rsid w:val="00DD6EA8"/>
    <w:rsid w:val="00DD7EE6"/>
    <w:rsid w:val="00DE0980"/>
    <w:rsid w:val="00DE430B"/>
    <w:rsid w:val="00DE51FD"/>
    <w:rsid w:val="00DE606F"/>
    <w:rsid w:val="00DF37C6"/>
    <w:rsid w:val="00DF6063"/>
    <w:rsid w:val="00E02565"/>
    <w:rsid w:val="00E028B6"/>
    <w:rsid w:val="00E02961"/>
    <w:rsid w:val="00E02A2C"/>
    <w:rsid w:val="00E02FFE"/>
    <w:rsid w:val="00E036C1"/>
    <w:rsid w:val="00E044DA"/>
    <w:rsid w:val="00E04637"/>
    <w:rsid w:val="00E060A3"/>
    <w:rsid w:val="00E065C0"/>
    <w:rsid w:val="00E07255"/>
    <w:rsid w:val="00E076A1"/>
    <w:rsid w:val="00E0770D"/>
    <w:rsid w:val="00E169AB"/>
    <w:rsid w:val="00E16ECE"/>
    <w:rsid w:val="00E17661"/>
    <w:rsid w:val="00E23047"/>
    <w:rsid w:val="00E23DF7"/>
    <w:rsid w:val="00E23E5F"/>
    <w:rsid w:val="00E24B2D"/>
    <w:rsid w:val="00E24E5E"/>
    <w:rsid w:val="00E25D86"/>
    <w:rsid w:val="00E27082"/>
    <w:rsid w:val="00E275AE"/>
    <w:rsid w:val="00E2790A"/>
    <w:rsid w:val="00E31849"/>
    <w:rsid w:val="00E331BF"/>
    <w:rsid w:val="00E35B65"/>
    <w:rsid w:val="00E35F9A"/>
    <w:rsid w:val="00E36937"/>
    <w:rsid w:val="00E37A98"/>
    <w:rsid w:val="00E41B46"/>
    <w:rsid w:val="00E41D06"/>
    <w:rsid w:val="00E4310B"/>
    <w:rsid w:val="00E44C2E"/>
    <w:rsid w:val="00E46541"/>
    <w:rsid w:val="00E468F5"/>
    <w:rsid w:val="00E514CC"/>
    <w:rsid w:val="00E52E26"/>
    <w:rsid w:val="00E53CD1"/>
    <w:rsid w:val="00E54132"/>
    <w:rsid w:val="00E54F77"/>
    <w:rsid w:val="00E556F6"/>
    <w:rsid w:val="00E5699D"/>
    <w:rsid w:val="00E611FD"/>
    <w:rsid w:val="00E61AB9"/>
    <w:rsid w:val="00E61ED9"/>
    <w:rsid w:val="00E653E4"/>
    <w:rsid w:val="00E65ED9"/>
    <w:rsid w:val="00E660B1"/>
    <w:rsid w:val="00E70B1D"/>
    <w:rsid w:val="00E72656"/>
    <w:rsid w:val="00E72746"/>
    <w:rsid w:val="00E73DE5"/>
    <w:rsid w:val="00E73E34"/>
    <w:rsid w:val="00E7447D"/>
    <w:rsid w:val="00E752CA"/>
    <w:rsid w:val="00E75F8B"/>
    <w:rsid w:val="00E77A19"/>
    <w:rsid w:val="00E80347"/>
    <w:rsid w:val="00E82AEE"/>
    <w:rsid w:val="00E84F3B"/>
    <w:rsid w:val="00E850CD"/>
    <w:rsid w:val="00E8682C"/>
    <w:rsid w:val="00E86D17"/>
    <w:rsid w:val="00E8711D"/>
    <w:rsid w:val="00E87776"/>
    <w:rsid w:val="00E90495"/>
    <w:rsid w:val="00E91D69"/>
    <w:rsid w:val="00E928DC"/>
    <w:rsid w:val="00E92F9B"/>
    <w:rsid w:val="00E93746"/>
    <w:rsid w:val="00E93AEB"/>
    <w:rsid w:val="00E951A0"/>
    <w:rsid w:val="00E96948"/>
    <w:rsid w:val="00E97C00"/>
    <w:rsid w:val="00EA0278"/>
    <w:rsid w:val="00EA16F9"/>
    <w:rsid w:val="00EA266C"/>
    <w:rsid w:val="00EA324D"/>
    <w:rsid w:val="00EA32C5"/>
    <w:rsid w:val="00EA5082"/>
    <w:rsid w:val="00EA5D7F"/>
    <w:rsid w:val="00EA5EDD"/>
    <w:rsid w:val="00EA7837"/>
    <w:rsid w:val="00EB0410"/>
    <w:rsid w:val="00EB1202"/>
    <w:rsid w:val="00EB216D"/>
    <w:rsid w:val="00EB2FE0"/>
    <w:rsid w:val="00EB34ED"/>
    <w:rsid w:val="00EB60D9"/>
    <w:rsid w:val="00EB65CD"/>
    <w:rsid w:val="00EB7D8F"/>
    <w:rsid w:val="00EC0C28"/>
    <w:rsid w:val="00EC0FB6"/>
    <w:rsid w:val="00EC1E68"/>
    <w:rsid w:val="00EC2586"/>
    <w:rsid w:val="00EC3FE8"/>
    <w:rsid w:val="00EC4B4D"/>
    <w:rsid w:val="00EC5568"/>
    <w:rsid w:val="00EC7740"/>
    <w:rsid w:val="00ED1D7A"/>
    <w:rsid w:val="00ED2FDF"/>
    <w:rsid w:val="00ED611D"/>
    <w:rsid w:val="00EE0732"/>
    <w:rsid w:val="00EE1410"/>
    <w:rsid w:val="00EE1C83"/>
    <w:rsid w:val="00EE5983"/>
    <w:rsid w:val="00EE5D64"/>
    <w:rsid w:val="00EE7BF0"/>
    <w:rsid w:val="00EF0986"/>
    <w:rsid w:val="00EF2323"/>
    <w:rsid w:val="00EF28C4"/>
    <w:rsid w:val="00EF3F45"/>
    <w:rsid w:val="00EF5386"/>
    <w:rsid w:val="00EF549C"/>
    <w:rsid w:val="00EF5CC6"/>
    <w:rsid w:val="00EF799D"/>
    <w:rsid w:val="00F0262E"/>
    <w:rsid w:val="00F03BC5"/>
    <w:rsid w:val="00F04182"/>
    <w:rsid w:val="00F05FD5"/>
    <w:rsid w:val="00F06ED4"/>
    <w:rsid w:val="00F11BE0"/>
    <w:rsid w:val="00F13A26"/>
    <w:rsid w:val="00F13E76"/>
    <w:rsid w:val="00F14718"/>
    <w:rsid w:val="00F15B4D"/>
    <w:rsid w:val="00F15EF9"/>
    <w:rsid w:val="00F1627B"/>
    <w:rsid w:val="00F16A8F"/>
    <w:rsid w:val="00F16BC9"/>
    <w:rsid w:val="00F2104B"/>
    <w:rsid w:val="00F23695"/>
    <w:rsid w:val="00F24219"/>
    <w:rsid w:val="00F25F16"/>
    <w:rsid w:val="00F2606F"/>
    <w:rsid w:val="00F27D97"/>
    <w:rsid w:val="00F30241"/>
    <w:rsid w:val="00F30A2B"/>
    <w:rsid w:val="00F3160B"/>
    <w:rsid w:val="00F33DFC"/>
    <w:rsid w:val="00F3501A"/>
    <w:rsid w:val="00F363E7"/>
    <w:rsid w:val="00F40E1B"/>
    <w:rsid w:val="00F414AD"/>
    <w:rsid w:val="00F41AE4"/>
    <w:rsid w:val="00F4342D"/>
    <w:rsid w:val="00F44C74"/>
    <w:rsid w:val="00F465C0"/>
    <w:rsid w:val="00F47533"/>
    <w:rsid w:val="00F4798A"/>
    <w:rsid w:val="00F50A2F"/>
    <w:rsid w:val="00F51235"/>
    <w:rsid w:val="00F5149F"/>
    <w:rsid w:val="00F514DE"/>
    <w:rsid w:val="00F52478"/>
    <w:rsid w:val="00F555BE"/>
    <w:rsid w:val="00F57AF4"/>
    <w:rsid w:val="00F60E25"/>
    <w:rsid w:val="00F62EF6"/>
    <w:rsid w:val="00F637F8"/>
    <w:rsid w:val="00F64535"/>
    <w:rsid w:val="00F6586D"/>
    <w:rsid w:val="00F67A79"/>
    <w:rsid w:val="00F71EF5"/>
    <w:rsid w:val="00F71F73"/>
    <w:rsid w:val="00F729B1"/>
    <w:rsid w:val="00F74435"/>
    <w:rsid w:val="00F759E4"/>
    <w:rsid w:val="00F75E0D"/>
    <w:rsid w:val="00F7647A"/>
    <w:rsid w:val="00F778C0"/>
    <w:rsid w:val="00F81176"/>
    <w:rsid w:val="00F81886"/>
    <w:rsid w:val="00F8211F"/>
    <w:rsid w:val="00F83774"/>
    <w:rsid w:val="00F87505"/>
    <w:rsid w:val="00F87C22"/>
    <w:rsid w:val="00F918DB"/>
    <w:rsid w:val="00F91DB3"/>
    <w:rsid w:val="00F971DC"/>
    <w:rsid w:val="00FA003E"/>
    <w:rsid w:val="00FA1733"/>
    <w:rsid w:val="00FA17BC"/>
    <w:rsid w:val="00FA213E"/>
    <w:rsid w:val="00FA2271"/>
    <w:rsid w:val="00FA386D"/>
    <w:rsid w:val="00FA3D0D"/>
    <w:rsid w:val="00FA3D50"/>
    <w:rsid w:val="00FA40A2"/>
    <w:rsid w:val="00FA5DDD"/>
    <w:rsid w:val="00FA6F08"/>
    <w:rsid w:val="00FA704D"/>
    <w:rsid w:val="00FA73CA"/>
    <w:rsid w:val="00FB06A1"/>
    <w:rsid w:val="00FB0FE3"/>
    <w:rsid w:val="00FB5A39"/>
    <w:rsid w:val="00FB6CF4"/>
    <w:rsid w:val="00FC03FE"/>
    <w:rsid w:val="00FC3AE6"/>
    <w:rsid w:val="00FC3B32"/>
    <w:rsid w:val="00FC4B39"/>
    <w:rsid w:val="00FC5152"/>
    <w:rsid w:val="00FC7BFC"/>
    <w:rsid w:val="00FD00F9"/>
    <w:rsid w:val="00FD0365"/>
    <w:rsid w:val="00FD0D28"/>
    <w:rsid w:val="00FD0FCD"/>
    <w:rsid w:val="00FD425D"/>
    <w:rsid w:val="00FD587A"/>
    <w:rsid w:val="00FD5DA8"/>
    <w:rsid w:val="00FD7968"/>
    <w:rsid w:val="00FE050D"/>
    <w:rsid w:val="00FE0EC1"/>
    <w:rsid w:val="00FE1776"/>
    <w:rsid w:val="00FE1802"/>
    <w:rsid w:val="00FE3CA2"/>
    <w:rsid w:val="00FE3DBC"/>
    <w:rsid w:val="00FE4F53"/>
    <w:rsid w:val="00FE5820"/>
    <w:rsid w:val="00FF3372"/>
    <w:rsid w:val="00FF4030"/>
    <w:rsid w:val="00FF4763"/>
    <w:rsid w:val="00FF4B6E"/>
    <w:rsid w:val="00FF5D66"/>
    <w:rsid w:val="00FF6009"/>
    <w:rsid w:val="00FF6ECD"/>
    <w:rsid w:val="01041FF6"/>
    <w:rsid w:val="01070E26"/>
    <w:rsid w:val="01087AA5"/>
    <w:rsid w:val="01340ACD"/>
    <w:rsid w:val="015D686C"/>
    <w:rsid w:val="01960BF8"/>
    <w:rsid w:val="0199701A"/>
    <w:rsid w:val="01AB3D6B"/>
    <w:rsid w:val="01B03E53"/>
    <w:rsid w:val="01B22C8D"/>
    <w:rsid w:val="01CA0D76"/>
    <w:rsid w:val="01D64045"/>
    <w:rsid w:val="01D93440"/>
    <w:rsid w:val="01E83639"/>
    <w:rsid w:val="01FF1E15"/>
    <w:rsid w:val="02152C69"/>
    <w:rsid w:val="0216715F"/>
    <w:rsid w:val="021E2E2D"/>
    <w:rsid w:val="02333474"/>
    <w:rsid w:val="023E7A97"/>
    <w:rsid w:val="024718AC"/>
    <w:rsid w:val="02717B1A"/>
    <w:rsid w:val="027E695B"/>
    <w:rsid w:val="02A824AD"/>
    <w:rsid w:val="02B55D1B"/>
    <w:rsid w:val="02B666C6"/>
    <w:rsid w:val="02E2608D"/>
    <w:rsid w:val="02E5725D"/>
    <w:rsid w:val="02E87D01"/>
    <w:rsid w:val="02EF4E96"/>
    <w:rsid w:val="03033B04"/>
    <w:rsid w:val="030671D3"/>
    <w:rsid w:val="030A23FA"/>
    <w:rsid w:val="032B1BE2"/>
    <w:rsid w:val="033871B8"/>
    <w:rsid w:val="03461A32"/>
    <w:rsid w:val="03461F60"/>
    <w:rsid w:val="037D31CD"/>
    <w:rsid w:val="03857221"/>
    <w:rsid w:val="03957914"/>
    <w:rsid w:val="039708F4"/>
    <w:rsid w:val="03EB6558"/>
    <w:rsid w:val="03EF6E50"/>
    <w:rsid w:val="03F115E0"/>
    <w:rsid w:val="03F83E98"/>
    <w:rsid w:val="043027E7"/>
    <w:rsid w:val="044217C1"/>
    <w:rsid w:val="044C296F"/>
    <w:rsid w:val="04595BFE"/>
    <w:rsid w:val="046951B9"/>
    <w:rsid w:val="046B7FAC"/>
    <w:rsid w:val="0474248F"/>
    <w:rsid w:val="047F2D99"/>
    <w:rsid w:val="04855175"/>
    <w:rsid w:val="04B64A7E"/>
    <w:rsid w:val="04BB2430"/>
    <w:rsid w:val="04EE0094"/>
    <w:rsid w:val="050577D2"/>
    <w:rsid w:val="050D3ED0"/>
    <w:rsid w:val="05301B8F"/>
    <w:rsid w:val="05356E02"/>
    <w:rsid w:val="05423F78"/>
    <w:rsid w:val="054A1142"/>
    <w:rsid w:val="054D3ADB"/>
    <w:rsid w:val="05531E60"/>
    <w:rsid w:val="055F79A7"/>
    <w:rsid w:val="05674120"/>
    <w:rsid w:val="05762A54"/>
    <w:rsid w:val="058B28C1"/>
    <w:rsid w:val="05A52CD4"/>
    <w:rsid w:val="05AE5048"/>
    <w:rsid w:val="05B87891"/>
    <w:rsid w:val="05DD6510"/>
    <w:rsid w:val="060D2D9D"/>
    <w:rsid w:val="06112DCF"/>
    <w:rsid w:val="061246E4"/>
    <w:rsid w:val="0612484F"/>
    <w:rsid w:val="06154636"/>
    <w:rsid w:val="06355FAE"/>
    <w:rsid w:val="064A73D7"/>
    <w:rsid w:val="064E1163"/>
    <w:rsid w:val="06A67D29"/>
    <w:rsid w:val="06B065B9"/>
    <w:rsid w:val="06BE5C70"/>
    <w:rsid w:val="06C118B6"/>
    <w:rsid w:val="06CA5F44"/>
    <w:rsid w:val="06E236B0"/>
    <w:rsid w:val="06F40711"/>
    <w:rsid w:val="06F51E58"/>
    <w:rsid w:val="07065F82"/>
    <w:rsid w:val="07080904"/>
    <w:rsid w:val="07103A54"/>
    <w:rsid w:val="071B609D"/>
    <w:rsid w:val="071C5130"/>
    <w:rsid w:val="07424415"/>
    <w:rsid w:val="074344FF"/>
    <w:rsid w:val="074829FD"/>
    <w:rsid w:val="07531C31"/>
    <w:rsid w:val="07607737"/>
    <w:rsid w:val="0794363A"/>
    <w:rsid w:val="07AE4926"/>
    <w:rsid w:val="07B41B42"/>
    <w:rsid w:val="07B87B9D"/>
    <w:rsid w:val="07C96282"/>
    <w:rsid w:val="07C96A6F"/>
    <w:rsid w:val="07D0086B"/>
    <w:rsid w:val="07D26796"/>
    <w:rsid w:val="07FD3627"/>
    <w:rsid w:val="0813485F"/>
    <w:rsid w:val="08135F0E"/>
    <w:rsid w:val="081B2A3F"/>
    <w:rsid w:val="08333F8C"/>
    <w:rsid w:val="08620094"/>
    <w:rsid w:val="08623466"/>
    <w:rsid w:val="086A5B0F"/>
    <w:rsid w:val="086C32B7"/>
    <w:rsid w:val="08782EE3"/>
    <w:rsid w:val="087D7B0B"/>
    <w:rsid w:val="088124EB"/>
    <w:rsid w:val="089038FB"/>
    <w:rsid w:val="08A01436"/>
    <w:rsid w:val="08A33FCE"/>
    <w:rsid w:val="08A90D2D"/>
    <w:rsid w:val="08B2392B"/>
    <w:rsid w:val="08B34332"/>
    <w:rsid w:val="08BF4B9F"/>
    <w:rsid w:val="08C058BD"/>
    <w:rsid w:val="08C06D13"/>
    <w:rsid w:val="08CC2FC6"/>
    <w:rsid w:val="08DF5F7E"/>
    <w:rsid w:val="08E765B1"/>
    <w:rsid w:val="08F957BC"/>
    <w:rsid w:val="09013F95"/>
    <w:rsid w:val="09030E90"/>
    <w:rsid w:val="09052B60"/>
    <w:rsid w:val="0928575C"/>
    <w:rsid w:val="093D1AF6"/>
    <w:rsid w:val="095956F0"/>
    <w:rsid w:val="09653AA7"/>
    <w:rsid w:val="09725284"/>
    <w:rsid w:val="097E6CE5"/>
    <w:rsid w:val="09884E8C"/>
    <w:rsid w:val="099A7CE2"/>
    <w:rsid w:val="09A030F4"/>
    <w:rsid w:val="09C2435E"/>
    <w:rsid w:val="09CC4D8E"/>
    <w:rsid w:val="09D15F8B"/>
    <w:rsid w:val="09EA5069"/>
    <w:rsid w:val="09EF269F"/>
    <w:rsid w:val="09FE5B0F"/>
    <w:rsid w:val="0A0261C1"/>
    <w:rsid w:val="0A25344D"/>
    <w:rsid w:val="0A445FB5"/>
    <w:rsid w:val="0A751C9E"/>
    <w:rsid w:val="0AC460B7"/>
    <w:rsid w:val="0AC84057"/>
    <w:rsid w:val="0ADC7DD5"/>
    <w:rsid w:val="0AF02F2A"/>
    <w:rsid w:val="0AF37920"/>
    <w:rsid w:val="0B1D2857"/>
    <w:rsid w:val="0B2A4141"/>
    <w:rsid w:val="0B402991"/>
    <w:rsid w:val="0B46089D"/>
    <w:rsid w:val="0B8C581D"/>
    <w:rsid w:val="0B8F4092"/>
    <w:rsid w:val="0B9337DD"/>
    <w:rsid w:val="0B9D2B6A"/>
    <w:rsid w:val="0B9F3FE0"/>
    <w:rsid w:val="0BA0220F"/>
    <w:rsid w:val="0BA21E99"/>
    <w:rsid w:val="0BA604A1"/>
    <w:rsid w:val="0BB542BD"/>
    <w:rsid w:val="0BD06CCD"/>
    <w:rsid w:val="0BE1258C"/>
    <w:rsid w:val="0C2A68BE"/>
    <w:rsid w:val="0C4B2AAE"/>
    <w:rsid w:val="0C80013A"/>
    <w:rsid w:val="0C846906"/>
    <w:rsid w:val="0C871385"/>
    <w:rsid w:val="0C8E098E"/>
    <w:rsid w:val="0C953FCB"/>
    <w:rsid w:val="0CBC5457"/>
    <w:rsid w:val="0CCC40C5"/>
    <w:rsid w:val="0CD01EB4"/>
    <w:rsid w:val="0CDD6768"/>
    <w:rsid w:val="0CF203C1"/>
    <w:rsid w:val="0D04794A"/>
    <w:rsid w:val="0D0551D6"/>
    <w:rsid w:val="0D166265"/>
    <w:rsid w:val="0D3F031B"/>
    <w:rsid w:val="0D556180"/>
    <w:rsid w:val="0D646FBB"/>
    <w:rsid w:val="0D8079D9"/>
    <w:rsid w:val="0D973A66"/>
    <w:rsid w:val="0D9D07D6"/>
    <w:rsid w:val="0D9D1622"/>
    <w:rsid w:val="0DA63A8D"/>
    <w:rsid w:val="0DBC7582"/>
    <w:rsid w:val="0DDD119E"/>
    <w:rsid w:val="0DFF319D"/>
    <w:rsid w:val="0E040222"/>
    <w:rsid w:val="0E19572E"/>
    <w:rsid w:val="0E2C7AD1"/>
    <w:rsid w:val="0E3060CC"/>
    <w:rsid w:val="0E4E7917"/>
    <w:rsid w:val="0E52670A"/>
    <w:rsid w:val="0E582F50"/>
    <w:rsid w:val="0E621366"/>
    <w:rsid w:val="0E904468"/>
    <w:rsid w:val="0E986435"/>
    <w:rsid w:val="0EAF6F4D"/>
    <w:rsid w:val="0EBB7737"/>
    <w:rsid w:val="0EC50DC5"/>
    <w:rsid w:val="0EC71F22"/>
    <w:rsid w:val="0ED353C1"/>
    <w:rsid w:val="0EE45CAF"/>
    <w:rsid w:val="0EE96248"/>
    <w:rsid w:val="0EEA3FDD"/>
    <w:rsid w:val="0EEB6DB7"/>
    <w:rsid w:val="0EEF1637"/>
    <w:rsid w:val="0EFE54D2"/>
    <w:rsid w:val="0F0071CD"/>
    <w:rsid w:val="0F247976"/>
    <w:rsid w:val="0F2D3CD2"/>
    <w:rsid w:val="0F36320E"/>
    <w:rsid w:val="0F4C6F48"/>
    <w:rsid w:val="0F604951"/>
    <w:rsid w:val="0F771C8B"/>
    <w:rsid w:val="0FA117E1"/>
    <w:rsid w:val="0FA54CC3"/>
    <w:rsid w:val="0FAC6DE6"/>
    <w:rsid w:val="0FD83CA6"/>
    <w:rsid w:val="0FE0320E"/>
    <w:rsid w:val="0FFA7511"/>
    <w:rsid w:val="10090FF9"/>
    <w:rsid w:val="102C5500"/>
    <w:rsid w:val="10405912"/>
    <w:rsid w:val="104160A2"/>
    <w:rsid w:val="104A10C7"/>
    <w:rsid w:val="104E1914"/>
    <w:rsid w:val="104E4D98"/>
    <w:rsid w:val="105A234F"/>
    <w:rsid w:val="107156C9"/>
    <w:rsid w:val="10A52557"/>
    <w:rsid w:val="10CB0388"/>
    <w:rsid w:val="10CD3862"/>
    <w:rsid w:val="10E012A4"/>
    <w:rsid w:val="10F72E12"/>
    <w:rsid w:val="1112076B"/>
    <w:rsid w:val="112B37D8"/>
    <w:rsid w:val="112F3D99"/>
    <w:rsid w:val="11484FD0"/>
    <w:rsid w:val="114E5544"/>
    <w:rsid w:val="115A243A"/>
    <w:rsid w:val="118014ED"/>
    <w:rsid w:val="119962A5"/>
    <w:rsid w:val="11B01FE6"/>
    <w:rsid w:val="11B629DE"/>
    <w:rsid w:val="11D81D1F"/>
    <w:rsid w:val="11DF0F30"/>
    <w:rsid w:val="11DF7C60"/>
    <w:rsid w:val="11FC4DBE"/>
    <w:rsid w:val="12054B64"/>
    <w:rsid w:val="12111241"/>
    <w:rsid w:val="12453371"/>
    <w:rsid w:val="1251734D"/>
    <w:rsid w:val="125C2DC4"/>
    <w:rsid w:val="12731C73"/>
    <w:rsid w:val="12747552"/>
    <w:rsid w:val="127760AE"/>
    <w:rsid w:val="12840611"/>
    <w:rsid w:val="128B4710"/>
    <w:rsid w:val="129A1F21"/>
    <w:rsid w:val="12AA15D2"/>
    <w:rsid w:val="12AD0A10"/>
    <w:rsid w:val="12B14879"/>
    <w:rsid w:val="12BE3627"/>
    <w:rsid w:val="12D152D7"/>
    <w:rsid w:val="12E129D9"/>
    <w:rsid w:val="12F2185D"/>
    <w:rsid w:val="12F8222C"/>
    <w:rsid w:val="13282751"/>
    <w:rsid w:val="132E432E"/>
    <w:rsid w:val="13304496"/>
    <w:rsid w:val="134E0143"/>
    <w:rsid w:val="136A738C"/>
    <w:rsid w:val="13865C47"/>
    <w:rsid w:val="139436FF"/>
    <w:rsid w:val="13945F23"/>
    <w:rsid w:val="13A508F1"/>
    <w:rsid w:val="13B84BD8"/>
    <w:rsid w:val="13C26D19"/>
    <w:rsid w:val="13E573D3"/>
    <w:rsid w:val="13E627C2"/>
    <w:rsid w:val="141C5467"/>
    <w:rsid w:val="14230ADA"/>
    <w:rsid w:val="14370E7B"/>
    <w:rsid w:val="1438283A"/>
    <w:rsid w:val="143B4AF2"/>
    <w:rsid w:val="144F222E"/>
    <w:rsid w:val="146C3AF0"/>
    <w:rsid w:val="146D5CE2"/>
    <w:rsid w:val="147C4CFE"/>
    <w:rsid w:val="14C27CF4"/>
    <w:rsid w:val="14E7532C"/>
    <w:rsid w:val="150C6C75"/>
    <w:rsid w:val="15113CE5"/>
    <w:rsid w:val="15145780"/>
    <w:rsid w:val="153955FC"/>
    <w:rsid w:val="15562B43"/>
    <w:rsid w:val="1558198F"/>
    <w:rsid w:val="159B46F0"/>
    <w:rsid w:val="15A4093F"/>
    <w:rsid w:val="15A650CF"/>
    <w:rsid w:val="15BE7B0E"/>
    <w:rsid w:val="15C8094C"/>
    <w:rsid w:val="15D77B3F"/>
    <w:rsid w:val="15F12778"/>
    <w:rsid w:val="15F37BB1"/>
    <w:rsid w:val="15F87315"/>
    <w:rsid w:val="15FD4441"/>
    <w:rsid w:val="16277F38"/>
    <w:rsid w:val="163B4849"/>
    <w:rsid w:val="164506F7"/>
    <w:rsid w:val="164E69E8"/>
    <w:rsid w:val="166E72A7"/>
    <w:rsid w:val="169930FB"/>
    <w:rsid w:val="16D451C7"/>
    <w:rsid w:val="16D50B8A"/>
    <w:rsid w:val="16E039D8"/>
    <w:rsid w:val="16FF1823"/>
    <w:rsid w:val="17074E0E"/>
    <w:rsid w:val="170C63C6"/>
    <w:rsid w:val="17175B24"/>
    <w:rsid w:val="171C4DC0"/>
    <w:rsid w:val="17265036"/>
    <w:rsid w:val="1730722C"/>
    <w:rsid w:val="173646B5"/>
    <w:rsid w:val="17374510"/>
    <w:rsid w:val="173D0AA0"/>
    <w:rsid w:val="173D6E15"/>
    <w:rsid w:val="174139BC"/>
    <w:rsid w:val="17452EBE"/>
    <w:rsid w:val="174753E1"/>
    <w:rsid w:val="17672ACA"/>
    <w:rsid w:val="176E711F"/>
    <w:rsid w:val="17820AC9"/>
    <w:rsid w:val="17825ABF"/>
    <w:rsid w:val="179A1720"/>
    <w:rsid w:val="17AE5015"/>
    <w:rsid w:val="17BC64EB"/>
    <w:rsid w:val="17C33598"/>
    <w:rsid w:val="17DA1C5F"/>
    <w:rsid w:val="17E73A2A"/>
    <w:rsid w:val="17FD273A"/>
    <w:rsid w:val="18000950"/>
    <w:rsid w:val="180C6E5D"/>
    <w:rsid w:val="18162195"/>
    <w:rsid w:val="18267CA4"/>
    <w:rsid w:val="18465B13"/>
    <w:rsid w:val="18480A28"/>
    <w:rsid w:val="184D7526"/>
    <w:rsid w:val="184F1CEB"/>
    <w:rsid w:val="186B6504"/>
    <w:rsid w:val="186E0128"/>
    <w:rsid w:val="188E7AC9"/>
    <w:rsid w:val="18A6133B"/>
    <w:rsid w:val="18EC0D8A"/>
    <w:rsid w:val="191775ED"/>
    <w:rsid w:val="19243FA2"/>
    <w:rsid w:val="193F7852"/>
    <w:rsid w:val="195213F3"/>
    <w:rsid w:val="19683A5D"/>
    <w:rsid w:val="19936A76"/>
    <w:rsid w:val="199E20B3"/>
    <w:rsid w:val="19AC0667"/>
    <w:rsid w:val="19E45A4C"/>
    <w:rsid w:val="19EB7BBF"/>
    <w:rsid w:val="19F618F8"/>
    <w:rsid w:val="19F86705"/>
    <w:rsid w:val="19FA7EF5"/>
    <w:rsid w:val="19FC08B0"/>
    <w:rsid w:val="1A086CD9"/>
    <w:rsid w:val="1A1A637D"/>
    <w:rsid w:val="1A542C2D"/>
    <w:rsid w:val="1A543EBA"/>
    <w:rsid w:val="1A6038FF"/>
    <w:rsid w:val="1A6A7BF0"/>
    <w:rsid w:val="1A991069"/>
    <w:rsid w:val="1A9D1E18"/>
    <w:rsid w:val="1AA524D1"/>
    <w:rsid w:val="1ABD77DB"/>
    <w:rsid w:val="1AC643CD"/>
    <w:rsid w:val="1AD1212C"/>
    <w:rsid w:val="1AD92A8A"/>
    <w:rsid w:val="1AF61124"/>
    <w:rsid w:val="1B0402CB"/>
    <w:rsid w:val="1B1F1E52"/>
    <w:rsid w:val="1B3166E3"/>
    <w:rsid w:val="1B520DB0"/>
    <w:rsid w:val="1B687CF6"/>
    <w:rsid w:val="1B7374FE"/>
    <w:rsid w:val="1B754A9E"/>
    <w:rsid w:val="1B8C2514"/>
    <w:rsid w:val="1BAB1D51"/>
    <w:rsid w:val="1BAF2D35"/>
    <w:rsid w:val="1BB96C64"/>
    <w:rsid w:val="1BC010DE"/>
    <w:rsid w:val="1BC5554E"/>
    <w:rsid w:val="1BD04049"/>
    <w:rsid w:val="1BD911E1"/>
    <w:rsid w:val="1BF56C23"/>
    <w:rsid w:val="1C2222B8"/>
    <w:rsid w:val="1C380843"/>
    <w:rsid w:val="1C4260A0"/>
    <w:rsid w:val="1C4E3C1B"/>
    <w:rsid w:val="1C4F6B67"/>
    <w:rsid w:val="1C5E5533"/>
    <w:rsid w:val="1C656499"/>
    <w:rsid w:val="1C831CF4"/>
    <w:rsid w:val="1CBC595A"/>
    <w:rsid w:val="1CC161ED"/>
    <w:rsid w:val="1CC74887"/>
    <w:rsid w:val="1CCA0076"/>
    <w:rsid w:val="1CE411F7"/>
    <w:rsid w:val="1CEB0040"/>
    <w:rsid w:val="1D063DCA"/>
    <w:rsid w:val="1D267113"/>
    <w:rsid w:val="1D281EB0"/>
    <w:rsid w:val="1D331E7D"/>
    <w:rsid w:val="1D34424B"/>
    <w:rsid w:val="1D387C83"/>
    <w:rsid w:val="1D6C7998"/>
    <w:rsid w:val="1D730A81"/>
    <w:rsid w:val="1D752353"/>
    <w:rsid w:val="1D9B1B4E"/>
    <w:rsid w:val="1DA44877"/>
    <w:rsid w:val="1DAD6D21"/>
    <w:rsid w:val="1DB1777F"/>
    <w:rsid w:val="1DC31AF1"/>
    <w:rsid w:val="1DCC114B"/>
    <w:rsid w:val="1DD60E90"/>
    <w:rsid w:val="1DF5364C"/>
    <w:rsid w:val="1DFE7883"/>
    <w:rsid w:val="1E0565AE"/>
    <w:rsid w:val="1E0A2D95"/>
    <w:rsid w:val="1E0A6878"/>
    <w:rsid w:val="1E2A47CD"/>
    <w:rsid w:val="1E2C0970"/>
    <w:rsid w:val="1E3A6684"/>
    <w:rsid w:val="1E7317C0"/>
    <w:rsid w:val="1E7D5ABB"/>
    <w:rsid w:val="1E8D54EF"/>
    <w:rsid w:val="1E961793"/>
    <w:rsid w:val="1EB53DE6"/>
    <w:rsid w:val="1EB973D3"/>
    <w:rsid w:val="1ED44256"/>
    <w:rsid w:val="1ED60221"/>
    <w:rsid w:val="1EEB2AF3"/>
    <w:rsid w:val="1EEC4CEF"/>
    <w:rsid w:val="1EF5217E"/>
    <w:rsid w:val="1EF66202"/>
    <w:rsid w:val="1F012AAA"/>
    <w:rsid w:val="1F1E40D9"/>
    <w:rsid w:val="1F420E21"/>
    <w:rsid w:val="1F46735E"/>
    <w:rsid w:val="1F4B0E65"/>
    <w:rsid w:val="1F5C63B9"/>
    <w:rsid w:val="1F705713"/>
    <w:rsid w:val="1F720A5F"/>
    <w:rsid w:val="1F734579"/>
    <w:rsid w:val="1F7955F7"/>
    <w:rsid w:val="1F882FF2"/>
    <w:rsid w:val="1FBB19B2"/>
    <w:rsid w:val="1FCA2EBF"/>
    <w:rsid w:val="1FEB588C"/>
    <w:rsid w:val="200D519B"/>
    <w:rsid w:val="204E0EFF"/>
    <w:rsid w:val="204E205C"/>
    <w:rsid w:val="20626CD8"/>
    <w:rsid w:val="20763646"/>
    <w:rsid w:val="20775393"/>
    <w:rsid w:val="207A6552"/>
    <w:rsid w:val="20AD595C"/>
    <w:rsid w:val="20B34B5F"/>
    <w:rsid w:val="20BC1E66"/>
    <w:rsid w:val="20DE5922"/>
    <w:rsid w:val="20F8103B"/>
    <w:rsid w:val="212D64C0"/>
    <w:rsid w:val="21354AB4"/>
    <w:rsid w:val="21370631"/>
    <w:rsid w:val="213A5D89"/>
    <w:rsid w:val="216752C7"/>
    <w:rsid w:val="21707D59"/>
    <w:rsid w:val="2185066E"/>
    <w:rsid w:val="21D90CB0"/>
    <w:rsid w:val="222A7D1D"/>
    <w:rsid w:val="22300E92"/>
    <w:rsid w:val="223057A5"/>
    <w:rsid w:val="223220AA"/>
    <w:rsid w:val="223F26DA"/>
    <w:rsid w:val="226203E8"/>
    <w:rsid w:val="22785B22"/>
    <w:rsid w:val="22CC21EE"/>
    <w:rsid w:val="22D122C9"/>
    <w:rsid w:val="230A57C7"/>
    <w:rsid w:val="231059E5"/>
    <w:rsid w:val="235D643B"/>
    <w:rsid w:val="2369313B"/>
    <w:rsid w:val="238B4E5F"/>
    <w:rsid w:val="23902C16"/>
    <w:rsid w:val="23D21C56"/>
    <w:rsid w:val="23D774B0"/>
    <w:rsid w:val="23E016A9"/>
    <w:rsid w:val="23E604C4"/>
    <w:rsid w:val="23E80503"/>
    <w:rsid w:val="23EB1DA2"/>
    <w:rsid w:val="23F52E28"/>
    <w:rsid w:val="240B75A8"/>
    <w:rsid w:val="241B6592"/>
    <w:rsid w:val="243E0F5D"/>
    <w:rsid w:val="246B3644"/>
    <w:rsid w:val="248134C1"/>
    <w:rsid w:val="24824963"/>
    <w:rsid w:val="248708FF"/>
    <w:rsid w:val="24A85815"/>
    <w:rsid w:val="24A94248"/>
    <w:rsid w:val="24AD52A9"/>
    <w:rsid w:val="24AF6A4C"/>
    <w:rsid w:val="24BB7F8A"/>
    <w:rsid w:val="24C5531D"/>
    <w:rsid w:val="24DD05BB"/>
    <w:rsid w:val="24E0742D"/>
    <w:rsid w:val="24E8008F"/>
    <w:rsid w:val="24F0191B"/>
    <w:rsid w:val="24F955A1"/>
    <w:rsid w:val="24FE1E44"/>
    <w:rsid w:val="25063990"/>
    <w:rsid w:val="250A79B6"/>
    <w:rsid w:val="251151E4"/>
    <w:rsid w:val="253649E7"/>
    <w:rsid w:val="254D6CE8"/>
    <w:rsid w:val="25667096"/>
    <w:rsid w:val="258C2C60"/>
    <w:rsid w:val="2599718B"/>
    <w:rsid w:val="25AA61D3"/>
    <w:rsid w:val="25AF3DB9"/>
    <w:rsid w:val="25BE442F"/>
    <w:rsid w:val="25ED1E01"/>
    <w:rsid w:val="25F23691"/>
    <w:rsid w:val="25F24661"/>
    <w:rsid w:val="25F97428"/>
    <w:rsid w:val="2615655F"/>
    <w:rsid w:val="265B705B"/>
    <w:rsid w:val="2668775B"/>
    <w:rsid w:val="267918E7"/>
    <w:rsid w:val="268467B1"/>
    <w:rsid w:val="268F517D"/>
    <w:rsid w:val="269A5FB9"/>
    <w:rsid w:val="270C3E08"/>
    <w:rsid w:val="273E03D7"/>
    <w:rsid w:val="27424207"/>
    <w:rsid w:val="27561C28"/>
    <w:rsid w:val="2762162C"/>
    <w:rsid w:val="27673744"/>
    <w:rsid w:val="277851C6"/>
    <w:rsid w:val="279369D8"/>
    <w:rsid w:val="27A6042A"/>
    <w:rsid w:val="27A74523"/>
    <w:rsid w:val="27BD453D"/>
    <w:rsid w:val="27C16856"/>
    <w:rsid w:val="27C21FD3"/>
    <w:rsid w:val="27D1500A"/>
    <w:rsid w:val="27D77C4F"/>
    <w:rsid w:val="27F27742"/>
    <w:rsid w:val="28177628"/>
    <w:rsid w:val="28181238"/>
    <w:rsid w:val="281B0C18"/>
    <w:rsid w:val="28625866"/>
    <w:rsid w:val="287E0D65"/>
    <w:rsid w:val="287E1436"/>
    <w:rsid w:val="28822C20"/>
    <w:rsid w:val="288960D5"/>
    <w:rsid w:val="288A1B89"/>
    <w:rsid w:val="28A40771"/>
    <w:rsid w:val="28A409E1"/>
    <w:rsid w:val="28B03704"/>
    <w:rsid w:val="28BC4582"/>
    <w:rsid w:val="28BC5ABB"/>
    <w:rsid w:val="28D22247"/>
    <w:rsid w:val="28F469C7"/>
    <w:rsid w:val="28FA65F7"/>
    <w:rsid w:val="29063866"/>
    <w:rsid w:val="290A51DC"/>
    <w:rsid w:val="293957F6"/>
    <w:rsid w:val="29443564"/>
    <w:rsid w:val="29466CF8"/>
    <w:rsid w:val="294A2013"/>
    <w:rsid w:val="29624879"/>
    <w:rsid w:val="29664D44"/>
    <w:rsid w:val="296760B3"/>
    <w:rsid w:val="29833CA2"/>
    <w:rsid w:val="29840105"/>
    <w:rsid w:val="298C322D"/>
    <w:rsid w:val="29AA663D"/>
    <w:rsid w:val="29B42FC8"/>
    <w:rsid w:val="29BA4CB8"/>
    <w:rsid w:val="29CD1E1B"/>
    <w:rsid w:val="29DD6927"/>
    <w:rsid w:val="29E56CD4"/>
    <w:rsid w:val="29F759FA"/>
    <w:rsid w:val="2A015314"/>
    <w:rsid w:val="2A0C1FBB"/>
    <w:rsid w:val="2A375D41"/>
    <w:rsid w:val="2A5475FF"/>
    <w:rsid w:val="2A622438"/>
    <w:rsid w:val="2A663B6C"/>
    <w:rsid w:val="2A763C66"/>
    <w:rsid w:val="2A853835"/>
    <w:rsid w:val="2A921DCB"/>
    <w:rsid w:val="2AA35184"/>
    <w:rsid w:val="2AB959FE"/>
    <w:rsid w:val="2AC904B0"/>
    <w:rsid w:val="2ACA6EBF"/>
    <w:rsid w:val="2AE247D3"/>
    <w:rsid w:val="2AE629A6"/>
    <w:rsid w:val="2B007B1D"/>
    <w:rsid w:val="2B144E96"/>
    <w:rsid w:val="2B1F5029"/>
    <w:rsid w:val="2B3F2619"/>
    <w:rsid w:val="2B556FA3"/>
    <w:rsid w:val="2B557A86"/>
    <w:rsid w:val="2B797C93"/>
    <w:rsid w:val="2B7E46FC"/>
    <w:rsid w:val="2B991185"/>
    <w:rsid w:val="2BA525D9"/>
    <w:rsid w:val="2BAD6011"/>
    <w:rsid w:val="2BB434F9"/>
    <w:rsid w:val="2BC15C84"/>
    <w:rsid w:val="2BC27458"/>
    <w:rsid w:val="2BD1536F"/>
    <w:rsid w:val="2BF67E81"/>
    <w:rsid w:val="2C2447BB"/>
    <w:rsid w:val="2C390764"/>
    <w:rsid w:val="2C3964F6"/>
    <w:rsid w:val="2C5310AC"/>
    <w:rsid w:val="2C534988"/>
    <w:rsid w:val="2C5826ED"/>
    <w:rsid w:val="2C807032"/>
    <w:rsid w:val="2C8A510E"/>
    <w:rsid w:val="2C972AC7"/>
    <w:rsid w:val="2C9B56DF"/>
    <w:rsid w:val="2CC4431E"/>
    <w:rsid w:val="2CCB451E"/>
    <w:rsid w:val="2CCE7C1E"/>
    <w:rsid w:val="2CE81670"/>
    <w:rsid w:val="2CEE2CB7"/>
    <w:rsid w:val="2CFF241A"/>
    <w:rsid w:val="2D11777E"/>
    <w:rsid w:val="2D126D46"/>
    <w:rsid w:val="2D4B0405"/>
    <w:rsid w:val="2D6E557E"/>
    <w:rsid w:val="2D760F49"/>
    <w:rsid w:val="2D856DC3"/>
    <w:rsid w:val="2D937570"/>
    <w:rsid w:val="2DBB3C08"/>
    <w:rsid w:val="2DC35CDB"/>
    <w:rsid w:val="2DE419B7"/>
    <w:rsid w:val="2DE469DC"/>
    <w:rsid w:val="2DF4185D"/>
    <w:rsid w:val="2DF4595A"/>
    <w:rsid w:val="2DF66B4B"/>
    <w:rsid w:val="2DFE521A"/>
    <w:rsid w:val="2E123651"/>
    <w:rsid w:val="2E266DE5"/>
    <w:rsid w:val="2E286573"/>
    <w:rsid w:val="2E2F0DCB"/>
    <w:rsid w:val="2E405957"/>
    <w:rsid w:val="2E553412"/>
    <w:rsid w:val="2E79198D"/>
    <w:rsid w:val="2E8A7FAB"/>
    <w:rsid w:val="2E9058BC"/>
    <w:rsid w:val="2E954DE4"/>
    <w:rsid w:val="2EA957E6"/>
    <w:rsid w:val="2EAD65D1"/>
    <w:rsid w:val="2ECE71E8"/>
    <w:rsid w:val="2EF629E6"/>
    <w:rsid w:val="2EFF0C81"/>
    <w:rsid w:val="2F030EC1"/>
    <w:rsid w:val="2F09081A"/>
    <w:rsid w:val="2F116770"/>
    <w:rsid w:val="2F19705D"/>
    <w:rsid w:val="2F1F0712"/>
    <w:rsid w:val="2F1F2006"/>
    <w:rsid w:val="2F212E96"/>
    <w:rsid w:val="2F281BD6"/>
    <w:rsid w:val="2F284E3A"/>
    <w:rsid w:val="2F633134"/>
    <w:rsid w:val="2F8B626A"/>
    <w:rsid w:val="2F9F7911"/>
    <w:rsid w:val="2FB4250F"/>
    <w:rsid w:val="2FC260AC"/>
    <w:rsid w:val="2FFF6DEE"/>
    <w:rsid w:val="3007409C"/>
    <w:rsid w:val="302806AB"/>
    <w:rsid w:val="307359AA"/>
    <w:rsid w:val="30CA53EE"/>
    <w:rsid w:val="30DC319E"/>
    <w:rsid w:val="30E22089"/>
    <w:rsid w:val="30F721D9"/>
    <w:rsid w:val="30FC114A"/>
    <w:rsid w:val="311B77F2"/>
    <w:rsid w:val="312071C6"/>
    <w:rsid w:val="31252006"/>
    <w:rsid w:val="319D5345"/>
    <w:rsid w:val="319F5F79"/>
    <w:rsid w:val="31A71C92"/>
    <w:rsid w:val="31B373CF"/>
    <w:rsid w:val="31B43771"/>
    <w:rsid w:val="31BC5119"/>
    <w:rsid w:val="320A7E4C"/>
    <w:rsid w:val="32174B6D"/>
    <w:rsid w:val="32220824"/>
    <w:rsid w:val="3233014F"/>
    <w:rsid w:val="324058A0"/>
    <w:rsid w:val="32520893"/>
    <w:rsid w:val="326177C3"/>
    <w:rsid w:val="326B19A6"/>
    <w:rsid w:val="326D3B97"/>
    <w:rsid w:val="32AE2918"/>
    <w:rsid w:val="32B67A1F"/>
    <w:rsid w:val="32B87BBE"/>
    <w:rsid w:val="32C927BE"/>
    <w:rsid w:val="32D66169"/>
    <w:rsid w:val="330428CD"/>
    <w:rsid w:val="3311219D"/>
    <w:rsid w:val="332F7D9E"/>
    <w:rsid w:val="333C6176"/>
    <w:rsid w:val="33474867"/>
    <w:rsid w:val="3356242B"/>
    <w:rsid w:val="33765027"/>
    <w:rsid w:val="33855AD3"/>
    <w:rsid w:val="33A23BAA"/>
    <w:rsid w:val="33AB7826"/>
    <w:rsid w:val="33B92A2B"/>
    <w:rsid w:val="33C0369E"/>
    <w:rsid w:val="33C80854"/>
    <w:rsid w:val="33CB1BCD"/>
    <w:rsid w:val="33E177EC"/>
    <w:rsid w:val="33F8574C"/>
    <w:rsid w:val="3404735B"/>
    <w:rsid w:val="340E1B6C"/>
    <w:rsid w:val="341843FA"/>
    <w:rsid w:val="3427224D"/>
    <w:rsid w:val="342F0C27"/>
    <w:rsid w:val="343B3F7B"/>
    <w:rsid w:val="34460B54"/>
    <w:rsid w:val="344902F9"/>
    <w:rsid w:val="34511E94"/>
    <w:rsid w:val="34677222"/>
    <w:rsid w:val="347D4436"/>
    <w:rsid w:val="347E2C6D"/>
    <w:rsid w:val="349D2C44"/>
    <w:rsid w:val="34BF5B53"/>
    <w:rsid w:val="34D4620E"/>
    <w:rsid w:val="34DA7BE7"/>
    <w:rsid w:val="34EB52DE"/>
    <w:rsid w:val="350C2CFE"/>
    <w:rsid w:val="352535BF"/>
    <w:rsid w:val="352C7EA8"/>
    <w:rsid w:val="353A4937"/>
    <w:rsid w:val="35435C59"/>
    <w:rsid w:val="356F6688"/>
    <w:rsid w:val="35755CDF"/>
    <w:rsid w:val="3577123A"/>
    <w:rsid w:val="357949F1"/>
    <w:rsid w:val="35A34824"/>
    <w:rsid w:val="35AC681C"/>
    <w:rsid w:val="35BF7C47"/>
    <w:rsid w:val="35CC6735"/>
    <w:rsid w:val="35CD2BB3"/>
    <w:rsid w:val="35D17793"/>
    <w:rsid w:val="35D44703"/>
    <w:rsid w:val="35D652D8"/>
    <w:rsid w:val="35E9530E"/>
    <w:rsid w:val="35F27CE6"/>
    <w:rsid w:val="360F0705"/>
    <w:rsid w:val="36261BCF"/>
    <w:rsid w:val="362F3D70"/>
    <w:rsid w:val="3651012D"/>
    <w:rsid w:val="365509A7"/>
    <w:rsid w:val="36563C6D"/>
    <w:rsid w:val="365A6CCC"/>
    <w:rsid w:val="366A4DA8"/>
    <w:rsid w:val="367E2D57"/>
    <w:rsid w:val="36935C38"/>
    <w:rsid w:val="369D266A"/>
    <w:rsid w:val="36B3428B"/>
    <w:rsid w:val="36D5413D"/>
    <w:rsid w:val="371A5BC8"/>
    <w:rsid w:val="372443BB"/>
    <w:rsid w:val="372E4C9C"/>
    <w:rsid w:val="373061C9"/>
    <w:rsid w:val="37343C22"/>
    <w:rsid w:val="373D2B1F"/>
    <w:rsid w:val="375A5257"/>
    <w:rsid w:val="37667201"/>
    <w:rsid w:val="376B20AA"/>
    <w:rsid w:val="3775640A"/>
    <w:rsid w:val="378759F2"/>
    <w:rsid w:val="378841C2"/>
    <w:rsid w:val="37AB4656"/>
    <w:rsid w:val="37DB1D64"/>
    <w:rsid w:val="37DE4B60"/>
    <w:rsid w:val="37DF3574"/>
    <w:rsid w:val="383F3DBE"/>
    <w:rsid w:val="38532CB2"/>
    <w:rsid w:val="38585522"/>
    <w:rsid w:val="385F6F0F"/>
    <w:rsid w:val="386A5533"/>
    <w:rsid w:val="386D6BBE"/>
    <w:rsid w:val="386E2DF5"/>
    <w:rsid w:val="386F48F8"/>
    <w:rsid w:val="387119AC"/>
    <w:rsid w:val="387E29E0"/>
    <w:rsid w:val="389705A8"/>
    <w:rsid w:val="38A12A96"/>
    <w:rsid w:val="38AA44D5"/>
    <w:rsid w:val="38B25784"/>
    <w:rsid w:val="38C14EBB"/>
    <w:rsid w:val="38C52157"/>
    <w:rsid w:val="39162DA2"/>
    <w:rsid w:val="392708D1"/>
    <w:rsid w:val="39595A1D"/>
    <w:rsid w:val="395A5484"/>
    <w:rsid w:val="395B3597"/>
    <w:rsid w:val="395E5941"/>
    <w:rsid w:val="396C7B29"/>
    <w:rsid w:val="396F6C26"/>
    <w:rsid w:val="3972441B"/>
    <w:rsid w:val="39776032"/>
    <w:rsid w:val="397C256E"/>
    <w:rsid w:val="3983082F"/>
    <w:rsid w:val="398664FD"/>
    <w:rsid w:val="398E4CD6"/>
    <w:rsid w:val="39973BB7"/>
    <w:rsid w:val="39A02D3F"/>
    <w:rsid w:val="39E66DF3"/>
    <w:rsid w:val="39EA24CE"/>
    <w:rsid w:val="39F23B26"/>
    <w:rsid w:val="3A0379ED"/>
    <w:rsid w:val="3A057C24"/>
    <w:rsid w:val="3A2125C7"/>
    <w:rsid w:val="3A39251F"/>
    <w:rsid w:val="3A3F1232"/>
    <w:rsid w:val="3A4A6E6D"/>
    <w:rsid w:val="3A7A6B37"/>
    <w:rsid w:val="3A840B2C"/>
    <w:rsid w:val="3A9738D5"/>
    <w:rsid w:val="3ACD2E20"/>
    <w:rsid w:val="3ADE15F8"/>
    <w:rsid w:val="3AE00824"/>
    <w:rsid w:val="3AEC2FE6"/>
    <w:rsid w:val="3AFF58FC"/>
    <w:rsid w:val="3B023EE3"/>
    <w:rsid w:val="3B333C10"/>
    <w:rsid w:val="3B3D01A4"/>
    <w:rsid w:val="3B5A363D"/>
    <w:rsid w:val="3B6D66AC"/>
    <w:rsid w:val="3B727EF6"/>
    <w:rsid w:val="3B7B7C0E"/>
    <w:rsid w:val="3B920F14"/>
    <w:rsid w:val="3BAC3536"/>
    <w:rsid w:val="3BB92FCA"/>
    <w:rsid w:val="3BC12E72"/>
    <w:rsid w:val="3BCA1B0B"/>
    <w:rsid w:val="3BCC1A3A"/>
    <w:rsid w:val="3BE75C29"/>
    <w:rsid w:val="3BF95CDC"/>
    <w:rsid w:val="3C0D3FB0"/>
    <w:rsid w:val="3C0E3C5F"/>
    <w:rsid w:val="3C230BAD"/>
    <w:rsid w:val="3C2467CD"/>
    <w:rsid w:val="3C2F0FC9"/>
    <w:rsid w:val="3C3C1778"/>
    <w:rsid w:val="3C3E0B5D"/>
    <w:rsid w:val="3C5A068C"/>
    <w:rsid w:val="3C746980"/>
    <w:rsid w:val="3C8966D5"/>
    <w:rsid w:val="3CAA76DA"/>
    <w:rsid w:val="3CB0377B"/>
    <w:rsid w:val="3CBB71B5"/>
    <w:rsid w:val="3CCA0100"/>
    <w:rsid w:val="3CCC3263"/>
    <w:rsid w:val="3CD93FF7"/>
    <w:rsid w:val="3CE3115C"/>
    <w:rsid w:val="3CEB0E28"/>
    <w:rsid w:val="3D0C5A20"/>
    <w:rsid w:val="3D0F5F1A"/>
    <w:rsid w:val="3D17266E"/>
    <w:rsid w:val="3D3F562A"/>
    <w:rsid w:val="3D4A43AD"/>
    <w:rsid w:val="3D8F25E4"/>
    <w:rsid w:val="3D9B2BCC"/>
    <w:rsid w:val="3DA4136E"/>
    <w:rsid w:val="3DA8208E"/>
    <w:rsid w:val="3DA8731B"/>
    <w:rsid w:val="3DB02488"/>
    <w:rsid w:val="3DB41DCE"/>
    <w:rsid w:val="3DBF1F01"/>
    <w:rsid w:val="3DDC47DD"/>
    <w:rsid w:val="3DFD29A6"/>
    <w:rsid w:val="3DFE2CAC"/>
    <w:rsid w:val="3E061822"/>
    <w:rsid w:val="3E0710DD"/>
    <w:rsid w:val="3E18158D"/>
    <w:rsid w:val="3E246B19"/>
    <w:rsid w:val="3E3839DE"/>
    <w:rsid w:val="3E401D38"/>
    <w:rsid w:val="3E4B6FDD"/>
    <w:rsid w:val="3E7C170B"/>
    <w:rsid w:val="3E921340"/>
    <w:rsid w:val="3E9D608C"/>
    <w:rsid w:val="3EBB2DC7"/>
    <w:rsid w:val="3EC86B10"/>
    <w:rsid w:val="3ED336DA"/>
    <w:rsid w:val="3EF45B57"/>
    <w:rsid w:val="3EFB6020"/>
    <w:rsid w:val="3F0F6044"/>
    <w:rsid w:val="3F14087D"/>
    <w:rsid w:val="3F36382F"/>
    <w:rsid w:val="3F4B1152"/>
    <w:rsid w:val="3F512FC4"/>
    <w:rsid w:val="3F5B7D37"/>
    <w:rsid w:val="3F736BA1"/>
    <w:rsid w:val="3F7F5AE6"/>
    <w:rsid w:val="3F8E09B4"/>
    <w:rsid w:val="3FBD64CE"/>
    <w:rsid w:val="3FEF5A5E"/>
    <w:rsid w:val="40002EBE"/>
    <w:rsid w:val="40063D93"/>
    <w:rsid w:val="400B13AA"/>
    <w:rsid w:val="40247C3E"/>
    <w:rsid w:val="40322DDA"/>
    <w:rsid w:val="40487593"/>
    <w:rsid w:val="404C7F02"/>
    <w:rsid w:val="40A43ACE"/>
    <w:rsid w:val="40E90FBF"/>
    <w:rsid w:val="40F57895"/>
    <w:rsid w:val="412B15D8"/>
    <w:rsid w:val="412E2773"/>
    <w:rsid w:val="412F450E"/>
    <w:rsid w:val="41426AC8"/>
    <w:rsid w:val="41717C7C"/>
    <w:rsid w:val="41781C72"/>
    <w:rsid w:val="41A42A55"/>
    <w:rsid w:val="41C32B6E"/>
    <w:rsid w:val="42435816"/>
    <w:rsid w:val="42452EAD"/>
    <w:rsid w:val="42464CDC"/>
    <w:rsid w:val="427622BA"/>
    <w:rsid w:val="42782893"/>
    <w:rsid w:val="428D7112"/>
    <w:rsid w:val="42926C76"/>
    <w:rsid w:val="42930DB5"/>
    <w:rsid w:val="429477FF"/>
    <w:rsid w:val="429A4C67"/>
    <w:rsid w:val="42A25018"/>
    <w:rsid w:val="42D40179"/>
    <w:rsid w:val="42E33AD5"/>
    <w:rsid w:val="430420E0"/>
    <w:rsid w:val="43065E58"/>
    <w:rsid w:val="43395887"/>
    <w:rsid w:val="435579A3"/>
    <w:rsid w:val="435F737E"/>
    <w:rsid w:val="436C3D84"/>
    <w:rsid w:val="43770579"/>
    <w:rsid w:val="43891F96"/>
    <w:rsid w:val="438F54B4"/>
    <w:rsid w:val="43BC627C"/>
    <w:rsid w:val="43C27FD1"/>
    <w:rsid w:val="43CB2647"/>
    <w:rsid w:val="43D80C34"/>
    <w:rsid w:val="43DC31A6"/>
    <w:rsid w:val="43E52D52"/>
    <w:rsid w:val="43FF21E8"/>
    <w:rsid w:val="440C573A"/>
    <w:rsid w:val="444779D0"/>
    <w:rsid w:val="444C7A2A"/>
    <w:rsid w:val="4471496D"/>
    <w:rsid w:val="447D1919"/>
    <w:rsid w:val="44C44E58"/>
    <w:rsid w:val="44C87149"/>
    <w:rsid w:val="44D04AE8"/>
    <w:rsid w:val="4505785E"/>
    <w:rsid w:val="45172F5F"/>
    <w:rsid w:val="45180BFA"/>
    <w:rsid w:val="452742C2"/>
    <w:rsid w:val="45336E64"/>
    <w:rsid w:val="45336F89"/>
    <w:rsid w:val="454A0196"/>
    <w:rsid w:val="454D13B3"/>
    <w:rsid w:val="459162A1"/>
    <w:rsid w:val="45AB23BA"/>
    <w:rsid w:val="45AE377D"/>
    <w:rsid w:val="45C142B9"/>
    <w:rsid w:val="45DA5D97"/>
    <w:rsid w:val="45EC358C"/>
    <w:rsid w:val="45EE77CB"/>
    <w:rsid w:val="45F70249"/>
    <w:rsid w:val="45F96D91"/>
    <w:rsid w:val="460B5B78"/>
    <w:rsid w:val="461037D9"/>
    <w:rsid w:val="461155F5"/>
    <w:rsid w:val="46184AD3"/>
    <w:rsid w:val="46353DD5"/>
    <w:rsid w:val="46396545"/>
    <w:rsid w:val="464E458B"/>
    <w:rsid w:val="46584C1D"/>
    <w:rsid w:val="465F5200"/>
    <w:rsid w:val="466E61EE"/>
    <w:rsid w:val="46717A8D"/>
    <w:rsid w:val="46813E7D"/>
    <w:rsid w:val="4685781E"/>
    <w:rsid w:val="468A0B4E"/>
    <w:rsid w:val="468F5213"/>
    <w:rsid w:val="46935902"/>
    <w:rsid w:val="46975428"/>
    <w:rsid w:val="46C76AD1"/>
    <w:rsid w:val="46CA4B57"/>
    <w:rsid w:val="46D43223"/>
    <w:rsid w:val="46D72ED6"/>
    <w:rsid w:val="46F424C0"/>
    <w:rsid w:val="46FF778E"/>
    <w:rsid w:val="471F4EE4"/>
    <w:rsid w:val="473D34D5"/>
    <w:rsid w:val="47497CB0"/>
    <w:rsid w:val="475C4CED"/>
    <w:rsid w:val="478C3231"/>
    <w:rsid w:val="47A27964"/>
    <w:rsid w:val="47AA3BC9"/>
    <w:rsid w:val="47C8321B"/>
    <w:rsid w:val="47D05A11"/>
    <w:rsid w:val="47E865CC"/>
    <w:rsid w:val="47EC1AC1"/>
    <w:rsid w:val="47EC740D"/>
    <w:rsid w:val="47F70BDE"/>
    <w:rsid w:val="47F714BB"/>
    <w:rsid w:val="4800556C"/>
    <w:rsid w:val="480351E2"/>
    <w:rsid w:val="48320C2B"/>
    <w:rsid w:val="48654B2C"/>
    <w:rsid w:val="48A543C7"/>
    <w:rsid w:val="48C15F14"/>
    <w:rsid w:val="48C37E14"/>
    <w:rsid w:val="48FC3C57"/>
    <w:rsid w:val="48FD7CFE"/>
    <w:rsid w:val="490B41C9"/>
    <w:rsid w:val="490D3E2A"/>
    <w:rsid w:val="49166936"/>
    <w:rsid w:val="4917438C"/>
    <w:rsid w:val="4934425E"/>
    <w:rsid w:val="49396DAB"/>
    <w:rsid w:val="494369C1"/>
    <w:rsid w:val="496530FB"/>
    <w:rsid w:val="497664C9"/>
    <w:rsid w:val="497A134E"/>
    <w:rsid w:val="49800299"/>
    <w:rsid w:val="498E6BA8"/>
    <w:rsid w:val="49B35A51"/>
    <w:rsid w:val="49B949AD"/>
    <w:rsid w:val="49BB46FD"/>
    <w:rsid w:val="49BE2A0A"/>
    <w:rsid w:val="49EA6B25"/>
    <w:rsid w:val="49FE3D2D"/>
    <w:rsid w:val="4A031B1F"/>
    <w:rsid w:val="4A166669"/>
    <w:rsid w:val="4A1D7DEF"/>
    <w:rsid w:val="4A270609"/>
    <w:rsid w:val="4A554F95"/>
    <w:rsid w:val="4A6260FA"/>
    <w:rsid w:val="4A7932A8"/>
    <w:rsid w:val="4A7D2EA4"/>
    <w:rsid w:val="4A7F54B2"/>
    <w:rsid w:val="4A96002F"/>
    <w:rsid w:val="4A9B6A47"/>
    <w:rsid w:val="4AA877C1"/>
    <w:rsid w:val="4AB043A7"/>
    <w:rsid w:val="4ABA690A"/>
    <w:rsid w:val="4ABC27FA"/>
    <w:rsid w:val="4AC97CC1"/>
    <w:rsid w:val="4AD23C51"/>
    <w:rsid w:val="4AD72932"/>
    <w:rsid w:val="4B095155"/>
    <w:rsid w:val="4B0B51A6"/>
    <w:rsid w:val="4B112AF5"/>
    <w:rsid w:val="4B2257F9"/>
    <w:rsid w:val="4B2642A6"/>
    <w:rsid w:val="4B3157E5"/>
    <w:rsid w:val="4B3251AA"/>
    <w:rsid w:val="4B361611"/>
    <w:rsid w:val="4B4916F4"/>
    <w:rsid w:val="4B7E71FC"/>
    <w:rsid w:val="4B960E49"/>
    <w:rsid w:val="4BC16A32"/>
    <w:rsid w:val="4BC22933"/>
    <w:rsid w:val="4BD77E0A"/>
    <w:rsid w:val="4BE62CCB"/>
    <w:rsid w:val="4BEF6957"/>
    <w:rsid w:val="4C043ABE"/>
    <w:rsid w:val="4C092A8F"/>
    <w:rsid w:val="4C0A3E45"/>
    <w:rsid w:val="4C132910"/>
    <w:rsid w:val="4C1930A0"/>
    <w:rsid w:val="4C22032D"/>
    <w:rsid w:val="4C2630C7"/>
    <w:rsid w:val="4C3C66D1"/>
    <w:rsid w:val="4C481EDC"/>
    <w:rsid w:val="4C4E6DBB"/>
    <w:rsid w:val="4C9907A4"/>
    <w:rsid w:val="4CA26584"/>
    <w:rsid w:val="4CD24788"/>
    <w:rsid w:val="4CE85ABA"/>
    <w:rsid w:val="4CF3190C"/>
    <w:rsid w:val="4D005B8C"/>
    <w:rsid w:val="4D094E35"/>
    <w:rsid w:val="4D2A59C6"/>
    <w:rsid w:val="4D3944E3"/>
    <w:rsid w:val="4D722732"/>
    <w:rsid w:val="4D846A8D"/>
    <w:rsid w:val="4D8C2E44"/>
    <w:rsid w:val="4D944FBB"/>
    <w:rsid w:val="4D9F4A3D"/>
    <w:rsid w:val="4DA67E74"/>
    <w:rsid w:val="4DC50B3D"/>
    <w:rsid w:val="4DEA091B"/>
    <w:rsid w:val="4DEA4CF4"/>
    <w:rsid w:val="4E510505"/>
    <w:rsid w:val="4E517EEB"/>
    <w:rsid w:val="4E584F06"/>
    <w:rsid w:val="4E640FDA"/>
    <w:rsid w:val="4E6678AE"/>
    <w:rsid w:val="4E6F6E8A"/>
    <w:rsid w:val="4E74149B"/>
    <w:rsid w:val="4E8853CA"/>
    <w:rsid w:val="4EF51620"/>
    <w:rsid w:val="4F027E1C"/>
    <w:rsid w:val="4F220E89"/>
    <w:rsid w:val="4F33527F"/>
    <w:rsid w:val="4F455F5A"/>
    <w:rsid w:val="4F495A4B"/>
    <w:rsid w:val="4F5D6A35"/>
    <w:rsid w:val="4FA23DA2"/>
    <w:rsid w:val="4FAF5DA7"/>
    <w:rsid w:val="4FDA65EA"/>
    <w:rsid w:val="4FED1F1A"/>
    <w:rsid w:val="4FF91129"/>
    <w:rsid w:val="50063FBB"/>
    <w:rsid w:val="50086862"/>
    <w:rsid w:val="50234088"/>
    <w:rsid w:val="503B534C"/>
    <w:rsid w:val="50425825"/>
    <w:rsid w:val="504830BA"/>
    <w:rsid w:val="50586456"/>
    <w:rsid w:val="507949BD"/>
    <w:rsid w:val="508C18D4"/>
    <w:rsid w:val="5095081C"/>
    <w:rsid w:val="50AE0D79"/>
    <w:rsid w:val="50B67110"/>
    <w:rsid w:val="50B75A7B"/>
    <w:rsid w:val="50CB664D"/>
    <w:rsid w:val="50EA500B"/>
    <w:rsid w:val="510C1135"/>
    <w:rsid w:val="512723FD"/>
    <w:rsid w:val="51683D75"/>
    <w:rsid w:val="518B02DC"/>
    <w:rsid w:val="51980832"/>
    <w:rsid w:val="51A37724"/>
    <w:rsid w:val="51CE1E80"/>
    <w:rsid w:val="51DD691E"/>
    <w:rsid w:val="51DF7F89"/>
    <w:rsid w:val="51EE7DA7"/>
    <w:rsid w:val="51F22E7B"/>
    <w:rsid w:val="51F768E9"/>
    <w:rsid w:val="520E3420"/>
    <w:rsid w:val="520E67ED"/>
    <w:rsid w:val="52107762"/>
    <w:rsid w:val="5255354A"/>
    <w:rsid w:val="52934A87"/>
    <w:rsid w:val="52A8172A"/>
    <w:rsid w:val="52BC017D"/>
    <w:rsid w:val="52C61160"/>
    <w:rsid w:val="52C62E0D"/>
    <w:rsid w:val="52E22759"/>
    <w:rsid w:val="52E65050"/>
    <w:rsid w:val="530A60CB"/>
    <w:rsid w:val="53200188"/>
    <w:rsid w:val="534327B1"/>
    <w:rsid w:val="53642915"/>
    <w:rsid w:val="538531B7"/>
    <w:rsid w:val="544C3E34"/>
    <w:rsid w:val="545C6939"/>
    <w:rsid w:val="5479292E"/>
    <w:rsid w:val="547A5087"/>
    <w:rsid w:val="54820A87"/>
    <w:rsid w:val="549F610D"/>
    <w:rsid w:val="54B0031A"/>
    <w:rsid w:val="54BC56A6"/>
    <w:rsid w:val="54D05CC9"/>
    <w:rsid w:val="54DD202E"/>
    <w:rsid w:val="54F63F7F"/>
    <w:rsid w:val="54F9171E"/>
    <w:rsid w:val="5516726D"/>
    <w:rsid w:val="55360839"/>
    <w:rsid w:val="55473D6F"/>
    <w:rsid w:val="556C5FEF"/>
    <w:rsid w:val="557A0B6D"/>
    <w:rsid w:val="55904238"/>
    <w:rsid w:val="5595740F"/>
    <w:rsid w:val="559F2950"/>
    <w:rsid w:val="55B620C3"/>
    <w:rsid w:val="55E06EF9"/>
    <w:rsid w:val="55EC0635"/>
    <w:rsid w:val="55FA2E24"/>
    <w:rsid w:val="56034679"/>
    <w:rsid w:val="560E2525"/>
    <w:rsid w:val="561E0479"/>
    <w:rsid w:val="56494582"/>
    <w:rsid w:val="56567066"/>
    <w:rsid w:val="56834A19"/>
    <w:rsid w:val="568630E0"/>
    <w:rsid w:val="568C23E3"/>
    <w:rsid w:val="56A90FD4"/>
    <w:rsid w:val="56D07F23"/>
    <w:rsid w:val="56D402F0"/>
    <w:rsid w:val="56D53CB4"/>
    <w:rsid w:val="56F742C3"/>
    <w:rsid w:val="56FD09E5"/>
    <w:rsid w:val="570847A7"/>
    <w:rsid w:val="57114A26"/>
    <w:rsid w:val="572442C1"/>
    <w:rsid w:val="575A3A99"/>
    <w:rsid w:val="5764012A"/>
    <w:rsid w:val="5786480E"/>
    <w:rsid w:val="57985E51"/>
    <w:rsid w:val="579B546B"/>
    <w:rsid w:val="57AA28EB"/>
    <w:rsid w:val="57B024D2"/>
    <w:rsid w:val="57D7729F"/>
    <w:rsid w:val="58032D9B"/>
    <w:rsid w:val="58296419"/>
    <w:rsid w:val="583B5E34"/>
    <w:rsid w:val="583D5DE3"/>
    <w:rsid w:val="58523E4F"/>
    <w:rsid w:val="585C760E"/>
    <w:rsid w:val="58615BB3"/>
    <w:rsid w:val="586A3CC0"/>
    <w:rsid w:val="58732D45"/>
    <w:rsid w:val="58931AE5"/>
    <w:rsid w:val="58B63F78"/>
    <w:rsid w:val="58BE4E49"/>
    <w:rsid w:val="58C364A1"/>
    <w:rsid w:val="58C80A80"/>
    <w:rsid w:val="58D81164"/>
    <w:rsid w:val="58E2085C"/>
    <w:rsid w:val="59046D60"/>
    <w:rsid w:val="59195B26"/>
    <w:rsid w:val="59392673"/>
    <w:rsid w:val="594F509D"/>
    <w:rsid w:val="595B4533"/>
    <w:rsid w:val="596D50F3"/>
    <w:rsid w:val="59787C4F"/>
    <w:rsid w:val="597F067E"/>
    <w:rsid w:val="598D0C2A"/>
    <w:rsid w:val="59926240"/>
    <w:rsid w:val="59943478"/>
    <w:rsid w:val="599537C3"/>
    <w:rsid w:val="59A20EFF"/>
    <w:rsid w:val="59A5567A"/>
    <w:rsid w:val="59AE2B4C"/>
    <w:rsid w:val="59BE41CB"/>
    <w:rsid w:val="59C75EEA"/>
    <w:rsid w:val="59D413E5"/>
    <w:rsid w:val="59D641EB"/>
    <w:rsid w:val="59F26EC9"/>
    <w:rsid w:val="5A1C1CB8"/>
    <w:rsid w:val="5A3E49CF"/>
    <w:rsid w:val="5A427C66"/>
    <w:rsid w:val="5A484B61"/>
    <w:rsid w:val="5A606282"/>
    <w:rsid w:val="5A7C2509"/>
    <w:rsid w:val="5A822A51"/>
    <w:rsid w:val="5A831075"/>
    <w:rsid w:val="5A937721"/>
    <w:rsid w:val="5A9833DD"/>
    <w:rsid w:val="5AB54E2F"/>
    <w:rsid w:val="5AB66070"/>
    <w:rsid w:val="5AC5646A"/>
    <w:rsid w:val="5AD97360"/>
    <w:rsid w:val="5AE12608"/>
    <w:rsid w:val="5B0B3DCE"/>
    <w:rsid w:val="5B156E77"/>
    <w:rsid w:val="5B1A5D74"/>
    <w:rsid w:val="5B220596"/>
    <w:rsid w:val="5B261C6E"/>
    <w:rsid w:val="5B3370FF"/>
    <w:rsid w:val="5B47134C"/>
    <w:rsid w:val="5B4A1675"/>
    <w:rsid w:val="5B5655F7"/>
    <w:rsid w:val="5B61772F"/>
    <w:rsid w:val="5B713A3E"/>
    <w:rsid w:val="5B7472B0"/>
    <w:rsid w:val="5B763D98"/>
    <w:rsid w:val="5B767BC7"/>
    <w:rsid w:val="5B782CA5"/>
    <w:rsid w:val="5B7B3430"/>
    <w:rsid w:val="5B7E0ACB"/>
    <w:rsid w:val="5B8766D9"/>
    <w:rsid w:val="5B8F6A0E"/>
    <w:rsid w:val="5B9067E8"/>
    <w:rsid w:val="5B9E7A15"/>
    <w:rsid w:val="5BBA546A"/>
    <w:rsid w:val="5BD468FF"/>
    <w:rsid w:val="5BEA5EBF"/>
    <w:rsid w:val="5BF857F9"/>
    <w:rsid w:val="5BFA049B"/>
    <w:rsid w:val="5C017553"/>
    <w:rsid w:val="5C277155"/>
    <w:rsid w:val="5C35190E"/>
    <w:rsid w:val="5C3B3808"/>
    <w:rsid w:val="5C5A3C9F"/>
    <w:rsid w:val="5C8A1D93"/>
    <w:rsid w:val="5CA610CC"/>
    <w:rsid w:val="5CA9038F"/>
    <w:rsid w:val="5CAA1202"/>
    <w:rsid w:val="5CB53247"/>
    <w:rsid w:val="5CB87A37"/>
    <w:rsid w:val="5CC96185"/>
    <w:rsid w:val="5CCC4926"/>
    <w:rsid w:val="5CDA394F"/>
    <w:rsid w:val="5CF85882"/>
    <w:rsid w:val="5CFF314D"/>
    <w:rsid w:val="5D007920"/>
    <w:rsid w:val="5D137698"/>
    <w:rsid w:val="5D4D0FA1"/>
    <w:rsid w:val="5D4F2B2D"/>
    <w:rsid w:val="5D567A9F"/>
    <w:rsid w:val="5D601CD5"/>
    <w:rsid w:val="5D9458FA"/>
    <w:rsid w:val="5DA3734A"/>
    <w:rsid w:val="5DBC33B2"/>
    <w:rsid w:val="5DC50992"/>
    <w:rsid w:val="5DC920D6"/>
    <w:rsid w:val="5DD41CB4"/>
    <w:rsid w:val="5DEA2016"/>
    <w:rsid w:val="5DF62D07"/>
    <w:rsid w:val="5E457D25"/>
    <w:rsid w:val="5E4D1970"/>
    <w:rsid w:val="5E6C42DA"/>
    <w:rsid w:val="5E76576C"/>
    <w:rsid w:val="5E7B4C39"/>
    <w:rsid w:val="5E9F67EB"/>
    <w:rsid w:val="5ECD21F7"/>
    <w:rsid w:val="5ECF672F"/>
    <w:rsid w:val="5ED70C60"/>
    <w:rsid w:val="5EED3A18"/>
    <w:rsid w:val="5F2D33BC"/>
    <w:rsid w:val="5F3154F0"/>
    <w:rsid w:val="5F442DC9"/>
    <w:rsid w:val="5F45018A"/>
    <w:rsid w:val="5F4A477A"/>
    <w:rsid w:val="5F727210"/>
    <w:rsid w:val="5F9D000B"/>
    <w:rsid w:val="5FDD6E26"/>
    <w:rsid w:val="601D2E8C"/>
    <w:rsid w:val="602D2CCD"/>
    <w:rsid w:val="6035647F"/>
    <w:rsid w:val="603E6510"/>
    <w:rsid w:val="604C6D6B"/>
    <w:rsid w:val="604E078B"/>
    <w:rsid w:val="60603778"/>
    <w:rsid w:val="606D4AB5"/>
    <w:rsid w:val="60752AF1"/>
    <w:rsid w:val="60854409"/>
    <w:rsid w:val="6099558C"/>
    <w:rsid w:val="60AD4065"/>
    <w:rsid w:val="60BC1F7A"/>
    <w:rsid w:val="60C35C10"/>
    <w:rsid w:val="60D067D0"/>
    <w:rsid w:val="60FE62E5"/>
    <w:rsid w:val="61192EF2"/>
    <w:rsid w:val="613A22A1"/>
    <w:rsid w:val="61472C1C"/>
    <w:rsid w:val="615F6E4E"/>
    <w:rsid w:val="616406CB"/>
    <w:rsid w:val="6168351E"/>
    <w:rsid w:val="617A6CD6"/>
    <w:rsid w:val="617F56E9"/>
    <w:rsid w:val="61AA1046"/>
    <w:rsid w:val="61B8177A"/>
    <w:rsid w:val="61D3280F"/>
    <w:rsid w:val="61F620D0"/>
    <w:rsid w:val="620A00C6"/>
    <w:rsid w:val="62154EF2"/>
    <w:rsid w:val="62345046"/>
    <w:rsid w:val="624E2FA7"/>
    <w:rsid w:val="626151E7"/>
    <w:rsid w:val="62630657"/>
    <w:rsid w:val="62653616"/>
    <w:rsid w:val="628F0483"/>
    <w:rsid w:val="62E52FA4"/>
    <w:rsid w:val="62E53C4F"/>
    <w:rsid w:val="62EA6EEF"/>
    <w:rsid w:val="62FF16F5"/>
    <w:rsid w:val="63105BBB"/>
    <w:rsid w:val="6347009B"/>
    <w:rsid w:val="6368383A"/>
    <w:rsid w:val="637C2CE6"/>
    <w:rsid w:val="63902E5B"/>
    <w:rsid w:val="63910EFA"/>
    <w:rsid w:val="639C3F43"/>
    <w:rsid w:val="63A175A9"/>
    <w:rsid w:val="63DD03DB"/>
    <w:rsid w:val="63E1372A"/>
    <w:rsid w:val="63F023C6"/>
    <w:rsid w:val="63FC3932"/>
    <w:rsid w:val="6400267A"/>
    <w:rsid w:val="640909B8"/>
    <w:rsid w:val="643B3925"/>
    <w:rsid w:val="644E58E2"/>
    <w:rsid w:val="64514CBE"/>
    <w:rsid w:val="6459560A"/>
    <w:rsid w:val="64691DA1"/>
    <w:rsid w:val="646C5EFB"/>
    <w:rsid w:val="64887FC0"/>
    <w:rsid w:val="648C045C"/>
    <w:rsid w:val="648F0B08"/>
    <w:rsid w:val="64BC24B8"/>
    <w:rsid w:val="64CB0A0C"/>
    <w:rsid w:val="64CC2606"/>
    <w:rsid w:val="64DB600D"/>
    <w:rsid w:val="64DE339B"/>
    <w:rsid w:val="64F8164D"/>
    <w:rsid w:val="64F871D3"/>
    <w:rsid w:val="64FA0CA3"/>
    <w:rsid w:val="650103E9"/>
    <w:rsid w:val="6521763A"/>
    <w:rsid w:val="65330DF3"/>
    <w:rsid w:val="65501C8A"/>
    <w:rsid w:val="65515529"/>
    <w:rsid w:val="65515894"/>
    <w:rsid w:val="657059EE"/>
    <w:rsid w:val="65823A96"/>
    <w:rsid w:val="658E1A0D"/>
    <w:rsid w:val="65A93EC9"/>
    <w:rsid w:val="65D50CF1"/>
    <w:rsid w:val="65E831C9"/>
    <w:rsid w:val="65EA1D1D"/>
    <w:rsid w:val="65EA3954"/>
    <w:rsid w:val="65F07E99"/>
    <w:rsid w:val="65F263DF"/>
    <w:rsid w:val="66010CAC"/>
    <w:rsid w:val="66045570"/>
    <w:rsid w:val="661E7C35"/>
    <w:rsid w:val="663321AC"/>
    <w:rsid w:val="664B1C51"/>
    <w:rsid w:val="66547F7D"/>
    <w:rsid w:val="66552EE6"/>
    <w:rsid w:val="665C20B0"/>
    <w:rsid w:val="665F7963"/>
    <w:rsid w:val="666F67A2"/>
    <w:rsid w:val="66754F90"/>
    <w:rsid w:val="66A6332B"/>
    <w:rsid w:val="66B25590"/>
    <w:rsid w:val="66C93998"/>
    <w:rsid w:val="66CD6C29"/>
    <w:rsid w:val="66D22FA8"/>
    <w:rsid w:val="66E40109"/>
    <w:rsid w:val="67111367"/>
    <w:rsid w:val="671A0692"/>
    <w:rsid w:val="6746087C"/>
    <w:rsid w:val="67515045"/>
    <w:rsid w:val="6753487C"/>
    <w:rsid w:val="67550DB9"/>
    <w:rsid w:val="67552C03"/>
    <w:rsid w:val="6757465A"/>
    <w:rsid w:val="675B790D"/>
    <w:rsid w:val="675D7E8D"/>
    <w:rsid w:val="67694C38"/>
    <w:rsid w:val="676A7B4A"/>
    <w:rsid w:val="677E3DF5"/>
    <w:rsid w:val="6784028D"/>
    <w:rsid w:val="67932AA6"/>
    <w:rsid w:val="67AA7247"/>
    <w:rsid w:val="67AC1140"/>
    <w:rsid w:val="67B122D4"/>
    <w:rsid w:val="67BD6B7E"/>
    <w:rsid w:val="67BE2294"/>
    <w:rsid w:val="67D84827"/>
    <w:rsid w:val="67DB6373"/>
    <w:rsid w:val="67E30332"/>
    <w:rsid w:val="6801247C"/>
    <w:rsid w:val="685305D6"/>
    <w:rsid w:val="687E0606"/>
    <w:rsid w:val="688B28A7"/>
    <w:rsid w:val="68A81271"/>
    <w:rsid w:val="68BA5A0B"/>
    <w:rsid w:val="68C11F88"/>
    <w:rsid w:val="68C14ADA"/>
    <w:rsid w:val="68C3307A"/>
    <w:rsid w:val="68C53ADF"/>
    <w:rsid w:val="68CC48FE"/>
    <w:rsid w:val="68CD1B73"/>
    <w:rsid w:val="68D149EA"/>
    <w:rsid w:val="68D4643D"/>
    <w:rsid w:val="68D95C26"/>
    <w:rsid w:val="68F74229"/>
    <w:rsid w:val="68FB795E"/>
    <w:rsid w:val="68FC54C3"/>
    <w:rsid w:val="68FF3DB8"/>
    <w:rsid w:val="691629D8"/>
    <w:rsid w:val="691818D3"/>
    <w:rsid w:val="691F52B7"/>
    <w:rsid w:val="6927412E"/>
    <w:rsid w:val="69351074"/>
    <w:rsid w:val="693A3745"/>
    <w:rsid w:val="69431305"/>
    <w:rsid w:val="694B05C2"/>
    <w:rsid w:val="6957244B"/>
    <w:rsid w:val="695B03FD"/>
    <w:rsid w:val="696B1F42"/>
    <w:rsid w:val="69A11D14"/>
    <w:rsid w:val="69B04D18"/>
    <w:rsid w:val="69DD3DD0"/>
    <w:rsid w:val="69EA5EEB"/>
    <w:rsid w:val="69EB4A3F"/>
    <w:rsid w:val="69F34409"/>
    <w:rsid w:val="6A0C16F7"/>
    <w:rsid w:val="6A1F4622"/>
    <w:rsid w:val="6A260377"/>
    <w:rsid w:val="6A2F046B"/>
    <w:rsid w:val="6A563503"/>
    <w:rsid w:val="6A570AB7"/>
    <w:rsid w:val="6A5C68FD"/>
    <w:rsid w:val="6A6027C1"/>
    <w:rsid w:val="6A663A29"/>
    <w:rsid w:val="6A6B0FF8"/>
    <w:rsid w:val="6A70158C"/>
    <w:rsid w:val="6A7F636D"/>
    <w:rsid w:val="6A926173"/>
    <w:rsid w:val="6A9A448D"/>
    <w:rsid w:val="6AA022D2"/>
    <w:rsid w:val="6AA575DD"/>
    <w:rsid w:val="6AB62671"/>
    <w:rsid w:val="6AB97AD1"/>
    <w:rsid w:val="6AD662A8"/>
    <w:rsid w:val="6ADA5644"/>
    <w:rsid w:val="6AF145F1"/>
    <w:rsid w:val="6AF1513C"/>
    <w:rsid w:val="6AFA0793"/>
    <w:rsid w:val="6B0D2AE1"/>
    <w:rsid w:val="6B1757A8"/>
    <w:rsid w:val="6B377CF5"/>
    <w:rsid w:val="6B3868A5"/>
    <w:rsid w:val="6B66537A"/>
    <w:rsid w:val="6B786A6D"/>
    <w:rsid w:val="6B7B7902"/>
    <w:rsid w:val="6B8534B7"/>
    <w:rsid w:val="6BB41605"/>
    <w:rsid w:val="6BBA3B00"/>
    <w:rsid w:val="6BE27D57"/>
    <w:rsid w:val="6BE80454"/>
    <w:rsid w:val="6C1256EA"/>
    <w:rsid w:val="6C150AFE"/>
    <w:rsid w:val="6C197F0A"/>
    <w:rsid w:val="6C223C95"/>
    <w:rsid w:val="6C250F26"/>
    <w:rsid w:val="6C444E01"/>
    <w:rsid w:val="6C646F8B"/>
    <w:rsid w:val="6C6A1498"/>
    <w:rsid w:val="6C6C4983"/>
    <w:rsid w:val="6C7A503E"/>
    <w:rsid w:val="6CAF118B"/>
    <w:rsid w:val="6CB304EF"/>
    <w:rsid w:val="6CF345E0"/>
    <w:rsid w:val="6D055D67"/>
    <w:rsid w:val="6D360AF3"/>
    <w:rsid w:val="6D480C15"/>
    <w:rsid w:val="6D4F4A5E"/>
    <w:rsid w:val="6D550B08"/>
    <w:rsid w:val="6D607D5E"/>
    <w:rsid w:val="6D61581A"/>
    <w:rsid w:val="6D651CEE"/>
    <w:rsid w:val="6D716281"/>
    <w:rsid w:val="6D7253E0"/>
    <w:rsid w:val="6D7302B8"/>
    <w:rsid w:val="6D734CE6"/>
    <w:rsid w:val="6D870678"/>
    <w:rsid w:val="6D8C1B1F"/>
    <w:rsid w:val="6D9C1076"/>
    <w:rsid w:val="6DC42D44"/>
    <w:rsid w:val="6DD63F64"/>
    <w:rsid w:val="6DD8286A"/>
    <w:rsid w:val="6DD8726B"/>
    <w:rsid w:val="6DE62323"/>
    <w:rsid w:val="6DF73053"/>
    <w:rsid w:val="6E002B1B"/>
    <w:rsid w:val="6E0738B3"/>
    <w:rsid w:val="6E0F7A08"/>
    <w:rsid w:val="6E115EAA"/>
    <w:rsid w:val="6E1B4420"/>
    <w:rsid w:val="6E1F3B6A"/>
    <w:rsid w:val="6E276AFF"/>
    <w:rsid w:val="6E2C3324"/>
    <w:rsid w:val="6E311F77"/>
    <w:rsid w:val="6E49369D"/>
    <w:rsid w:val="6E5D5758"/>
    <w:rsid w:val="6E7D0EAC"/>
    <w:rsid w:val="6E8B7747"/>
    <w:rsid w:val="6EB53E29"/>
    <w:rsid w:val="6EBB19D0"/>
    <w:rsid w:val="6ECA0E9B"/>
    <w:rsid w:val="6EDB202C"/>
    <w:rsid w:val="6F062EDC"/>
    <w:rsid w:val="6F311FE0"/>
    <w:rsid w:val="6F3B38E5"/>
    <w:rsid w:val="6F40431D"/>
    <w:rsid w:val="6F4A141A"/>
    <w:rsid w:val="6F5543C9"/>
    <w:rsid w:val="6F762DB1"/>
    <w:rsid w:val="6F927939"/>
    <w:rsid w:val="6FB450EF"/>
    <w:rsid w:val="700307DA"/>
    <w:rsid w:val="701A3D5E"/>
    <w:rsid w:val="701C5B70"/>
    <w:rsid w:val="701C6CD4"/>
    <w:rsid w:val="70324F54"/>
    <w:rsid w:val="703B2D36"/>
    <w:rsid w:val="706036DD"/>
    <w:rsid w:val="70662A4F"/>
    <w:rsid w:val="70774EFC"/>
    <w:rsid w:val="708B757F"/>
    <w:rsid w:val="70A452F5"/>
    <w:rsid w:val="70C435A4"/>
    <w:rsid w:val="70C4441D"/>
    <w:rsid w:val="70C4574D"/>
    <w:rsid w:val="70D50B58"/>
    <w:rsid w:val="70E71FCA"/>
    <w:rsid w:val="70E96764"/>
    <w:rsid w:val="70F86B3D"/>
    <w:rsid w:val="71020314"/>
    <w:rsid w:val="71036B5C"/>
    <w:rsid w:val="711D41EA"/>
    <w:rsid w:val="71205F76"/>
    <w:rsid w:val="71510F17"/>
    <w:rsid w:val="716666AB"/>
    <w:rsid w:val="716A3280"/>
    <w:rsid w:val="716F16D1"/>
    <w:rsid w:val="71721EAB"/>
    <w:rsid w:val="71CB1AC1"/>
    <w:rsid w:val="71DB1462"/>
    <w:rsid w:val="71E568BD"/>
    <w:rsid w:val="71FE70FD"/>
    <w:rsid w:val="720B2D19"/>
    <w:rsid w:val="720B3918"/>
    <w:rsid w:val="72194B4E"/>
    <w:rsid w:val="722177D2"/>
    <w:rsid w:val="72225DEA"/>
    <w:rsid w:val="72372A14"/>
    <w:rsid w:val="723839D1"/>
    <w:rsid w:val="725D762A"/>
    <w:rsid w:val="728D704C"/>
    <w:rsid w:val="72941B6F"/>
    <w:rsid w:val="729A3AB0"/>
    <w:rsid w:val="72B30BE3"/>
    <w:rsid w:val="72BA50E1"/>
    <w:rsid w:val="72E36080"/>
    <w:rsid w:val="72E77F00"/>
    <w:rsid w:val="72F24E34"/>
    <w:rsid w:val="731436BE"/>
    <w:rsid w:val="733523E8"/>
    <w:rsid w:val="733C48D9"/>
    <w:rsid w:val="733D4ABD"/>
    <w:rsid w:val="73505799"/>
    <w:rsid w:val="73A746BE"/>
    <w:rsid w:val="73D8705B"/>
    <w:rsid w:val="73DA0844"/>
    <w:rsid w:val="73E829A5"/>
    <w:rsid w:val="73EC7372"/>
    <w:rsid w:val="73F25B13"/>
    <w:rsid w:val="7403227A"/>
    <w:rsid w:val="74113A49"/>
    <w:rsid w:val="741A12CA"/>
    <w:rsid w:val="741F3D99"/>
    <w:rsid w:val="743454A5"/>
    <w:rsid w:val="74431B5F"/>
    <w:rsid w:val="74520FD9"/>
    <w:rsid w:val="747E6B04"/>
    <w:rsid w:val="7487654A"/>
    <w:rsid w:val="74887DAA"/>
    <w:rsid w:val="74940151"/>
    <w:rsid w:val="74A87F19"/>
    <w:rsid w:val="74B85979"/>
    <w:rsid w:val="74C13D31"/>
    <w:rsid w:val="74CF25B2"/>
    <w:rsid w:val="74D142A9"/>
    <w:rsid w:val="74D83B62"/>
    <w:rsid w:val="74E420AE"/>
    <w:rsid w:val="750328B7"/>
    <w:rsid w:val="75120513"/>
    <w:rsid w:val="751D0C5C"/>
    <w:rsid w:val="756676F7"/>
    <w:rsid w:val="757F0CA0"/>
    <w:rsid w:val="75830761"/>
    <w:rsid w:val="758A152F"/>
    <w:rsid w:val="759C7DD3"/>
    <w:rsid w:val="75A87F26"/>
    <w:rsid w:val="75AB4D25"/>
    <w:rsid w:val="75C5058E"/>
    <w:rsid w:val="75C6692D"/>
    <w:rsid w:val="75CC3E0C"/>
    <w:rsid w:val="75E948BA"/>
    <w:rsid w:val="75F163EB"/>
    <w:rsid w:val="760661FE"/>
    <w:rsid w:val="760A5E84"/>
    <w:rsid w:val="76314824"/>
    <w:rsid w:val="763149BF"/>
    <w:rsid w:val="7674546C"/>
    <w:rsid w:val="768865A9"/>
    <w:rsid w:val="76940F17"/>
    <w:rsid w:val="76A45BEE"/>
    <w:rsid w:val="76B0392C"/>
    <w:rsid w:val="76D519B1"/>
    <w:rsid w:val="76D82303"/>
    <w:rsid w:val="76E20F41"/>
    <w:rsid w:val="76E570F7"/>
    <w:rsid w:val="76ED34AF"/>
    <w:rsid w:val="76F123A0"/>
    <w:rsid w:val="76FC7CA7"/>
    <w:rsid w:val="770A6B42"/>
    <w:rsid w:val="77336515"/>
    <w:rsid w:val="773F109D"/>
    <w:rsid w:val="775C4E09"/>
    <w:rsid w:val="778F0626"/>
    <w:rsid w:val="77B177EB"/>
    <w:rsid w:val="77C0176A"/>
    <w:rsid w:val="77CB05A5"/>
    <w:rsid w:val="77DB4D8B"/>
    <w:rsid w:val="77DD7AAD"/>
    <w:rsid w:val="77EA6DDE"/>
    <w:rsid w:val="77FB78AA"/>
    <w:rsid w:val="77FF337F"/>
    <w:rsid w:val="781544ED"/>
    <w:rsid w:val="7836222D"/>
    <w:rsid w:val="78470479"/>
    <w:rsid w:val="78596E18"/>
    <w:rsid w:val="785C20AE"/>
    <w:rsid w:val="786077DD"/>
    <w:rsid w:val="78720C2D"/>
    <w:rsid w:val="787D213D"/>
    <w:rsid w:val="788006AA"/>
    <w:rsid w:val="788107B9"/>
    <w:rsid w:val="7881349C"/>
    <w:rsid w:val="78884863"/>
    <w:rsid w:val="78A260E2"/>
    <w:rsid w:val="78B93EBA"/>
    <w:rsid w:val="78C32090"/>
    <w:rsid w:val="78E152E2"/>
    <w:rsid w:val="78F96219"/>
    <w:rsid w:val="79097340"/>
    <w:rsid w:val="79203D9F"/>
    <w:rsid w:val="796231BD"/>
    <w:rsid w:val="79667075"/>
    <w:rsid w:val="79681F4C"/>
    <w:rsid w:val="796A561B"/>
    <w:rsid w:val="797D616D"/>
    <w:rsid w:val="79C3680F"/>
    <w:rsid w:val="79F51225"/>
    <w:rsid w:val="79FA7042"/>
    <w:rsid w:val="7A067F11"/>
    <w:rsid w:val="7A070167"/>
    <w:rsid w:val="7A232357"/>
    <w:rsid w:val="7A2D4E27"/>
    <w:rsid w:val="7A512115"/>
    <w:rsid w:val="7A7D5625"/>
    <w:rsid w:val="7A804FA8"/>
    <w:rsid w:val="7ABC6087"/>
    <w:rsid w:val="7AD06C38"/>
    <w:rsid w:val="7AE700F4"/>
    <w:rsid w:val="7AFF2AEA"/>
    <w:rsid w:val="7B3C5E39"/>
    <w:rsid w:val="7B5B24DE"/>
    <w:rsid w:val="7B6A4FAA"/>
    <w:rsid w:val="7B763D68"/>
    <w:rsid w:val="7B856A14"/>
    <w:rsid w:val="7B8D1606"/>
    <w:rsid w:val="7B9831F7"/>
    <w:rsid w:val="7BFA075E"/>
    <w:rsid w:val="7BFE5711"/>
    <w:rsid w:val="7C013873"/>
    <w:rsid w:val="7C071048"/>
    <w:rsid w:val="7C0D56F7"/>
    <w:rsid w:val="7C0F03D5"/>
    <w:rsid w:val="7C176405"/>
    <w:rsid w:val="7C2675A7"/>
    <w:rsid w:val="7C287ACC"/>
    <w:rsid w:val="7C2D2B18"/>
    <w:rsid w:val="7C371DE6"/>
    <w:rsid w:val="7C550E68"/>
    <w:rsid w:val="7C857E91"/>
    <w:rsid w:val="7CC14BF0"/>
    <w:rsid w:val="7CC573C9"/>
    <w:rsid w:val="7CC72903"/>
    <w:rsid w:val="7CC82909"/>
    <w:rsid w:val="7CCC724B"/>
    <w:rsid w:val="7CED5957"/>
    <w:rsid w:val="7D214601"/>
    <w:rsid w:val="7D5652FC"/>
    <w:rsid w:val="7D587BBE"/>
    <w:rsid w:val="7D5E522E"/>
    <w:rsid w:val="7D651013"/>
    <w:rsid w:val="7D667D86"/>
    <w:rsid w:val="7D713296"/>
    <w:rsid w:val="7D7637DB"/>
    <w:rsid w:val="7D7F28D0"/>
    <w:rsid w:val="7D822AE3"/>
    <w:rsid w:val="7D9505DD"/>
    <w:rsid w:val="7DAD2CB4"/>
    <w:rsid w:val="7DB64DA4"/>
    <w:rsid w:val="7DCA3713"/>
    <w:rsid w:val="7DCF4EB5"/>
    <w:rsid w:val="7DD4661B"/>
    <w:rsid w:val="7DEC38C1"/>
    <w:rsid w:val="7E047C4B"/>
    <w:rsid w:val="7E080156"/>
    <w:rsid w:val="7E0E1A8A"/>
    <w:rsid w:val="7E18736A"/>
    <w:rsid w:val="7E241263"/>
    <w:rsid w:val="7E3079D0"/>
    <w:rsid w:val="7E462B2A"/>
    <w:rsid w:val="7E4F5400"/>
    <w:rsid w:val="7E5F2D19"/>
    <w:rsid w:val="7E626337"/>
    <w:rsid w:val="7E6A3F95"/>
    <w:rsid w:val="7EB13B93"/>
    <w:rsid w:val="7EB43FF1"/>
    <w:rsid w:val="7EC7153B"/>
    <w:rsid w:val="7EE01B47"/>
    <w:rsid w:val="7EFC2FA4"/>
    <w:rsid w:val="7F031A27"/>
    <w:rsid w:val="7F1135E0"/>
    <w:rsid w:val="7F1474A0"/>
    <w:rsid w:val="7F284DB8"/>
    <w:rsid w:val="7F574242"/>
    <w:rsid w:val="7F78365F"/>
    <w:rsid w:val="7F8B366C"/>
    <w:rsid w:val="7F8C2C66"/>
    <w:rsid w:val="7F94025B"/>
    <w:rsid w:val="7F9A0DEB"/>
    <w:rsid w:val="7FA86AA3"/>
    <w:rsid w:val="7FC40337"/>
    <w:rsid w:val="7FD614BF"/>
    <w:rsid w:val="7FE108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iPriority="39"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line="400" w:lineRule="exact"/>
      <w:jc w:val="both"/>
    </w:pPr>
    <w:rPr>
      <w:rFonts w:ascii="Calibri Light" w:hAnsi="Calibri Light" w:eastAsia="儷宋 Pro" w:cs="Times New Roman"/>
      <w:kern w:val="2"/>
      <w:sz w:val="28"/>
      <w:szCs w:val="28"/>
      <w:lang w:val="en-US" w:eastAsia="zh-CN" w:bidi="ar-SA"/>
    </w:rPr>
  </w:style>
  <w:style w:type="paragraph" w:styleId="4">
    <w:name w:val="heading 1"/>
    <w:basedOn w:val="1"/>
    <w:next w:val="1"/>
    <w:link w:val="61"/>
    <w:qFormat/>
    <w:uiPriority w:val="0"/>
    <w:pPr>
      <w:keepNext/>
      <w:keepLines/>
      <w:spacing w:line="240" w:lineRule="auto"/>
      <w:jc w:val="center"/>
      <w:outlineLvl w:val="0"/>
    </w:pPr>
    <w:rPr>
      <w:rFonts w:ascii="Times New Roman" w:hAnsi="Times New Roman" w:eastAsia="宋体"/>
      <w:b/>
      <w:bCs/>
      <w:kern w:val="44"/>
      <w:sz w:val="36"/>
      <w:szCs w:val="44"/>
    </w:rPr>
  </w:style>
  <w:style w:type="paragraph" w:styleId="5">
    <w:name w:val="heading 2"/>
    <w:basedOn w:val="1"/>
    <w:next w:val="1"/>
    <w:link w:val="62"/>
    <w:qFormat/>
    <w:uiPriority w:val="0"/>
    <w:pPr>
      <w:keepNext/>
      <w:keepLines/>
      <w:spacing w:line="240" w:lineRule="auto"/>
      <w:outlineLvl w:val="1"/>
    </w:pPr>
    <w:rPr>
      <w:rFonts w:ascii="Calibri" w:hAnsi="Calibri"/>
      <w:b/>
      <w:bCs/>
      <w:kern w:val="0"/>
      <w:sz w:val="32"/>
      <w:szCs w:val="32"/>
    </w:rPr>
  </w:style>
  <w:style w:type="paragraph" w:styleId="6">
    <w:name w:val="heading 3"/>
    <w:basedOn w:val="1"/>
    <w:next w:val="1"/>
    <w:link w:val="63"/>
    <w:qFormat/>
    <w:uiPriority w:val="0"/>
    <w:pPr>
      <w:keepNext/>
      <w:keepLines/>
      <w:spacing w:line="400" w:lineRule="atLeast"/>
      <w:jc w:val="center"/>
      <w:outlineLvl w:val="2"/>
    </w:pPr>
    <w:rPr>
      <w:rFonts w:ascii="Times New Roman" w:hAnsi="Times New Roman" w:eastAsia="宋体"/>
      <w:b/>
      <w:bCs/>
      <w:kern w:val="0"/>
      <w:sz w:val="32"/>
      <w:szCs w:val="32"/>
      <w:u w:val="double"/>
    </w:rPr>
  </w:style>
  <w:style w:type="paragraph" w:styleId="7">
    <w:name w:val="heading 4"/>
    <w:basedOn w:val="1"/>
    <w:next w:val="1"/>
    <w:qFormat/>
    <w:uiPriority w:val="0"/>
    <w:pPr>
      <w:keepNext/>
      <w:keepLines/>
      <w:widowControl w:val="0"/>
      <w:outlineLvl w:val="3"/>
    </w:pPr>
    <w:rPr>
      <w:rFonts w:ascii="Arial" w:hAnsi="Arial" w:eastAsia="宋体" w:cs="Arial"/>
      <w:b/>
      <w:bCs/>
      <w:sz w:val="32"/>
      <w:szCs w:val="32"/>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Lines="50" w:line="360" w:lineRule="auto"/>
    </w:pPr>
    <w:rPr>
      <w:rFonts w:ascii="宋体" w:hAnsi="宋体" w:eastAsia="宋体"/>
      <w:color w:val="000000"/>
      <w:sz w:val="24"/>
    </w:rPr>
  </w:style>
  <w:style w:type="paragraph" w:styleId="3">
    <w:name w:val="Body Text 2"/>
    <w:basedOn w:val="1"/>
    <w:qFormat/>
    <w:uiPriority w:val="0"/>
    <w:pPr>
      <w:widowControl/>
      <w:shd w:val="clear" w:color="auto" w:fill="FFFFFF"/>
      <w:tabs>
        <w:tab w:val="left" w:pos="426"/>
      </w:tabs>
      <w:adjustRightInd w:val="0"/>
      <w:snapToGrid w:val="0"/>
      <w:spacing w:line="360" w:lineRule="auto"/>
    </w:pPr>
    <w:rPr>
      <w:sz w:val="24"/>
    </w:rPr>
  </w:style>
  <w:style w:type="paragraph" w:styleId="8">
    <w:name w:val="Normal Indent"/>
    <w:basedOn w:val="1"/>
    <w:qFormat/>
    <w:uiPriority w:val="0"/>
    <w:pPr>
      <w:ind w:firstLine="420"/>
    </w:pPr>
    <w:rPr>
      <w:rFonts w:ascii="Times New Roman" w:hAnsi="Times New Roman" w:eastAsia="宋体"/>
    </w:rPr>
  </w:style>
  <w:style w:type="paragraph" w:styleId="9">
    <w:name w:val="Document Map"/>
    <w:basedOn w:val="1"/>
    <w:link w:val="64"/>
    <w:qFormat/>
    <w:uiPriority w:val="0"/>
    <w:rPr>
      <w:rFonts w:ascii="宋体" w:hAnsi="Times New Roman" w:eastAsia="宋体"/>
      <w:kern w:val="0"/>
      <w:sz w:val="18"/>
      <w:szCs w:val="18"/>
    </w:rPr>
  </w:style>
  <w:style w:type="paragraph" w:styleId="10">
    <w:name w:val="toa heading"/>
    <w:basedOn w:val="1"/>
    <w:next w:val="1"/>
    <w:qFormat/>
    <w:uiPriority w:val="0"/>
    <w:pPr>
      <w:spacing w:before="120"/>
    </w:pPr>
    <w:rPr>
      <w:rFonts w:ascii="Arial" w:hAnsi="Arial"/>
      <w:sz w:val="24"/>
    </w:rPr>
  </w:style>
  <w:style w:type="paragraph" w:styleId="11">
    <w:name w:val="annotation text"/>
    <w:basedOn w:val="1"/>
    <w:link w:val="65"/>
    <w:qFormat/>
    <w:uiPriority w:val="0"/>
    <w:pPr>
      <w:jc w:val="left"/>
    </w:pPr>
    <w:rPr>
      <w:rFonts w:ascii="Times New Roman" w:hAnsi="Times New Roman" w:eastAsia="宋体"/>
      <w:kern w:val="0"/>
      <w:sz w:val="20"/>
      <w:szCs w:val="20"/>
    </w:rPr>
  </w:style>
  <w:style w:type="paragraph" w:styleId="12">
    <w:name w:val="Body Text Indent"/>
    <w:basedOn w:val="1"/>
    <w:next w:val="13"/>
    <w:unhideWhenUsed/>
    <w:qFormat/>
    <w:uiPriority w:val="99"/>
    <w:pPr>
      <w:spacing w:after="120"/>
      <w:ind w:left="420" w:leftChars="200"/>
    </w:pPr>
  </w:style>
  <w:style w:type="paragraph" w:styleId="13">
    <w:name w:val="envelope return"/>
    <w:basedOn w:val="1"/>
    <w:unhideWhenUsed/>
    <w:qFormat/>
    <w:uiPriority w:val="0"/>
    <w:pPr>
      <w:snapToGrid w:val="0"/>
    </w:pPr>
    <w:rPr>
      <w:rFonts w:ascii="Arial" w:hAnsi="Arial"/>
    </w:rPr>
  </w:style>
  <w:style w:type="paragraph" w:styleId="14">
    <w:name w:val="toc 3"/>
    <w:basedOn w:val="1"/>
    <w:next w:val="1"/>
    <w:qFormat/>
    <w:uiPriority w:val="0"/>
    <w:pPr>
      <w:ind w:left="840" w:leftChars="400"/>
    </w:pPr>
    <w:rPr>
      <w:rFonts w:ascii="Times New Roman" w:hAnsi="Times New Roman" w:eastAsia="宋体"/>
      <w:szCs w:val="24"/>
    </w:rPr>
  </w:style>
  <w:style w:type="paragraph" w:styleId="15">
    <w:name w:val="Plain Text"/>
    <w:basedOn w:val="1"/>
    <w:qFormat/>
    <w:uiPriority w:val="0"/>
    <w:rPr>
      <w:rFonts w:ascii="宋体" w:hAnsi="Courier New" w:eastAsia="宋体"/>
      <w:szCs w:val="21"/>
    </w:rPr>
  </w:style>
  <w:style w:type="paragraph" w:styleId="16">
    <w:name w:val="Date"/>
    <w:basedOn w:val="1"/>
    <w:next w:val="1"/>
    <w:link w:val="66"/>
    <w:qFormat/>
    <w:uiPriority w:val="0"/>
    <w:pPr>
      <w:ind w:left="100" w:leftChars="2500"/>
    </w:pPr>
    <w:rPr>
      <w:kern w:val="0"/>
      <w:szCs w:val="20"/>
    </w:rPr>
  </w:style>
  <w:style w:type="paragraph" w:styleId="17">
    <w:name w:val="Balloon Text"/>
    <w:basedOn w:val="1"/>
    <w:link w:val="67"/>
    <w:qFormat/>
    <w:uiPriority w:val="0"/>
    <w:pPr>
      <w:spacing w:line="240" w:lineRule="auto"/>
    </w:pPr>
    <w:rPr>
      <w:rFonts w:ascii="Times New Roman" w:hAnsi="Times New Roman" w:eastAsia="宋体"/>
      <w:kern w:val="0"/>
      <w:sz w:val="18"/>
      <w:szCs w:val="18"/>
    </w:rPr>
  </w:style>
  <w:style w:type="paragraph" w:styleId="18">
    <w:name w:val="footer"/>
    <w:basedOn w:val="1"/>
    <w:link w:val="68"/>
    <w:qFormat/>
    <w:uiPriority w:val="0"/>
    <w:pPr>
      <w:widowControl w:val="0"/>
      <w:tabs>
        <w:tab w:val="center" w:pos="4153"/>
        <w:tab w:val="right" w:pos="8306"/>
      </w:tabs>
      <w:snapToGrid w:val="0"/>
      <w:spacing w:line="240" w:lineRule="auto"/>
      <w:jc w:val="left"/>
    </w:pPr>
    <w:rPr>
      <w:rFonts w:ascii="Times New Roman" w:hAnsi="Times New Roman" w:eastAsia="宋体"/>
      <w:kern w:val="0"/>
      <w:sz w:val="18"/>
      <w:szCs w:val="20"/>
    </w:rPr>
  </w:style>
  <w:style w:type="paragraph" w:styleId="19">
    <w:name w:val="header"/>
    <w:basedOn w:val="1"/>
    <w:link w:val="69"/>
    <w:qFormat/>
    <w:uiPriority w:val="0"/>
    <w:pPr>
      <w:widowControl w:val="0"/>
      <w:pBdr>
        <w:bottom w:val="single" w:color="auto" w:sz="6" w:space="1"/>
      </w:pBdr>
      <w:tabs>
        <w:tab w:val="center" w:pos="4153"/>
        <w:tab w:val="right" w:pos="8306"/>
      </w:tabs>
      <w:snapToGrid w:val="0"/>
      <w:spacing w:line="240" w:lineRule="auto"/>
      <w:jc w:val="center"/>
    </w:pPr>
    <w:rPr>
      <w:rFonts w:ascii="Times New Roman" w:hAnsi="Times New Roman" w:eastAsia="宋体"/>
      <w:kern w:val="0"/>
      <w:sz w:val="18"/>
      <w:szCs w:val="20"/>
    </w:rPr>
  </w:style>
  <w:style w:type="paragraph" w:styleId="20">
    <w:name w:val="toc 1"/>
    <w:basedOn w:val="1"/>
    <w:next w:val="1"/>
    <w:qFormat/>
    <w:uiPriority w:val="0"/>
    <w:rPr>
      <w:rFonts w:ascii="Times New Roman" w:hAnsi="Times New Roman" w:eastAsia="宋体"/>
    </w:rPr>
  </w:style>
  <w:style w:type="paragraph" w:styleId="21">
    <w:name w:val="toc 4"/>
    <w:basedOn w:val="1"/>
    <w:next w:val="1"/>
    <w:unhideWhenUsed/>
    <w:qFormat/>
    <w:uiPriority w:val="39"/>
    <w:pPr>
      <w:spacing w:line="240" w:lineRule="auto"/>
      <w:ind w:left="1260" w:leftChars="600"/>
    </w:pPr>
  </w:style>
  <w:style w:type="paragraph" w:styleId="22">
    <w:name w:val="toc 2"/>
    <w:basedOn w:val="1"/>
    <w:next w:val="1"/>
    <w:qFormat/>
    <w:uiPriority w:val="0"/>
    <w:pPr>
      <w:ind w:left="420" w:leftChars="200"/>
    </w:pPr>
    <w:rPr>
      <w:rFonts w:ascii="Times New Roman" w:hAnsi="Times New Roman" w:eastAsia="宋体"/>
    </w:rPr>
  </w:style>
  <w:style w:type="paragraph" w:styleId="23">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rPr>
  </w:style>
  <w:style w:type="paragraph" w:styleId="24">
    <w:name w:val="Normal (Web)"/>
    <w:basedOn w:val="1"/>
    <w:qFormat/>
    <w:uiPriority w:val="0"/>
    <w:pPr>
      <w:spacing w:beforeAutospacing="1" w:afterAutospacing="1"/>
      <w:jc w:val="left"/>
    </w:pPr>
    <w:rPr>
      <w:rFonts w:ascii="Times New Roman" w:hAnsi="Times New Roman" w:eastAsia="宋体"/>
      <w:kern w:val="0"/>
      <w:sz w:val="24"/>
    </w:rPr>
  </w:style>
  <w:style w:type="paragraph" w:styleId="25">
    <w:name w:val="annotation subject"/>
    <w:basedOn w:val="11"/>
    <w:next w:val="11"/>
    <w:link w:val="70"/>
    <w:qFormat/>
    <w:uiPriority w:val="0"/>
    <w:rPr>
      <w:b/>
      <w:bCs/>
    </w:rPr>
  </w:style>
  <w:style w:type="paragraph" w:styleId="26">
    <w:name w:val="Body Text First Indent"/>
    <w:basedOn w:val="2"/>
    <w:next w:val="27"/>
    <w:qFormat/>
    <w:uiPriority w:val="0"/>
    <w:pPr>
      <w:spacing w:afterLines="0" w:line="240" w:lineRule="auto"/>
      <w:ind w:firstLine="420" w:firstLineChars="100"/>
    </w:pPr>
    <w:rPr>
      <w:rFonts w:ascii="Times New Roman" w:hAnsi="Times New Roman"/>
      <w:color w:val="auto"/>
      <w:sz w:val="18"/>
      <w:szCs w:val="18"/>
    </w:rPr>
  </w:style>
  <w:style w:type="paragraph" w:styleId="27">
    <w:name w:val="Body Text First Indent 2"/>
    <w:basedOn w:val="12"/>
    <w:next w:val="1"/>
    <w:qFormat/>
    <w:uiPriority w:val="0"/>
    <w:pPr>
      <w:tabs>
        <w:tab w:val="left" w:pos="0"/>
      </w:tabs>
      <w:spacing w:line="240" w:lineRule="auto"/>
      <w:ind w:firstLine="420" w:firstLineChars="200"/>
    </w:pPr>
    <w:rPr>
      <w:rFonts w:eastAsia="楷体_GB2312"/>
      <w:b/>
      <w:szCs w:val="24"/>
    </w:rPr>
  </w:style>
  <w:style w:type="table" w:styleId="29">
    <w:name w:val="Table Grid"/>
    <w:basedOn w:val="2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1">
    <w:name w:val="Strong"/>
    <w:basedOn w:val="30"/>
    <w:qFormat/>
    <w:uiPriority w:val="0"/>
    <w:rPr>
      <w:rFonts w:ascii="Times New Roman" w:hAnsi="Times New Roman" w:eastAsia="宋体" w:cs="Times New Roman"/>
      <w:b/>
    </w:rPr>
  </w:style>
  <w:style w:type="character" w:styleId="32">
    <w:name w:val="page number"/>
    <w:qFormat/>
    <w:uiPriority w:val="0"/>
    <w:rPr>
      <w:rFonts w:ascii="Times New Roman" w:hAnsi="Times New Roman" w:eastAsia="宋体" w:cs="Times New Roman"/>
    </w:rPr>
  </w:style>
  <w:style w:type="character" w:styleId="33">
    <w:name w:val="FollowedHyperlink"/>
    <w:qFormat/>
    <w:uiPriority w:val="0"/>
    <w:rPr>
      <w:rFonts w:hint="eastAsia" w:ascii="微软雅黑" w:hAnsi="微软雅黑" w:eastAsia="微软雅黑" w:cs="微软雅黑"/>
      <w:color w:val="202022"/>
      <w:u w:val="none"/>
    </w:rPr>
  </w:style>
  <w:style w:type="character" w:styleId="34">
    <w:name w:val="Emphasis"/>
    <w:qFormat/>
    <w:uiPriority w:val="0"/>
    <w:rPr>
      <w:rFonts w:ascii="Times New Roman" w:hAnsi="Times New Roman" w:eastAsia="宋体" w:cs="Times New Roman"/>
    </w:rPr>
  </w:style>
  <w:style w:type="character" w:styleId="35">
    <w:name w:val="HTML Definition"/>
    <w:qFormat/>
    <w:uiPriority w:val="0"/>
    <w:rPr>
      <w:rFonts w:ascii="微软雅黑" w:hAnsi="微软雅黑" w:eastAsia="微软雅黑" w:cs="微软雅黑"/>
      <w:color w:val="202022"/>
      <w:u w:val="none"/>
    </w:rPr>
  </w:style>
  <w:style w:type="character" w:styleId="36">
    <w:name w:val="HTML Typewriter"/>
    <w:qFormat/>
    <w:uiPriority w:val="0"/>
    <w:rPr>
      <w:rFonts w:hint="default" w:ascii="monospace" w:hAnsi="monospace" w:eastAsia="monospace" w:cs="monospace"/>
      <w:sz w:val="20"/>
    </w:rPr>
  </w:style>
  <w:style w:type="character" w:styleId="37">
    <w:name w:val="HTML Acronym"/>
    <w:qFormat/>
    <w:uiPriority w:val="0"/>
    <w:rPr>
      <w:rFonts w:ascii="Times New Roman" w:hAnsi="Times New Roman" w:eastAsia="宋体" w:cs="Times New Roman"/>
    </w:rPr>
  </w:style>
  <w:style w:type="character" w:styleId="38">
    <w:name w:val="HTML Variable"/>
    <w:qFormat/>
    <w:uiPriority w:val="0"/>
    <w:rPr>
      <w:rFonts w:ascii="Times New Roman" w:hAnsi="Times New Roman" w:eastAsia="宋体" w:cs="Times New Roman"/>
    </w:rPr>
  </w:style>
  <w:style w:type="character" w:styleId="39">
    <w:name w:val="Hyperlink"/>
    <w:qFormat/>
    <w:uiPriority w:val="0"/>
    <w:rPr>
      <w:rFonts w:ascii="Times New Roman" w:hAnsi="Times New Roman" w:eastAsia="宋体" w:cs="Times New Roman"/>
      <w:color w:val="000000"/>
      <w:sz w:val="18"/>
      <w:szCs w:val="18"/>
      <w:u w:val="none"/>
    </w:rPr>
  </w:style>
  <w:style w:type="character" w:styleId="40">
    <w:name w:val="HTML Code"/>
    <w:qFormat/>
    <w:uiPriority w:val="0"/>
    <w:rPr>
      <w:rFonts w:hint="default" w:ascii="monospace" w:hAnsi="monospace" w:eastAsia="monospace" w:cs="monospace"/>
      <w:sz w:val="20"/>
    </w:rPr>
  </w:style>
  <w:style w:type="character" w:styleId="41">
    <w:name w:val="annotation reference"/>
    <w:qFormat/>
    <w:uiPriority w:val="0"/>
    <w:rPr>
      <w:rFonts w:ascii="Times New Roman" w:hAnsi="Times New Roman" w:eastAsia="宋体" w:cs="Times New Roman"/>
      <w:sz w:val="21"/>
      <w:szCs w:val="21"/>
    </w:rPr>
  </w:style>
  <w:style w:type="character" w:styleId="42">
    <w:name w:val="HTML Cite"/>
    <w:qFormat/>
    <w:uiPriority w:val="0"/>
    <w:rPr>
      <w:rFonts w:ascii="Times New Roman" w:hAnsi="Times New Roman" w:eastAsia="宋体" w:cs="Times New Roman"/>
    </w:rPr>
  </w:style>
  <w:style w:type="character" w:styleId="43">
    <w:name w:val="HTML Keyboard"/>
    <w:qFormat/>
    <w:uiPriority w:val="0"/>
    <w:rPr>
      <w:rFonts w:ascii="monospace" w:hAnsi="monospace" w:eastAsia="monospace" w:cs="monospace"/>
      <w:sz w:val="20"/>
    </w:rPr>
  </w:style>
  <w:style w:type="character" w:styleId="44">
    <w:name w:val="HTML Sample"/>
    <w:qFormat/>
    <w:uiPriority w:val="0"/>
    <w:rPr>
      <w:rFonts w:hint="default" w:ascii="monospace" w:hAnsi="monospace" w:eastAsia="monospace" w:cs="monospace"/>
    </w:rPr>
  </w:style>
  <w:style w:type="paragraph" w:customStyle="1" w:styleId="45">
    <w:name w:val="Body Text 2"/>
    <w:qFormat/>
    <w:uiPriority w:val="0"/>
    <w:pPr>
      <w:widowControl w:val="0"/>
      <w:spacing w:line="500" w:lineRule="exact"/>
      <w:jc w:val="both"/>
    </w:pPr>
    <w:rPr>
      <w:rFonts w:ascii="Times New Roman" w:hAnsi="Times New Roman" w:eastAsia="宋体" w:cs="Times New Roman"/>
      <w:color w:val="000000"/>
      <w:kern w:val="2"/>
      <w:sz w:val="30"/>
      <w:szCs w:val="24"/>
      <w:lang w:val="en-US" w:eastAsia="zh-CN" w:bidi="ar-SA"/>
    </w:rPr>
  </w:style>
  <w:style w:type="paragraph" w:customStyle="1" w:styleId="46">
    <w:name w:val="Default22"/>
    <w:qFormat/>
    <w:uiPriority w:val="0"/>
    <w:pPr>
      <w:widowControl w:val="0"/>
      <w:autoSpaceDE w:val="0"/>
      <w:autoSpaceDN w:val="0"/>
      <w:adjustRightInd w:val="0"/>
    </w:pPr>
    <w:rPr>
      <w:rFonts w:ascii="黑体" w:hAnsi="Calibri" w:eastAsia="黑体" w:cs="Times New Roman"/>
      <w:sz w:val="21"/>
      <w:szCs w:val="22"/>
      <w:lang w:val="en-US" w:eastAsia="zh-CN" w:bidi="ar-SA"/>
    </w:rPr>
  </w:style>
  <w:style w:type="paragraph" w:customStyle="1" w:styleId="47">
    <w:name w:val="无间隔1"/>
    <w:link w:val="71"/>
    <w:qFormat/>
    <w:uiPriority w:val="0"/>
    <w:rPr>
      <w:rFonts w:ascii="Calibri Light" w:hAnsi="Calibri Light" w:eastAsia="儷宋 Pro" w:cs="Times New Roman"/>
      <w:sz w:val="22"/>
      <w:szCs w:val="22"/>
      <w:lang w:val="en-US" w:eastAsia="zh-CN" w:bidi="ar-SA"/>
    </w:rPr>
  </w:style>
  <w:style w:type="paragraph" w:customStyle="1" w:styleId="48">
    <w:name w:val="List Paragraph1"/>
    <w:basedOn w:val="1"/>
    <w:qFormat/>
    <w:uiPriority w:val="0"/>
    <w:pPr>
      <w:ind w:firstLine="420" w:firstLineChars="200"/>
    </w:pPr>
    <w:rPr>
      <w:rFonts w:ascii="Calibri" w:hAnsi="Calibri" w:eastAsia="宋体"/>
      <w:szCs w:val="22"/>
    </w:rPr>
  </w:style>
  <w:style w:type="paragraph" w:customStyle="1" w:styleId="49">
    <w:name w:val="正文（缩进 4 字符）"/>
    <w:basedOn w:val="1"/>
    <w:qFormat/>
    <w:uiPriority w:val="0"/>
    <w:pPr>
      <w:ind w:firstLine="1134" w:firstLineChars="400"/>
    </w:pPr>
    <w:rPr>
      <w:rFonts w:ascii="Times New Roman" w:hAnsi="Times New Roman" w:eastAsia="宋体"/>
    </w:rPr>
  </w:style>
  <w:style w:type="paragraph" w:customStyle="1" w:styleId="50">
    <w:name w:val="列出段落1"/>
    <w:basedOn w:val="1"/>
    <w:qFormat/>
    <w:uiPriority w:val="0"/>
    <w:pPr>
      <w:ind w:firstLine="420" w:firstLineChars="200"/>
    </w:pPr>
    <w:rPr>
      <w:rFonts w:ascii="Calibri" w:hAnsi="Calibri" w:eastAsia="宋体"/>
      <w:szCs w:val="22"/>
    </w:rPr>
  </w:style>
  <w:style w:type="paragraph" w:customStyle="1" w:styleId="51">
    <w:name w:val="Default"/>
    <w:qFormat/>
    <w:uiPriority w:val="0"/>
    <w:pPr>
      <w:widowControl w:val="0"/>
      <w:autoSpaceDE w:val="0"/>
      <w:autoSpaceDN w:val="0"/>
      <w:adjustRightInd w:val="0"/>
    </w:pPr>
    <w:rPr>
      <w:rFonts w:ascii="Tahoma" w:hAnsi="Tahoma" w:eastAsia="宋体" w:cs="Tahoma"/>
      <w:color w:val="000000"/>
      <w:sz w:val="24"/>
      <w:szCs w:val="24"/>
      <w:lang w:val="en-US" w:eastAsia="zh-CN" w:bidi="ar-SA"/>
    </w:rPr>
  </w:style>
  <w:style w:type="paragraph" w:customStyle="1" w:styleId="52">
    <w:name w:val="列出段落2"/>
    <w:basedOn w:val="1"/>
    <w:qFormat/>
    <w:uiPriority w:val="0"/>
    <w:pPr>
      <w:ind w:firstLine="420" w:firstLineChars="200"/>
    </w:pPr>
    <w:rPr>
      <w:rFonts w:ascii="Times New Roman" w:hAnsi="Times New Roman" w:eastAsia="宋体" w:cs="Calibri Light"/>
    </w:rPr>
  </w:style>
  <w:style w:type="paragraph" w:customStyle="1" w:styleId="53">
    <w:name w:val="表格样式"/>
    <w:basedOn w:val="1"/>
    <w:qFormat/>
    <w:uiPriority w:val="0"/>
    <w:pPr>
      <w:jc w:val="left"/>
    </w:pPr>
    <w:rPr>
      <w:rFonts w:ascii="Arial" w:hAnsi="Arial"/>
      <w:kern w:val="0"/>
      <w:szCs w:val="24"/>
    </w:rPr>
  </w:style>
  <w:style w:type="paragraph" w:customStyle="1" w:styleId="54">
    <w:name w:val="※正文（缩进4）"/>
    <w:basedOn w:val="1"/>
    <w:qFormat/>
    <w:uiPriority w:val="0"/>
    <w:pPr>
      <w:wordWrap w:val="0"/>
      <w:ind w:firstLine="400" w:firstLineChars="400"/>
    </w:pPr>
    <w:rPr>
      <w:rFonts w:ascii="Times New Roman" w:hAnsi="Times New Roman" w:eastAsia="宋体"/>
    </w:rPr>
  </w:style>
  <w:style w:type="paragraph" w:customStyle="1" w:styleId="55">
    <w:name w:val="标题 2（投标文件）"/>
    <w:basedOn w:val="5"/>
    <w:qFormat/>
    <w:uiPriority w:val="0"/>
    <w:pPr>
      <w:jc w:val="center"/>
    </w:pPr>
    <w:rPr>
      <w:rFonts w:ascii="Times New Roman" w:hAnsi="Times New Roman" w:eastAsia="宋体"/>
    </w:rPr>
  </w:style>
  <w:style w:type="paragraph" w:customStyle="1" w:styleId="56">
    <w:name w:val="标题 3（投标文件）"/>
    <w:basedOn w:val="6"/>
    <w:qFormat/>
    <w:uiPriority w:val="0"/>
    <w:pPr>
      <w:jc w:val="left"/>
    </w:pPr>
    <w:rPr>
      <w:u w:val="none"/>
    </w:rPr>
  </w:style>
  <w:style w:type="paragraph" w:customStyle="1" w:styleId="57">
    <w:name w:val="Char"/>
    <w:basedOn w:val="1"/>
    <w:qFormat/>
    <w:uiPriority w:val="0"/>
    <w:pPr>
      <w:widowControl w:val="0"/>
      <w:spacing w:line="240" w:lineRule="auto"/>
      <w:jc w:val="left"/>
    </w:pPr>
    <w:rPr>
      <w:rFonts w:ascii="Times New Roman" w:hAnsi="Times New Roman" w:eastAsia="宋体"/>
      <w:sz w:val="21"/>
      <w:szCs w:val="24"/>
    </w:rPr>
  </w:style>
  <w:style w:type="paragraph" w:customStyle="1" w:styleId="58">
    <w:name w:val="正文（缩进 2 字符）"/>
    <w:basedOn w:val="1"/>
    <w:qFormat/>
    <w:uiPriority w:val="0"/>
    <w:pPr>
      <w:ind w:firstLine="200" w:firstLineChars="200"/>
    </w:pPr>
    <w:rPr>
      <w:rFonts w:ascii="Times New Roman" w:hAnsi="Times New Roman" w:eastAsia="宋体"/>
    </w:rPr>
  </w:style>
  <w:style w:type="paragraph" w:customStyle="1" w:styleId="59">
    <w:name w:val="列出段落11"/>
    <w:basedOn w:val="1"/>
    <w:qFormat/>
    <w:uiPriority w:val="0"/>
    <w:pPr>
      <w:spacing w:line="240" w:lineRule="auto"/>
      <w:ind w:firstLine="420" w:firstLineChars="200"/>
      <w:jc w:val="left"/>
    </w:pPr>
    <w:rPr>
      <w:rFonts w:ascii="Times New Roman" w:hAnsi="Times New Roman" w:eastAsia="宋体"/>
      <w:kern w:val="0"/>
      <w:sz w:val="24"/>
      <w:szCs w:val="24"/>
      <w:lang w:eastAsia="en-US"/>
    </w:rPr>
  </w:style>
  <w:style w:type="paragraph" w:customStyle="1" w:styleId="60">
    <w:name w:val="正文文本 31"/>
    <w:basedOn w:val="1"/>
    <w:qFormat/>
    <w:uiPriority w:val="0"/>
    <w:pPr>
      <w:spacing w:after="120"/>
    </w:pPr>
    <w:rPr>
      <w:sz w:val="16"/>
      <w:szCs w:val="16"/>
    </w:rPr>
  </w:style>
  <w:style w:type="character" w:customStyle="1" w:styleId="61">
    <w:name w:val="标题 1 Char"/>
    <w:link w:val="4"/>
    <w:qFormat/>
    <w:uiPriority w:val="0"/>
    <w:rPr>
      <w:rFonts w:ascii="Times New Roman" w:hAnsi="Times New Roman" w:eastAsia="宋体" w:cs="Times New Roman"/>
      <w:b/>
      <w:bCs/>
      <w:kern w:val="44"/>
      <w:sz w:val="36"/>
      <w:szCs w:val="44"/>
    </w:rPr>
  </w:style>
  <w:style w:type="character" w:customStyle="1" w:styleId="62">
    <w:name w:val="标题 2 Char"/>
    <w:link w:val="5"/>
    <w:qFormat/>
    <w:uiPriority w:val="0"/>
    <w:rPr>
      <w:rFonts w:ascii="Calibri" w:hAnsi="Calibri" w:eastAsia="儷宋 Pro" w:cs="Times New Roman"/>
      <w:b/>
      <w:bCs/>
      <w:sz w:val="32"/>
      <w:szCs w:val="32"/>
    </w:rPr>
  </w:style>
  <w:style w:type="character" w:customStyle="1" w:styleId="63">
    <w:name w:val="标题 3 Char"/>
    <w:link w:val="6"/>
    <w:qFormat/>
    <w:uiPriority w:val="0"/>
    <w:rPr>
      <w:rFonts w:ascii="Times New Roman" w:hAnsi="Times New Roman" w:eastAsia="宋体" w:cs="Times New Roman"/>
      <w:b/>
      <w:bCs/>
      <w:sz w:val="32"/>
      <w:szCs w:val="32"/>
      <w:u w:val="double"/>
    </w:rPr>
  </w:style>
  <w:style w:type="character" w:customStyle="1" w:styleId="64">
    <w:name w:val="文档结构图 Char"/>
    <w:link w:val="9"/>
    <w:qFormat/>
    <w:uiPriority w:val="0"/>
    <w:rPr>
      <w:rFonts w:ascii="宋体" w:hAnsi="Times New Roman" w:eastAsia="宋体" w:cs="Times New Roman"/>
      <w:sz w:val="18"/>
      <w:szCs w:val="18"/>
    </w:rPr>
  </w:style>
  <w:style w:type="character" w:customStyle="1" w:styleId="65">
    <w:name w:val="批注文字 Char"/>
    <w:link w:val="11"/>
    <w:qFormat/>
    <w:uiPriority w:val="0"/>
    <w:rPr>
      <w:rFonts w:ascii="Times New Roman" w:hAnsi="Times New Roman" w:eastAsia="宋体" w:cs="Times New Roman"/>
    </w:rPr>
  </w:style>
  <w:style w:type="character" w:customStyle="1" w:styleId="66">
    <w:name w:val="日期 Char"/>
    <w:link w:val="16"/>
    <w:qFormat/>
    <w:uiPriority w:val="0"/>
    <w:rPr>
      <w:rFonts w:ascii="Calibri Light" w:hAnsi="Calibri Light" w:eastAsia="儷宋 Pro" w:cs="Times New Roman"/>
      <w:sz w:val="28"/>
    </w:rPr>
  </w:style>
  <w:style w:type="character" w:customStyle="1" w:styleId="67">
    <w:name w:val="批注框文本 Char"/>
    <w:link w:val="17"/>
    <w:qFormat/>
    <w:uiPriority w:val="0"/>
    <w:rPr>
      <w:rFonts w:ascii="Times New Roman" w:hAnsi="Times New Roman" w:eastAsia="宋体" w:cs="Times New Roman"/>
      <w:sz w:val="18"/>
      <w:szCs w:val="18"/>
    </w:rPr>
  </w:style>
  <w:style w:type="character" w:customStyle="1" w:styleId="68">
    <w:name w:val="页脚 Char"/>
    <w:link w:val="18"/>
    <w:qFormat/>
    <w:uiPriority w:val="0"/>
    <w:rPr>
      <w:rFonts w:ascii="Times New Roman" w:hAnsi="Times New Roman" w:eastAsia="宋体" w:cs="Times New Roman"/>
      <w:sz w:val="18"/>
    </w:rPr>
  </w:style>
  <w:style w:type="character" w:customStyle="1" w:styleId="69">
    <w:name w:val="页眉 Char"/>
    <w:link w:val="19"/>
    <w:qFormat/>
    <w:uiPriority w:val="0"/>
    <w:rPr>
      <w:rFonts w:ascii="Times New Roman" w:hAnsi="Times New Roman" w:eastAsia="宋体" w:cs="Times New Roman"/>
      <w:sz w:val="18"/>
    </w:rPr>
  </w:style>
  <w:style w:type="character" w:customStyle="1" w:styleId="70">
    <w:name w:val="批注主题 Char"/>
    <w:link w:val="25"/>
    <w:qFormat/>
    <w:uiPriority w:val="0"/>
    <w:rPr>
      <w:rFonts w:ascii="Times New Roman" w:hAnsi="Times New Roman" w:eastAsia="宋体" w:cs="Times New Roman"/>
      <w:b/>
      <w:bCs/>
    </w:rPr>
  </w:style>
  <w:style w:type="character" w:customStyle="1" w:styleId="71">
    <w:name w:val="无间隔 Char"/>
    <w:link w:val="47"/>
    <w:qFormat/>
    <w:uiPriority w:val="0"/>
    <w:rPr>
      <w:rFonts w:ascii="Calibri Light" w:hAnsi="Calibri Light" w:eastAsia="儷宋 Pro"/>
      <w:sz w:val="22"/>
      <w:szCs w:val="22"/>
      <w:lang w:val="en-US" w:eastAsia="zh-CN" w:bidi="ar-SA"/>
    </w:rPr>
  </w:style>
  <w:style w:type="character" w:customStyle="1" w:styleId="72">
    <w:name w:val="hour_pm"/>
    <w:qFormat/>
    <w:uiPriority w:val="0"/>
    <w:rPr>
      <w:rFonts w:ascii="Times New Roman" w:hAnsi="Times New Roman" w:eastAsia="宋体" w:cs="Times New Roman"/>
    </w:rPr>
  </w:style>
  <w:style w:type="character" w:customStyle="1" w:styleId="73">
    <w:name w:val="mini-outputtext1"/>
    <w:qFormat/>
    <w:uiPriority w:val="0"/>
    <w:rPr>
      <w:rFonts w:ascii="Times New Roman" w:hAnsi="Times New Roman" w:eastAsia="宋体" w:cs="Times New Roman"/>
    </w:rPr>
  </w:style>
  <w:style w:type="character" w:customStyle="1" w:styleId="74">
    <w:name w:val="indent"/>
    <w:qFormat/>
    <w:uiPriority w:val="0"/>
    <w:rPr>
      <w:rFonts w:ascii="Times New Roman" w:hAnsi="Times New Roman" w:eastAsia="宋体" w:cs="Times New Roman"/>
    </w:rPr>
  </w:style>
  <w:style w:type="character" w:customStyle="1" w:styleId="75">
    <w:name w:val="button"/>
    <w:qFormat/>
    <w:uiPriority w:val="0"/>
    <w:rPr>
      <w:rFonts w:ascii="Times New Roman" w:hAnsi="Times New Roman" w:eastAsia="宋体" w:cs="Times New Roman"/>
    </w:rPr>
  </w:style>
  <w:style w:type="character" w:customStyle="1" w:styleId="76">
    <w:name w:val="tmpztreemove_arrow"/>
    <w:qFormat/>
    <w:uiPriority w:val="0"/>
    <w:rPr>
      <w:rFonts w:ascii="Times New Roman" w:hAnsi="Times New Roman" w:eastAsia="宋体" w:cs="Times New Roman"/>
      <w:shd w:val="clear" w:color="auto" w:fill="FFFFFF"/>
    </w:rPr>
  </w:style>
  <w:style w:type="character" w:customStyle="1" w:styleId="77">
    <w:name w:val="占位符文本1"/>
    <w:qFormat/>
    <w:uiPriority w:val="0"/>
    <w:rPr>
      <w:rFonts w:ascii="Times New Roman" w:hAnsi="Times New Roman" w:eastAsia="宋体" w:cs="Times New Roman"/>
      <w:color w:val="808080"/>
    </w:rPr>
  </w:style>
  <w:style w:type="character" w:customStyle="1" w:styleId="78">
    <w:name w:val="页脚 Char1"/>
    <w:qFormat/>
    <w:uiPriority w:val="0"/>
    <w:rPr>
      <w:rFonts w:ascii="Times New Roman" w:hAnsi="Times New Roman" w:eastAsia="宋体" w:cs="Times New Roman"/>
      <w:sz w:val="18"/>
      <w:szCs w:val="18"/>
    </w:rPr>
  </w:style>
  <w:style w:type="character" w:customStyle="1" w:styleId="79">
    <w:name w:val="页眉 Char1"/>
    <w:qFormat/>
    <w:uiPriority w:val="0"/>
    <w:rPr>
      <w:rFonts w:ascii="Times New Roman" w:hAnsi="Times New Roman" w:eastAsia="宋体" w:cs="Times New Roman"/>
      <w:sz w:val="18"/>
      <w:szCs w:val="18"/>
    </w:rPr>
  </w:style>
  <w:style w:type="character" w:customStyle="1" w:styleId="80">
    <w:name w:val="hover3"/>
    <w:qFormat/>
    <w:uiPriority w:val="0"/>
    <w:rPr>
      <w:rFonts w:ascii="Times New Roman" w:hAnsi="Times New Roman" w:eastAsia="宋体" w:cs="Times New Roman"/>
      <w:shd w:val="clear" w:color="auto" w:fill="EEEEEE"/>
    </w:rPr>
  </w:style>
  <w:style w:type="character" w:customStyle="1" w:styleId="81">
    <w:name w:val="old"/>
    <w:qFormat/>
    <w:uiPriority w:val="0"/>
    <w:rPr>
      <w:rFonts w:ascii="Times New Roman" w:hAnsi="Times New Roman" w:eastAsia="宋体" w:cs="Times New Roman"/>
      <w:color w:val="999999"/>
    </w:rPr>
  </w:style>
  <w:style w:type="character" w:customStyle="1" w:styleId="82">
    <w:name w:val="glyphicon4"/>
    <w:qFormat/>
    <w:uiPriority w:val="0"/>
    <w:rPr>
      <w:rFonts w:ascii="Times New Roman" w:hAnsi="Times New Roman" w:eastAsia="宋体" w:cs="Times New Roman"/>
    </w:rPr>
  </w:style>
  <w:style w:type="character" w:customStyle="1" w:styleId="83">
    <w:name w:val="hour_am"/>
    <w:qFormat/>
    <w:uiPriority w:val="0"/>
    <w:rPr>
      <w:rFonts w:ascii="Times New Roman" w:hAnsi="Times New Roman" w:eastAsia="宋体" w:cs="Times New Roman"/>
    </w:rPr>
  </w:style>
  <w:style w:type="character" w:customStyle="1" w:styleId="84">
    <w:name w:val="top"/>
    <w:qFormat/>
    <w:uiPriority w:val="0"/>
    <w:rPr>
      <w:color w:val="B0B0B0"/>
      <w:spacing w:val="15"/>
      <w:sz w:val="15"/>
      <w:szCs w:val="15"/>
      <w:u w:val="none"/>
      <w:shd w:val="clear" w:color="auto" w:fill="FFFFFF"/>
    </w:rPr>
  </w:style>
  <w:style w:type="character" w:customStyle="1" w:styleId="85">
    <w:name w:val="first-child"/>
    <w:qFormat/>
    <w:uiPriority w:val="0"/>
  </w:style>
  <w:style w:type="character" w:customStyle="1" w:styleId="86">
    <w:name w:val="icon"/>
    <w:qFormat/>
    <w:uiPriority w:val="0"/>
  </w:style>
  <w:style w:type="character" w:customStyle="1" w:styleId="87">
    <w:name w:val="wpcf7-list-item"/>
    <w:qFormat/>
    <w:uiPriority w:val="0"/>
  </w:style>
  <w:style w:type="character" w:customStyle="1" w:styleId="88">
    <w:name w:val="red"/>
    <w:qFormat/>
    <w:uiPriority w:val="0"/>
    <w:rPr>
      <w:color w:val="FFFFFF"/>
      <w:shd w:val="clear" w:color="auto" w:fill="C10101"/>
    </w:rPr>
  </w:style>
  <w:style w:type="character" w:customStyle="1" w:styleId="89">
    <w:name w:val="last-child2"/>
    <w:qFormat/>
    <w:uiPriority w:val="0"/>
  </w:style>
  <w:style w:type="character" w:customStyle="1" w:styleId="90">
    <w:name w:val="before1"/>
    <w:qFormat/>
    <w:uiPriority w:val="0"/>
    <w:rPr>
      <w:color w:val="FFFFFF"/>
      <w:sz w:val="45"/>
      <w:szCs w:val="45"/>
    </w:rPr>
  </w:style>
  <w:style w:type="character" w:customStyle="1" w:styleId="91">
    <w:name w:val="before2"/>
    <w:qFormat/>
    <w:uiPriority w:val="0"/>
  </w:style>
  <w:style w:type="character" w:customStyle="1" w:styleId="92">
    <w:name w:val="before3"/>
    <w:qFormat/>
    <w:uiPriority w:val="0"/>
  </w:style>
  <w:style w:type="character" w:customStyle="1" w:styleId="93">
    <w:name w:val="yellow"/>
    <w:qFormat/>
    <w:uiPriority w:val="0"/>
    <w:rPr>
      <w:color w:val="000000"/>
      <w:shd w:val="clear" w:color="auto" w:fill="FFBF00"/>
    </w:rPr>
  </w:style>
  <w:style w:type="character" w:customStyle="1" w:styleId="94">
    <w:name w:val="loading"/>
    <w:qFormat/>
    <w:uiPriority w:val="0"/>
  </w:style>
  <w:style w:type="character" w:customStyle="1" w:styleId="95">
    <w:name w:val="dropcap"/>
    <w:qFormat/>
    <w:uiPriority w:val="0"/>
    <w:rPr>
      <w:color w:val="FFFFFF"/>
      <w:sz w:val="33"/>
      <w:szCs w:val="33"/>
      <w:shd w:val="clear" w:color="auto" w:fill="555555"/>
    </w:rPr>
  </w:style>
  <w:style w:type="character" w:customStyle="1" w:styleId="96">
    <w:name w:val="htext"/>
    <w:qFormat/>
    <w:uiPriority w:val="0"/>
    <w:rPr>
      <w:color w:val="FFFFFF"/>
      <w:shd w:val="clear" w:color="auto" w:fill="269BC6"/>
    </w:rPr>
  </w:style>
  <w:style w:type="character" w:customStyle="1" w:styleId="97">
    <w:name w:val="black"/>
    <w:qFormat/>
    <w:uiPriority w:val="0"/>
    <w:rPr>
      <w:color w:val="FFFFFF"/>
      <w:shd w:val="clear" w:color="auto" w:fill="000000"/>
    </w:rPr>
  </w:style>
  <w:style w:type="character" w:customStyle="1" w:styleId="98">
    <w:name w:val="fa"/>
    <w:basedOn w:val="30"/>
    <w:qFormat/>
    <w:uiPriority w:val="0"/>
    <w:rPr>
      <w:color w:val="333333"/>
      <w:sz w:val="19"/>
      <w:szCs w:val="19"/>
    </w:rPr>
  </w:style>
  <w:style w:type="table" w:customStyle="1" w:styleId="99">
    <w:name w:val="网格型2"/>
    <w:basedOn w:val="2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0">
    <w:name w:val="网格型4"/>
    <w:basedOn w:val="28"/>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1">
    <w:name w:val="网格型1"/>
    <w:basedOn w:val="28"/>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2">
    <w:name w:val="网格型3"/>
    <w:basedOn w:val="28"/>
    <w:qFormat/>
    <w:uiPriority w:val="0"/>
    <w:pPr>
      <w:widowControl w:val="0"/>
      <w:jc w:val="both"/>
    </w:pPr>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03">
    <w:name w:val="网格型5"/>
    <w:basedOn w:val="28"/>
    <w:qFormat/>
    <w:uiPriority w:val="59"/>
    <w:rPr>
      <w:rFonts w:ascii="Calibri" w:hAnsi="Calibr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4">
    <w:name w:val="null3"/>
    <w:hidden/>
    <w:qFormat/>
    <w:uiPriority w:val="0"/>
    <w:rPr>
      <w:rFonts w:hint="eastAsia" w:asciiTheme="minorHAnsi" w:hAnsiTheme="minorHAnsi" w:eastAsiaTheme="minorEastAsia" w:cstheme="minorBidi"/>
      <w:lang w:val="en-US" w:eastAsia="zh-Han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2.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image" Target="media/image5.png"/><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jpeg"/><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jing\Library\Containers\com.kingsoft.wpsoffice.mac\Data\C:\Users\lenovo\Documents\&#33258;&#23450;&#20041;%20Office%20&#27169;&#26495;\&#65339;&#26631;&#20934;&#27169;&#26495;&#65341;\&#12304;2017.8.28&#25913;&#29256;&#12305;&#26032;&#29256;&#31454;&#20105;&#24615;&#30923;&#21830;&#25991;&#20214;&#65288;&#36135;&#29289;&#21644;&#26381;&#21153;&#65289;.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【2017.8.28改版】新版竞争性磋商文件（货物和服务）.dotx</Template>
  <Company>xczx</Company>
  <Pages>69</Pages>
  <Words>557</Words>
  <Characters>669</Characters>
  <Lines>252</Lines>
  <Paragraphs>71</Paragraphs>
  <TotalTime>18</TotalTime>
  <ScaleCrop>false</ScaleCrop>
  <LinksUpToDate>false</LinksUpToDate>
  <CharactersWithSpaces>695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2023-11-21T13:26:00Z</dcterms:created>
  <dc:creator>lenovo</dc:creator>
  <cp:lastModifiedBy>对方正在输入</cp:lastModifiedBy>
  <cp:lastPrinted>2024-07-01T10:50:00Z</cp:lastPrinted>
  <dcterms:modified xsi:type="dcterms:W3CDTF">2026-07-10T02:27:45Z</dcterms:modified>
  <dc:title>陕西省省级单位政府采购中心</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DB4EED5D3F2660D2ACBD4C6A8849D64C_43</vt:lpwstr>
  </property>
  <property fmtid="{D5CDD505-2E9C-101B-9397-08002B2CF9AE}" pid="4" name="KSOTemplateDocerSaveRecord">
    <vt:lpwstr>eyJoZGlkIjoiMzJmYTJlYmFiMjRhNWMyZTJjNGVlZjA3MDNkZGIxMmIiLCJ1c2VySWQiOiI5ODM4MjczMjQifQ==</vt:lpwstr>
  </property>
</Properties>
</file>