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F860B" w14:textId="7DFCC681" w:rsidR="0010348C" w:rsidRPr="0010348C" w:rsidRDefault="0010348C" w:rsidP="0010348C">
      <w:pPr>
        <w:pStyle w:val="2"/>
        <w:jc w:val="center"/>
        <w:rPr>
          <w:rFonts w:ascii="宋体" w:eastAsia="宋体" w:hAnsi="宋体" w:hint="eastAsia"/>
          <w:color w:val="000000" w:themeColor="text1"/>
          <w:sz w:val="36"/>
          <w:szCs w:val="36"/>
        </w:rPr>
      </w:pPr>
      <w:bookmarkStart w:id="0" w:name="_Toc230768853"/>
      <w:r w:rsidRPr="0010348C">
        <w:rPr>
          <w:rFonts w:ascii="宋体" w:eastAsia="宋体" w:hAnsi="宋体" w:hint="eastAsia"/>
          <w:color w:val="000000" w:themeColor="text1"/>
          <w:sz w:val="36"/>
          <w:szCs w:val="36"/>
        </w:rPr>
        <w:t>技术参数</w:t>
      </w:r>
      <w:bookmarkEnd w:id="0"/>
    </w:p>
    <w:p w14:paraId="34264D4E" w14:textId="77777777" w:rsidR="0010348C" w:rsidRPr="0010348C" w:rsidRDefault="0010348C" w:rsidP="0010348C">
      <w:pPr>
        <w:tabs>
          <w:tab w:val="left" w:pos="0"/>
        </w:tabs>
        <w:spacing w:line="500" w:lineRule="exact"/>
        <w:rPr>
          <w:rFonts w:ascii="宋体" w:hAnsi="宋体" w:cs="仿宋_GB2312"/>
          <w:b/>
          <w:bCs/>
          <w:sz w:val="28"/>
          <w:szCs w:val="28"/>
        </w:rPr>
      </w:pPr>
      <w:r w:rsidRPr="0010348C">
        <w:rPr>
          <w:rFonts w:ascii="宋体" w:hAnsi="宋体" w:cs="宋体" w:hint="eastAsia"/>
          <w:b/>
          <w:bCs/>
          <w:sz w:val="24"/>
        </w:rPr>
        <w:t>品目1：</w:t>
      </w:r>
      <w:r w:rsidRPr="0010348C">
        <w:rPr>
          <w:rFonts w:ascii="宋体" w:hAnsi="宋体" w:hint="eastAsia"/>
          <w:b/>
          <w:color w:val="000000"/>
          <w:sz w:val="24"/>
        </w:rPr>
        <w:t>生化分析仪等检验科设备一批</w:t>
      </w:r>
      <w:r w:rsidRPr="0010348C">
        <w:rPr>
          <w:rFonts w:ascii="宋体" w:hAnsi="宋体" w:cs="仿宋_GB2312" w:hint="eastAsia"/>
          <w:b/>
          <w:bCs/>
          <w:sz w:val="28"/>
          <w:szCs w:val="28"/>
        </w:rPr>
        <w:t xml:space="preserve"> </w:t>
      </w:r>
    </w:p>
    <w:p w14:paraId="3C708619" w14:textId="77777777" w:rsidR="0010348C" w:rsidRPr="0010348C" w:rsidRDefault="0010348C" w:rsidP="0010348C">
      <w:pPr>
        <w:pStyle w:val="12"/>
        <w:spacing w:line="360" w:lineRule="auto"/>
        <w:rPr>
          <w:rFonts w:ascii="宋体" w:hAnsi="宋体" w:cs="仿宋" w:hint="eastAsia"/>
          <w:b/>
          <w:sz w:val="24"/>
          <w:szCs w:val="24"/>
        </w:rPr>
      </w:pPr>
      <w:r w:rsidRPr="0010348C">
        <w:rPr>
          <w:rFonts w:ascii="宋体" w:hAnsi="宋体" w:cs="仿宋" w:hint="eastAsia"/>
          <w:b/>
          <w:sz w:val="24"/>
          <w:szCs w:val="24"/>
        </w:rPr>
        <w:t>一、间接免疫荧光/自身抗体检测系统技术参数</w:t>
      </w:r>
    </w:p>
    <w:p w14:paraId="43D541FA"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（一）全自动免疫荧光核型及滴度判读系统技术参数</w:t>
      </w:r>
    </w:p>
    <w:p w14:paraId="6750E5F1"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1.间接免疫荧光全自动检测设备技术参数</w:t>
      </w:r>
    </w:p>
    <w:p w14:paraId="25922B6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1.1.1 集样本实验处理与智能AI结果判读于一体，实现全流程自动化。</w:t>
      </w:r>
    </w:p>
    <w:p w14:paraId="739750D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1.1.2一次性可装载≥200个样本。</w:t>
      </w:r>
    </w:p>
    <w:p w14:paraId="0F04A30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1.1.3 可同时给出核型与滴度双结果。</w:t>
      </w:r>
    </w:p>
    <w:p w14:paraId="3FEEADBD"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1.1.4支持自动稀释。</w:t>
      </w:r>
    </w:p>
    <w:p w14:paraId="428C0AF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1.1.5采用荧光相机与物镜组合，支持自动对焦。</w:t>
      </w:r>
    </w:p>
    <w:p w14:paraId="118DA7B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1.1.6 判读性能：①阴阳性判读符合率≥95%。②基础单核型判读符合率≥90%。</w:t>
      </w:r>
    </w:p>
    <w:p w14:paraId="0268906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③滴度识别误差在 ±1个级别内。</w:t>
      </w:r>
    </w:p>
    <w:p w14:paraId="007835E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1.1.7 样本管兼容性：支持13 * 75mm/13 * 100mm原始采血管、塑料试管等多种类型。</w:t>
      </w:r>
    </w:p>
    <w:p w14:paraId="1EB8B62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1.1.8 条码识别：支持样本管与载片的条形码/二维码自动识别与扫描。</w:t>
      </w:r>
    </w:p>
    <w:p w14:paraId="2F3037A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1.1.9 系统连接：支持单向/双向LIS传输，可通过网口、串口、USB口进行数据传输与控制。</w:t>
      </w:r>
    </w:p>
    <w:p w14:paraId="67D49BCF"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1.1.10 数据管理：可记录超过≥100万条数据日志，并支持导入导出。</w:t>
      </w:r>
    </w:p>
    <w:p w14:paraId="626A3FF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1.1.11 图文工作站（图文工作站2台）：≥i5处理器、≥24英寸显示器、≥16G内存、≥512G固态硬盘。</w:t>
      </w:r>
    </w:p>
    <w:p w14:paraId="2125785F"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1.1.12 不间断电源容量≥2kVA。</w:t>
      </w:r>
    </w:p>
    <w:p w14:paraId="3587957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1.1.13 卧式脱帽离心机≥4000r/min，满足4*30*2-5ml。</w:t>
      </w:r>
    </w:p>
    <w:p w14:paraId="2D7E2F4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1.1.14 </w:t>
      </w:r>
      <w:r w:rsidRPr="0010348C">
        <w:rPr>
          <w:rFonts w:ascii="宋体" w:hAnsi="宋体" w:cs="宋体"/>
          <w:sz w:val="24"/>
        </w:rPr>
        <w:t>系统应与配套检测试剂共同使用，对血清、血浆样本中的自身抗体等被分析物进行定性或半定量检测（核型+滴度），</w:t>
      </w:r>
      <w:r w:rsidRPr="0010348C">
        <w:rPr>
          <w:rFonts w:ascii="宋体" w:hAnsi="宋体" w:cs="宋体" w:hint="eastAsia"/>
          <w:sz w:val="24"/>
        </w:rPr>
        <w:t>覆盖自身免疫（ANA、ANCA、dsDNA等）检测项目。</w:t>
      </w:r>
    </w:p>
    <w:p w14:paraId="5CE98FD6"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1.1.15 荧光光源：LED 光源。</w:t>
      </w:r>
    </w:p>
    <w:p w14:paraId="073FF00B"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2.荧光正置显微镜设备技术参数</w:t>
      </w:r>
    </w:p>
    <w:p w14:paraId="3AE88DA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1.2.1 </w:t>
      </w:r>
      <w:r w:rsidRPr="0010348C">
        <w:rPr>
          <w:rFonts w:ascii="宋体" w:hAnsi="宋体" w:cs="宋体"/>
          <w:sz w:val="24"/>
        </w:rPr>
        <w:t>采用无限远校正光学系统。</w:t>
      </w:r>
    </w:p>
    <w:p w14:paraId="068FB16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lastRenderedPageBreak/>
        <w:t xml:space="preserve">1.2.2 </w:t>
      </w:r>
      <w:r w:rsidRPr="0010348C">
        <w:rPr>
          <w:rFonts w:ascii="宋体" w:hAnsi="宋体" w:cs="宋体"/>
          <w:sz w:val="24"/>
        </w:rPr>
        <w:t>配置10×大视野平场目镜，视场直径（FN）≥20mm，双目屈光度可调。</w:t>
      </w:r>
    </w:p>
    <w:p w14:paraId="5194FBC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1.2.3 </w:t>
      </w:r>
      <w:r w:rsidRPr="0010348C">
        <w:rPr>
          <w:rFonts w:ascii="宋体" w:hAnsi="宋体" w:cs="宋体"/>
          <w:sz w:val="24"/>
        </w:rPr>
        <w:t>三目观察筒，分光比具备100/0和0/100两种模式。</w:t>
      </w:r>
    </w:p>
    <w:p w14:paraId="5B8AFE5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1.2.4 </w:t>
      </w:r>
      <w:r w:rsidRPr="0010348C">
        <w:rPr>
          <w:rFonts w:ascii="宋体" w:hAnsi="宋体" w:cs="宋体"/>
          <w:sz w:val="24"/>
        </w:rPr>
        <w:t>物镜配置：包含4×、10×、20×、40×、100×（油镜）五个倍率，均为无限远平场消色差物镜。</w:t>
      </w:r>
    </w:p>
    <w:p w14:paraId="7E4B562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1.2.5 </w:t>
      </w:r>
      <w:r w:rsidRPr="0010348C">
        <w:rPr>
          <w:rFonts w:ascii="宋体" w:hAnsi="宋体" w:cs="宋体"/>
          <w:sz w:val="24"/>
        </w:rPr>
        <w:t>机械移动载物台，移动范围≥75mm×50mm。</w:t>
      </w:r>
    </w:p>
    <w:p w14:paraId="2B34B8C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1.2.6 </w:t>
      </w:r>
      <w:r w:rsidRPr="0010348C">
        <w:rPr>
          <w:rFonts w:ascii="宋体" w:hAnsi="宋体" w:cs="宋体"/>
          <w:sz w:val="24"/>
        </w:rPr>
        <w:t>粗微动同轴调焦，微动格值≤2μm，带限位装置。</w:t>
      </w:r>
    </w:p>
    <w:p w14:paraId="20A1CDDD"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1.2.7 </w:t>
      </w:r>
      <w:r w:rsidRPr="0010348C">
        <w:rPr>
          <w:rFonts w:ascii="宋体" w:hAnsi="宋体" w:cs="宋体"/>
          <w:sz w:val="24"/>
        </w:rPr>
        <w:t>聚光镜，数值孔径NA≥0.9，可升降调节。</w:t>
      </w:r>
    </w:p>
    <w:p w14:paraId="7A635EC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1.2.8 </w:t>
      </w:r>
      <w:r w:rsidRPr="0010348C">
        <w:rPr>
          <w:rFonts w:ascii="宋体" w:hAnsi="宋体" w:cs="宋体"/>
          <w:sz w:val="24"/>
        </w:rPr>
        <w:t>透射照明采用LED光源。</w:t>
      </w:r>
    </w:p>
    <w:p w14:paraId="513769F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1.2.9 </w:t>
      </w:r>
      <w:r w:rsidRPr="0010348C">
        <w:rPr>
          <w:rFonts w:ascii="宋体" w:hAnsi="宋体" w:cs="宋体"/>
          <w:sz w:val="24"/>
        </w:rPr>
        <w:t>配备≥</w:t>
      </w:r>
      <w:r w:rsidRPr="0010348C">
        <w:rPr>
          <w:rFonts w:ascii="宋体" w:hAnsi="宋体" w:cs="宋体" w:hint="eastAsia"/>
          <w:sz w:val="24"/>
        </w:rPr>
        <w:t>3</w:t>
      </w:r>
      <w:r w:rsidRPr="0010348C">
        <w:rPr>
          <w:rFonts w:ascii="宋体" w:hAnsi="宋体" w:cs="宋体"/>
          <w:sz w:val="24"/>
        </w:rPr>
        <w:t>组荧光激发块（蓝、绿、紫外），波长覆盖常见荧光染料。</w:t>
      </w:r>
    </w:p>
    <w:p w14:paraId="55E9A7D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1.2.10 </w:t>
      </w:r>
      <w:r w:rsidRPr="0010348C">
        <w:rPr>
          <w:rFonts w:ascii="宋体" w:hAnsi="宋体" w:cs="宋体"/>
          <w:sz w:val="24"/>
        </w:rPr>
        <w:t>荧光转盘/滤色镜盒工位≥</w:t>
      </w:r>
      <w:r w:rsidRPr="0010348C">
        <w:rPr>
          <w:rFonts w:ascii="宋体" w:hAnsi="宋体" w:cs="宋体" w:hint="eastAsia"/>
          <w:sz w:val="24"/>
        </w:rPr>
        <w:t>3</w:t>
      </w:r>
      <w:r w:rsidRPr="0010348C">
        <w:rPr>
          <w:rFonts w:ascii="宋体" w:hAnsi="宋体" w:cs="宋体"/>
          <w:sz w:val="24"/>
        </w:rPr>
        <w:t>工位。</w:t>
      </w:r>
    </w:p>
    <w:p w14:paraId="7FD98F6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1.2.11 </w:t>
      </w:r>
      <w:r w:rsidRPr="0010348C">
        <w:rPr>
          <w:rFonts w:ascii="宋体" w:hAnsi="宋体" w:cs="宋体"/>
          <w:sz w:val="24"/>
        </w:rPr>
        <w:t>配备数码相机，物理像素≥500万。</w:t>
      </w:r>
    </w:p>
    <w:p w14:paraId="585FD64F"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1.2.12 </w:t>
      </w:r>
      <w:r w:rsidRPr="0010348C">
        <w:rPr>
          <w:rFonts w:ascii="宋体" w:hAnsi="宋体" w:cs="宋体"/>
          <w:sz w:val="24"/>
        </w:rPr>
        <w:t>配备中文图像分析软件，支持多通道荧光图像合成、测量、存储。</w:t>
      </w:r>
    </w:p>
    <w:p w14:paraId="6FAD77D4" w14:textId="77777777" w:rsidR="0010348C" w:rsidRPr="0010348C" w:rsidRDefault="0010348C" w:rsidP="0010348C">
      <w:pPr>
        <w:pStyle w:val="12"/>
        <w:spacing w:line="360" w:lineRule="auto"/>
        <w:jc w:val="center"/>
        <w:rPr>
          <w:rFonts w:ascii="宋体" w:hAnsi="宋体" w:cs="仿宋" w:hint="eastAsia"/>
          <w:bCs/>
          <w:sz w:val="24"/>
          <w:szCs w:val="24"/>
        </w:rPr>
      </w:pPr>
      <w:r w:rsidRPr="0010348C">
        <w:rPr>
          <w:rFonts w:ascii="宋体" w:hAnsi="宋体" w:cs="仿宋" w:hint="eastAsia"/>
          <w:bCs/>
          <w:sz w:val="24"/>
          <w:szCs w:val="24"/>
        </w:rPr>
        <w:t>（二）全自动间接免疫荧光操作/酶联免疫一体机（间接免疫荧光全自动检测设备）技术参数</w:t>
      </w:r>
    </w:p>
    <w:p w14:paraId="6CDAE5C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 系统为集成样本处理、荧光染色、自动成像与智能分析的全自动一体化平台，或可联机运行的全流程自动化分体系统。</w:t>
      </w:r>
    </w:p>
    <w:p w14:paraId="24AD83D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2.2 单批次最大样本位</w:t>
      </w:r>
      <w:r w:rsidRPr="0010348C">
        <w:rPr>
          <w:rFonts w:ascii="宋体" w:hAnsi="宋体" w:cs="宋体"/>
          <w:sz w:val="24"/>
        </w:rPr>
        <w:t>≥</w:t>
      </w:r>
      <w:r w:rsidRPr="0010348C">
        <w:rPr>
          <w:rFonts w:ascii="宋体" w:hAnsi="宋体" w:cs="宋体" w:hint="eastAsia"/>
          <w:sz w:val="24"/>
        </w:rPr>
        <w:t>96个，支持原始管上机；单批次最大载片装载量</w:t>
      </w:r>
      <w:r w:rsidRPr="0010348C">
        <w:rPr>
          <w:rFonts w:ascii="宋体" w:hAnsi="宋体" w:cs="宋体"/>
          <w:sz w:val="24"/>
        </w:rPr>
        <w:t>≥</w:t>
      </w:r>
      <w:r w:rsidRPr="0010348C">
        <w:rPr>
          <w:rFonts w:ascii="宋体" w:hAnsi="宋体" w:cs="宋体" w:hint="eastAsia"/>
          <w:sz w:val="24"/>
        </w:rPr>
        <w:t>15张。</w:t>
      </w:r>
    </w:p>
    <w:p w14:paraId="2FA6CD4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2.3 支持单次运行中同时检测</w:t>
      </w:r>
      <w:r w:rsidRPr="0010348C">
        <w:rPr>
          <w:rFonts w:ascii="宋体" w:hAnsi="宋体" w:cs="宋体"/>
          <w:sz w:val="24"/>
        </w:rPr>
        <w:t>≥</w:t>
      </w:r>
      <w:r w:rsidRPr="0010348C">
        <w:rPr>
          <w:rFonts w:ascii="宋体" w:hAnsi="宋体" w:cs="宋体" w:hint="eastAsia"/>
          <w:sz w:val="24"/>
        </w:rPr>
        <w:t>4个不同项目，并可自由组合。</w:t>
      </w:r>
    </w:p>
    <w:p w14:paraId="2D1D18C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2.4 系统整体处理速度</w:t>
      </w:r>
      <w:r w:rsidRPr="0010348C">
        <w:rPr>
          <w:rFonts w:ascii="宋体" w:hAnsi="宋体" w:cs="宋体"/>
          <w:sz w:val="24"/>
        </w:rPr>
        <w:t>≥</w:t>
      </w:r>
      <w:r w:rsidRPr="0010348C">
        <w:rPr>
          <w:rFonts w:ascii="宋体" w:hAnsi="宋体" w:cs="宋体" w:hint="eastAsia"/>
          <w:sz w:val="24"/>
        </w:rPr>
        <w:t>100测试/小时。</w:t>
      </w:r>
    </w:p>
    <w:p w14:paraId="504C157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2.5 自动完成样本识别、稀释、加样、孵育、清洗、图像采集与结果判读。</w:t>
      </w:r>
    </w:p>
    <w:p w14:paraId="11E005D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2.6 内置人工智能（AI）图像分析软件，可自动进行阴阳性判断、核型识别与滴度计算。</w:t>
      </w:r>
    </w:p>
    <w:p w14:paraId="5A4BF45F"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2.7 具备与实验室信息系统（LIS/HIS）进行双向通信的标准接口。</w:t>
      </w:r>
    </w:p>
    <w:p w14:paraId="2EEACB5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2.8 数据管理：具备数据存储能力，可记录超过≥100万条数据日志，并支持导入导出。</w:t>
      </w:r>
    </w:p>
    <w:p w14:paraId="0088630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2.9 图文工作站（图文工作站2台）：≥i5处理器、≥24英寸显示器、≥16G内存、≥512G固态硬盘。</w:t>
      </w:r>
    </w:p>
    <w:p w14:paraId="0B4B34B9" w14:textId="77777777" w:rsidR="0010348C" w:rsidRPr="0010348C" w:rsidRDefault="0010348C" w:rsidP="0010348C">
      <w:pPr>
        <w:pStyle w:val="aa"/>
        <w:spacing w:line="360" w:lineRule="auto"/>
        <w:ind w:left="860" w:hanging="860"/>
        <w:rPr>
          <w:rFonts w:ascii="宋体" w:hAnsi="宋体" w:cs="宋体" w:hint="eastAsia"/>
          <w:sz w:val="24"/>
        </w:rPr>
      </w:pPr>
      <w:r w:rsidRPr="0010348C">
        <w:rPr>
          <w:rFonts w:ascii="宋体" w:hAnsi="宋体" w:cs="宋体" w:hint="eastAsia"/>
          <w:sz w:val="24"/>
        </w:rPr>
        <w:lastRenderedPageBreak/>
        <w:t>2.10 不间断电源容量≥2kVA。</w:t>
      </w:r>
    </w:p>
    <w:p w14:paraId="5F324D63"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（三）自身抗体定量检测系统（全自动流式荧光发光免疫分析仪）技术参数</w:t>
      </w:r>
    </w:p>
    <w:p w14:paraId="27CFAC7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3.1 流式荧光发光法，或液相芯片法可支持多项目联检。</w:t>
      </w:r>
    </w:p>
    <w:p w14:paraId="6517223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3.2 满足全自动检测，可自动完成扫码上样、免疫反应、检测分析及数据上传。</w:t>
      </w:r>
    </w:p>
    <w:p w14:paraId="4387CC6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3.3 管式连续上样，具备识别急诊样本优先检测功能。</w:t>
      </w:r>
    </w:p>
    <w:p w14:paraId="4BB8748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3.4 定标：支持批定标。</w:t>
      </w:r>
    </w:p>
    <w:p w14:paraId="7E5AA62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3.5 反应区温度控制：有温控功能，温控精度±0.5℃，温度波动≤1℃。</w:t>
      </w:r>
    </w:p>
    <w:p w14:paraId="76A5C4FE" w14:textId="77777777" w:rsidR="0010348C" w:rsidRPr="0010348C" w:rsidRDefault="0010348C" w:rsidP="0010348C">
      <w:pPr>
        <w:pStyle w:val="aa"/>
        <w:spacing w:line="360" w:lineRule="auto"/>
        <w:ind w:left="560" w:hanging="560"/>
        <w:rPr>
          <w:rFonts w:ascii="宋体" w:hAnsi="宋体" w:cs="宋体" w:hint="eastAsia"/>
          <w:sz w:val="24"/>
        </w:rPr>
      </w:pPr>
      <w:r w:rsidRPr="0010348C">
        <w:rPr>
          <w:rFonts w:ascii="宋体" w:hAnsi="宋体" w:cs="宋体" w:hint="eastAsia"/>
          <w:sz w:val="24"/>
        </w:rPr>
        <w:t>3.6 废液处理：废液智能监测排放、废弃物固液分离，过载提示报警。</w:t>
      </w:r>
    </w:p>
    <w:p w14:paraId="50832A66" w14:textId="77777777" w:rsidR="0010348C" w:rsidRPr="0010348C" w:rsidRDefault="0010348C" w:rsidP="0010348C">
      <w:pPr>
        <w:pStyle w:val="aa"/>
        <w:spacing w:line="360" w:lineRule="auto"/>
        <w:ind w:left="560" w:hanging="560"/>
        <w:rPr>
          <w:rFonts w:ascii="宋体" w:hAnsi="宋体" w:cs="宋体" w:hint="eastAsia"/>
          <w:sz w:val="24"/>
        </w:rPr>
      </w:pPr>
      <w:r w:rsidRPr="0010348C">
        <w:rPr>
          <w:rFonts w:ascii="宋体" w:hAnsi="宋体" w:cs="宋体" w:hint="eastAsia"/>
          <w:sz w:val="24"/>
        </w:rPr>
        <w:t>3.7 操作系统：支持Windows全中文操作系统。</w:t>
      </w:r>
    </w:p>
    <w:p w14:paraId="52FE7B12" w14:textId="77777777" w:rsidR="0010348C" w:rsidRPr="0010348C" w:rsidRDefault="0010348C" w:rsidP="0010348C">
      <w:pPr>
        <w:pStyle w:val="aa"/>
        <w:spacing w:line="360" w:lineRule="auto"/>
        <w:ind w:left="560" w:hanging="560"/>
        <w:rPr>
          <w:rFonts w:ascii="宋体" w:hAnsi="宋体" w:cs="宋体" w:hint="eastAsia"/>
          <w:sz w:val="24"/>
        </w:rPr>
      </w:pPr>
      <w:r w:rsidRPr="0010348C">
        <w:rPr>
          <w:rFonts w:ascii="宋体" w:hAnsi="宋体" w:cs="宋体" w:hint="eastAsia"/>
          <w:sz w:val="24"/>
        </w:rPr>
        <w:t>3.8 通讯功能：支持LIS/HIS连接。</w:t>
      </w:r>
    </w:p>
    <w:p w14:paraId="07C45096" w14:textId="77777777" w:rsidR="0010348C" w:rsidRPr="0010348C" w:rsidRDefault="0010348C" w:rsidP="0010348C">
      <w:pPr>
        <w:pStyle w:val="aa"/>
        <w:spacing w:line="360" w:lineRule="auto"/>
        <w:ind w:left="560" w:hanging="560"/>
        <w:rPr>
          <w:rFonts w:ascii="宋体" w:hAnsi="宋体" w:cs="宋体" w:hint="eastAsia"/>
          <w:sz w:val="24"/>
        </w:rPr>
      </w:pPr>
      <w:r w:rsidRPr="0010348C">
        <w:rPr>
          <w:rFonts w:ascii="宋体" w:hAnsi="宋体" w:cs="宋体" w:hint="eastAsia"/>
          <w:sz w:val="24"/>
        </w:rPr>
        <w:t>3.9 设备兼容性 ：可接入流水线，可双机、多机并联。</w:t>
      </w:r>
    </w:p>
    <w:p w14:paraId="11544550" w14:textId="77777777" w:rsidR="0010348C" w:rsidRPr="0010348C" w:rsidRDefault="0010348C" w:rsidP="0010348C">
      <w:pPr>
        <w:pStyle w:val="aa"/>
        <w:spacing w:line="360" w:lineRule="auto"/>
        <w:ind w:left="560" w:hanging="560"/>
        <w:rPr>
          <w:rFonts w:ascii="宋体" w:hAnsi="宋体" w:cs="宋体"/>
          <w:sz w:val="24"/>
        </w:rPr>
      </w:pPr>
      <w:r w:rsidRPr="0010348C">
        <w:rPr>
          <w:rFonts w:ascii="宋体" w:hAnsi="宋体" w:cs="宋体" w:hint="eastAsia"/>
          <w:sz w:val="24"/>
        </w:rPr>
        <w:t>3.10 单模块检查速度≥500T/h。</w:t>
      </w:r>
    </w:p>
    <w:p w14:paraId="68F3D817"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3.11 检测项目：能同时开展抗核抗体谱、血管炎抗体谱、自身免疫性肝病抗体谱检测。</w:t>
      </w:r>
    </w:p>
    <w:p w14:paraId="6DB5D5E0" w14:textId="77777777" w:rsidR="0010348C" w:rsidRPr="0010348C" w:rsidRDefault="0010348C" w:rsidP="0010348C">
      <w:pPr>
        <w:pStyle w:val="aa"/>
        <w:spacing w:line="360" w:lineRule="auto"/>
        <w:ind w:left="560" w:hanging="560"/>
        <w:rPr>
          <w:rFonts w:ascii="宋体" w:hAnsi="宋体" w:cs="宋体" w:hint="eastAsia"/>
          <w:sz w:val="24"/>
        </w:rPr>
      </w:pPr>
      <w:r w:rsidRPr="0010348C">
        <w:rPr>
          <w:rFonts w:ascii="宋体" w:hAnsi="宋体" w:cs="宋体" w:hint="eastAsia"/>
          <w:sz w:val="24"/>
        </w:rPr>
        <w:t>3.12 在国家卫健委临床检验中心室间质评活动中有独立分组（提供资料证明）。</w:t>
      </w:r>
    </w:p>
    <w:p w14:paraId="73DAE55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3.13 图文工作站（图文工作站2台）：≥i5处理器、≥24英寸显示器、≥16G内存、≥512G固态硬盘。</w:t>
      </w:r>
    </w:p>
    <w:p w14:paraId="2F9C207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3.14 不间断电源容量≥2kVA。</w:t>
      </w:r>
    </w:p>
    <w:p w14:paraId="1396D040"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（四）化学发光系统（全自动化学发光免疫分析仪）技术参数</w:t>
      </w:r>
    </w:p>
    <w:p w14:paraId="1BBFD841" w14:textId="77777777" w:rsidR="0010348C" w:rsidRPr="0010348C" w:rsidRDefault="0010348C" w:rsidP="0010348C">
      <w:pPr>
        <w:pStyle w:val="aa"/>
        <w:spacing w:line="360" w:lineRule="auto"/>
        <w:rPr>
          <w:rFonts w:ascii="宋体" w:hAnsi="宋体" w:hint="eastAsia"/>
          <w:sz w:val="24"/>
        </w:rPr>
      </w:pPr>
      <w:r w:rsidRPr="0010348C">
        <w:rPr>
          <w:rFonts w:ascii="宋体" w:hAnsi="宋体" w:hint="eastAsia"/>
          <w:sz w:val="24"/>
        </w:rPr>
        <w:t>4.1 检测项目：用于检测自身抗体谱，磷脂酶谱等自身抗体的检测</w:t>
      </w:r>
    </w:p>
    <w:p w14:paraId="29D8078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hint="eastAsia"/>
          <w:sz w:val="24"/>
        </w:rPr>
        <w:t xml:space="preserve">4.2 </w:t>
      </w:r>
      <w:r w:rsidRPr="0010348C">
        <w:rPr>
          <w:rFonts w:ascii="宋体" w:hAnsi="宋体" w:cs="宋体" w:hint="eastAsia"/>
          <w:sz w:val="24"/>
        </w:rPr>
        <w:t>样本管：兼容市面上常规采血管</w:t>
      </w:r>
    </w:p>
    <w:p w14:paraId="5FA4F48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4.3 加样针具备液位探测、气泡探测、凝块探测及防撞功能。</w:t>
      </w:r>
    </w:p>
    <w:p w14:paraId="56457A8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4.4 供给品加载：支持不停机加载和更换</w:t>
      </w:r>
    </w:p>
    <w:p w14:paraId="427AF35F"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4.5 信息录入：支持试剂以及供给品的信息录入。</w:t>
      </w:r>
    </w:p>
    <w:p w14:paraId="01D76B4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4.6 支持随时连续进样，支持自动重测功能。</w:t>
      </w:r>
    </w:p>
    <w:p w14:paraId="403BBF5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4.7 急诊功能：具备急诊功能，急诊样本随时插入。</w:t>
      </w:r>
    </w:p>
    <w:p w14:paraId="4F273A3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4.8 试剂仓温度：2-8℃，试剂可机载冷藏储存。</w:t>
      </w:r>
    </w:p>
    <w:p w14:paraId="2EF0BB1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4.9 检测效率：≥300T/h。</w:t>
      </w:r>
    </w:p>
    <w:p w14:paraId="6445AE1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lastRenderedPageBreak/>
        <w:t>4.10 操作系统：具备仪器状态、测试状态实时监测；试剂、耗材余量实时监测；废料、废液量实时监测，支持与医院LIS系统连接。</w:t>
      </w:r>
    </w:p>
    <w:p w14:paraId="6035125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4.11 配置：打印机、图文工作站。</w:t>
      </w:r>
    </w:p>
    <w:p w14:paraId="6F0E110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4.12 图文工作站（图文工作站2台）：≥i5处理器、≥24英寸显示器、≥16G内存、≥512G固态硬盘。</w:t>
      </w:r>
    </w:p>
    <w:p w14:paraId="09AF85C5"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4.13 不间断电源容量≥2kVA。</w:t>
      </w:r>
    </w:p>
    <w:p w14:paraId="2DAB9CC7" w14:textId="77777777" w:rsidR="0010348C" w:rsidRPr="0010348C" w:rsidRDefault="0010348C" w:rsidP="0010348C">
      <w:pPr>
        <w:pStyle w:val="aa"/>
        <w:spacing w:line="360" w:lineRule="auto"/>
        <w:rPr>
          <w:rFonts w:ascii="宋体" w:hAnsi="宋体" w:cs="仿宋" w:hint="eastAsia"/>
          <w:b/>
          <w:sz w:val="24"/>
        </w:rPr>
      </w:pPr>
      <w:r w:rsidRPr="0010348C">
        <w:rPr>
          <w:rFonts w:ascii="宋体" w:hAnsi="宋体" w:cs="仿宋" w:hint="eastAsia"/>
          <w:b/>
          <w:sz w:val="24"/>
        </w:rPr>
        <w:t>二、微生物鉴定和药敏检测系统技术参数</w:t>
      </w:r>
    </w:p>
    <w:p w14:paraId="2BAA3957"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（一）全自动血培养仪技术参数</w:t>
      </w:r>
    </w:p>
    <w:p w14:paraId="3C66772D"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1.适用范围：用于临床实验室，通过体外培养检测人体血液或其他正常条件下无菌体液中的需氧菌、厌氧菌。</w:t>
      </w:r>
    </w:p>
    <w:p w14:paraId="41F6D88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2.孵育仓容量：可同时检测不少于120个样本。</w:t>
      </w:r>
    </w:p>
    <w:p w14:paraId="35DCC0E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3.屏幕显示：可查看生长曲线。</w:t>
      </w:r>
    </w:p>
    <w:p w14:paraId="70E22BC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4.支持信息化解决方案，实现实时监测报警与数据统计管理及传递功能。</w:t>
      </w:r>
    </w:p>
    <w:p w14:paraId="2FB719EF"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5.适用于多种培养瓶（包括标准需氧瓶、树脂需氧瓶、树脂儿童瓶、厌氧培养瓶）。</w:t>
      </w:r>
    </w:p>
    <w:p w14:paraId="1E6AC42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6.具有配套培养瓶且有相应注册证。</w:t>
      </w:r>
    </w:p>
    <w:p w14:paraId="00F426AD"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7.样本类型：可接受的样本包括血液及其他无菌体液。</w:t>
      </w:r>
    </w:p>
    <w:p w14:paraId="317C5CC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8.软件要求：可实现血容量监测、实现实时监测报警与数据统计管理及传递功能。</w:t>
      </w:r>
    </w:p>
    <w:p w14:paraId="0B009617"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9.全自动血培养仪设备配套设备：配套UPS 1部：满足全自动血培养仪供电≥1h。</w:t>
      </w:r>
    </w:p>
    <w:p w14:paraId="308AB42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10.技术支持：提供实验室ISO15189评审所需技术支持。</w:t>
      </w:r>
    </w:p>
    <w:p w14:paraId="542D27EC"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（二）全自动微生物鉴定药敏分析仪技术参数</w:t>
      </w:r>
    </w:p>
    <w:p w14:paraId="6361675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▲1.设备基本要求：具有FDA或CE认证。</w:t>
      </w:r>
    </w:p>
    <w:p w14:paraId="2AC5FAE7"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2.功能：可满足对需氧和兼性厌氧的革兰氏阳性细菌、需氧和兼性厌氧的革兰氏阴性细菌、酵母菌及酵母样真菌进行鉴定。对需氧和兼性厌氧的革兰氏阳性细菌、需氧和兼性厌氧的革兰氏阴性细菌进行药敏试验</w:t>
      </w:r>
    </w:p>
    <w:p w14:paraId="08372D4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3.仪器检测：检测板放入仪器后，仪器自动孵育培养、自动检测、自动报告鉴定和药敏试验结果。</w:t>
      </w:r>
    </w:p>
    <w:p w14:paraId="47D11A4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lastRenderedPageBreak/>
        <w:t>4.仪器检测容量：每次可同时进行≥30个样本的鉴定试验和药敏试验</w:t>
      </w:r>
    </w:p>
    <w:p w14:paraId="3BEA81B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▲5.鉴定/药敏检测板种类：包括革兰氏阴性细菌鉴定药敏板、革兰氏阳性细菌鉴定药敏板、链球菌鉴定药敏板；革兰氏阴性细菌鉴定板、革兰氏阳性细菌鉴定板。每块检测板均单独密封包装。</w:t>
      </w:r>
    </w:p>
    <w:p w14:paraId="2E802F57"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6.须有配套独立包装的鉴定培养液、药敏培养液。</w:t>
      </w:r>
    </w:p>
    <w:p w14:paraId="06A4E3D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7.菌库：可以对≥500种细菌进行鉴定和/或药敏试验。</w:t>
      </w:r>
    </w:p>
    <w:p w14:paraId="7EC6652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8.抗菌药物种类：针对革兰氏阴性菌和革兰氏阳性菌，单个检测卡应有≥14种抗菌药物，针对链球菌应有≥15种抗菌药物。</w:t>
      </w:r>
    </w:p>
    <w:p w14:paraId="1C23A18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9.专家系统：仪器具有专家系统对药敏解释结果进行判断和解释，专家系统中的规则符合CLSI、EUCAST或SFM等国际标准。系统应支持MDR、天然耐药的自动判读和标识，并将标识自动传输到LIS。</w:t>
      </w:r>
    </w:p>
    <w:p w14:paraId="1DF7699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10.支持CARSS中间件，保证耐药监测数据标准化。</w:t>
      </w:r>
    </w:p>
    <w:p w14:paraId="379B9C2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11.质量控制：有独立的质控模块，可以对整体流程进行质量控制，可以储存、管理并打印鉴定/药敏质控报告。</w:t>
      </w:r>
    </w:p>
    <w:p w14:paraId="67C16DA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12.技术支持：提供实验室ISO15189评审所需技术支持。</w:t>
      </w:r>
    </w:p>
    <w:p w14:paraId="0297E34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13.全自动微生物鉴定药敏分析仪设备配套设备：</w:t>
      </w:r>
    </w:p>
    <w:p w14:paraId="17F6E53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13.1 配套UPS 1部：全自动微生物鉴定药敏分析仪满足供电≥1h。</w:t>
      </w:r>
    </w:p>
    <w:p w14:paraId="75C3972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13.2 配备图文工作站一台：≥i5处理器、≥24英寸显示器、≥16G内存、≥512G固态硬盘。</w:t>
      </w:r>
    </w:p>
    <w:p w14:paraId="6B8B1B9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13.3 比浊仪及比浊管一套。</w:t>
      </w:r>
    </w:p>
    <w:p w14:paraId="52AE8171"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（三）全自动微生物质谱检测系统技术参数</w:t>
      </w:r>
      <w:r w:rsidRPr="0010348C">
        <w:rPr>
          <w:rFonts w:ascii="宋体" w:hAnsi="宋体" w:cs="仿宋" w:hint="eastAsia"/>
          <w:b/>
          <w:sz w:val="30"/>
          <w:szCs w:val="30"/>
        </w:rPr>
        <w:t xml:space="preserve"> </w:t>
      </w:r>
    </w:p>
    <w:p w14:paraId="0BA8A33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▲1.设备主要用途及基本要求：具有FDA或CE认证。应用范围应包括对细菌、真菌的鉴定。</w:t>
      </w:r>
    </w:p>
    <w:p w14:paraId="5F897227"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2.硬件性能规格要求：</w:t>
      </w:r>
    </w:p>
    <w:p w14:paraId="36ED3CD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 采用直线形不锈钢飞行管，飞行管长度≥1米；</w:t>
      </w:r>
    </w:p>
    <w:p w14:paraId="464351C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2.2 激光器：波长需为337nm，频率在1-50Hz且可调，激光照射次数≥6千万次；</w:t>
      </w:r>
    </w:p>
    <w:p w14:paraId="1FA4308F"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2.3 真空泵为无油真空泵，噪音低，无机油污染；</w:t>
      </w:r>
    </w:p>
    <w:p w14:paraId="78E7907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2.4 离子源及清洗方式：要求免清洗/配备智能化红外激光自动清洗离子</w:t>
      </w:r>
      <w:r w:rsidRPr="0010348C">
        <w:rPr>
          <w:rFonts w:ascii="宋体" w:hAnsi="宋体" w:cs="宋体" w:hint="eastAsia"/>
          <w:sz w:val="24"/>
        </w:rPr>
        <w:lastRenderedPageBreak/>
        <w:t>源装置。</w:t>
      </w:r>
    </w:p>
    <w:p w14:paraId="669D75F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3.软件系统：</w:t>
      </w:r>
    </w:p>
    <w:p w14:paraId="41C2D3F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3.1软件可以实现数据的统计分析，流行病学统计分析功能。</w:t>
      </w:r>
    </w:p>
    <w:p w14:paraId="6A4A07F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3.2提供配套的微生物实验室数据管理系统。</w:t>
      </w:r>
    </w:p>
    <w:p w14:paraId="35205DC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4.数据库：</w:t>
      </w:r>
    </w:p>
    <w:p w14:paraId="35BA8D5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4.1可部署本地微生物菌种数据库，本地数据库含有≥11000个以上微生物菌株的信息。</w:t>
      </w:r>
    </w:p>
    <w:p w14:paraId="50CCE14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4.2临床库菌种数量≥1300种，平均每个菌株建库菌图谱数平均≥10张图谱/株。</w:t>
      </w:r>
    </w:p>
    <w:p w14:paraId="5EEA394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5.检测性能 </w:t>
      </w:r>
    </w:p>
    <w:p w14:paraId="5AA346C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5.1 鉴定质量范围：1-450kDa；</w:t>
      </w:r>
    </w:p>
    <w:p w14:paraId="44DE59A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5.2 分辨率：线性模式分辨率≥2,000 </w:t>
      </w:r>
    </w:p>
    <w:p w14:paraId="2121C84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6.提供实验室ISO15189评审所需技术支持。</w:t>
      </w:r>
    </w:p>
    <w:p w14:paraId="280C8A7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7.全自动微生物质谱检测系统配套设备：</w:t>
      </w:r>
    </w:p>
    <w:p w14:paraId="0428755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7.1 专用图文工作站1台：≥i5处理器、≥24英寸显示器、≥16G内存、≥512G固态硬盘。</w:t>
      </w:r>
    </w:p>
    <w:p w14:paraId="1F2B0F8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7.2 智能化管理软件一套，可同时管理全自动微生物质谱检测系统、血培养仪、全自动鉴定药敏分析系统。</w:t>
      </w:r>
    </w:p>
    <w:p w14:paraId="51FEB3D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7.3 配套UPS 1部：满足供电≥1h。</w:t>
      </w:r>
    </w:p>
    <w:p w14:paraId="3345E8C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7.4 黑白激光打印机1台。</w:t>
      </w:r>
    </w:p>
    <w:p w14:paraId="1BFF80BF"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7.5 具备Lis接口。</w:t>
      </w:r>
    </w:p>
    <w:p w14:paraId="33FAD530"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（四）多功能微生物培养系统技术参数</w:t>
      </w:r>
    </w:p>
    <w:p w14:paraId="38D155F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sz w:val="24"/>
        </w:rPr>
        <w:t>1.用途：能制造厌氧（氧浓度为0%）、微需氧（氧浓度为6%）气体培养环境，适用于厌氧培养、微需氧培养；并可根据实验培养需要选择氧气浓度（1-15%可选）或二氧化碳浓度。</w:t>
      </w:r>
    </w:p>
    <w:p w14:paraId="51DB180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sz w:val="24"/>
        </w:rPr>
        <w:t>2.达到100%的厌氧环境≤6分钟，达到微需氧环境≤2分钟。</w:t>
      </w:r>
    </w:p>
    <w:p w14:paraId="5D34B83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sz w:val="24"/>
        </w:rPr>
        <w:t>3.连接罐体：可连接不同容量多种规格的培养罐、每个培养罐可提供不同的培养气体环境，可根据标本量的多少相应增加或减少罐体。</w:t>
      </w:r>
    </w:p>
    <w:p w14:paraId="4A8B749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sz w:val="24"/>
        </w:rPr>
        <w:t>4.催化剂可重复再生使用</w:t>
      </w:r>
      <w:r w:rsidRPr="0010348C">
        <w:rPr>
          <w:rFonts w:ascii="宋体" w:hAnsi="宋体" w:cs="宋体" w:hint="eastAsia"/>
          <w:sz w:val="24"/>
        </w:rPr>
        <w:t>≥</w:t>
      </w:r>
      <w:r w:rsidRPr="0010348C">
        <w:rPr>
          <w:rFonts w:ascii="宋体" w:hAnsi="宋体" w:cs="宋体"/>
          <w:sz w:val="24"/>
        </w:rPr>
        <w:t>三年。</w:t>
      </w:r>
    </w:p>
    <w:p w14:paraId="630391B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sz w:val="24"/>
        </w:rPr>
        <w:lastRenderedPageBreak/>
        <w:t>5.自动化操作系统，设备自动识别海拔高度。</w:t>
      </w:r>
    </w:p>
    <w:p w14:paraId="1AF9749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sz w:val="24"/>
        </w:rPr>
        <w:t>6.具有质控功能，具有培养环境质量保证检测功能：罐体连接检测、气体输入压力检测、罐体泄漏检测、罐盖密封性检测、催化剂活性检测。具有错误信息提示功能。</w:t>
      </w:r>
    </w:p>
    <w:p w14:paraId="6EFB9D2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sz w:val="24"/>
        </w:rPr>
        <w:t>7.培养罐：罐体与罐盖清晰透明；气密性好，抗震抗冲击，可耐温，有快速连接口。</w:t>
      </w:r>
    </w:p>
    <w:p w14:paraId="45C8AD2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sz w:val="24"/>
        </w:rPr>
        <w:t>8.系统具备故障检测及远程指导功能。</w:t>
      </w:r>
    </w:p>
    <w:p w14:paraId="3EA74579"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（五）细胞涂片离心机技术参数</w:t>
      </w:r>
    </w:p>
    <w:p w14:paraId="3221156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1.功能：所有体液细胞的涂片如脑脊液、穿刺液、痰液、支气管液、尿液、腹水、心包液、关节腔液、胸水、视网膜细胞、骨髓等。</w:t>
      </w:r>
    </w:p>
    <w:p w14:paraId="3A3F50E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2.配备电子门锁、配备多种转子可满足2000-3000转速需求。</w:t>
      </w:r>
    </w:p>
    <w:p w14:paraId="2A0FC679" w14:textId="77777777" w:rsidR="0010348C" w:rsidRPr="0010348C" w:rsidRDefault="0010348C" w:rsidP="0010348C">
      <w:pPr>
        <w:pStyle w:val="12"/>
        <w:spacing w:line="360" w:lineRule="auto"/>
        <w:rPr>
          <w:rFonts w:ascii="宋体" w:hAnsi="宋体" w:cs="仿宋" w:hint="eastAsia"/>
          <w:b/>
          <w:sz w:val="24"/>
          <w:szCs w:val="24"/>
        </w:rPr>
      </w:pPr>
      <w:r w:rsidRPr="0010348C">
        <w:rPr>
          <w:rFonts w:ascii="宋体" w:hAnsi="宋体" w:cs="仿宋" w:hint="eastAsia"/>
          <w:b/>
          <w:sz w:val="24"/>
          <w:szCs w:val="24"/>
        </w:rPr>
        <w:t>三、全自动生化分析仪技术参数</w:t>
      </w:r>
    </w:p>
    <w:p w14:paraId="3A3DE2E7"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（一）全自动生化分析仪（主机全自动生化分析仪）技术参数</w:t>
      </w:r>
    </w:p>
    <w:p w14:paraId="733694AD"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 比色法速度：≥4000测试/小时，电解质速度：≥900测试/小时，总速度：≥4900测试/小时</w:t>
      </w:r>
    </w:p>
    <w:p w14:paraId="0FF2AC1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1.2 钾钠氯电极寿命：≥5个月或3万个测试</w:t>
      </w:r>
    </w:p>
    <w:p w14:paraId="6BC15A0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1.3 波长个数：≥12个，340-800nm</w:t>
      </w:r>
    </w:p>
    <w:p w14:paraId="73A6BC2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1.4 常规样本进样区容量：≥400管</w:t>
      </w:r>
    </w:p>
    <w:p w14:paraId="5E8D955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1.5 进样方式：多轨道处理进样，可连续、随机进样</w:t>
      </w:r>
    </w:p>
    <w:p w14:paraId="78A7DF3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1.6 急诊样本位：≥20管</w:t>
      </w:r>
    </w:p>
    <w:p w14:paraId="5B2BE17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1.7 样品种类：血清、血浆、尿液或其他类型</w:t>
      </w:r>
    </w:p>
    <w:p w14:paraId="3D75054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1.8 样本容器：多种规格的原始管（真空采血管）或样品杯可混合使用</w:t>
      </w:r>
    </w:p>
    <w:p w14:paraId="4D57F1A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1.9 分析方法：终点法、两点法、动力学法、比浊法等多种方法</w:t>
      </w:r>
    </w:p>
    <w:p w14:paraId="41DE2F0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1.10 采用石英玻璃反应杯</w:t>
      </w:r>
    </w:p>
    <w:p w14:paraId="03BE91C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1.11 最小总反应体积：≤80uL</w:t>
      </w:r>
    </w:p>
    <w:p w14:paraId="40EA892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1.12 最小样品体积：≤1uL（0.1 uL步进）</w:t>
      </w:r>
    </w:p>
    <w:p w14:paraId="009BA60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1.13 R1和R2最小试剂体积均：≤10uL（1 uL步进）</w:t>
      </w:r>
    </w:p>
    <w:p w14:paraId="6E3D621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1.14 试剂仓：冷藏功能，R1+R2试剂位≥200个</w:t>
      </w:r>
    </w:p>
    <w:p w14:paraId="43E8D66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1.15 试剂通道全开放，具有配套原装试剂、校准品和质控品供用户选择</w:t>
      </w:r>
    </w:p>
    <w:p w14:paraId="567564A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lastRenderedPageBreak/>
        <w:t>1.16具备智能故障检测及在线帮助功能</w:t>
      </w:r>
    </w:p>
    <w:p w14:paraId="70A3994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1.17 全自动生化分析仪配套设备：</w:t>
      </w:r>
    </w:p>
    <w:p w14:paraId="4F3C62F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1.17.1 主机一套（包括：工作站及打印设备）</w:t>
      </w:r>
    </w:p>
    <w:p w14:paraId="5AAD17F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1.17.2 UPS电源1台（≥10KVA）</w:t>
      </w:r>
    </w:p>
    <w:p w14:paraId="3D7D12B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1.17.3 纯水机1台（制水量≥150L/h）</w:t>
      </w:r>
    </w:p>
    <w:p w14:paraId="02446C0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1.17.4 图文工作站4台：≥i5处理器、≥24英寸显示器、≥16G内存、≥512G固态硬盘。</w:t>
      </w:r>
    </w:p>
    <w:p w14:paraId="15F0DEB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1.17.5 台式脱帽离心机2台：速度≥4000r/min、满足4*30*2-5ml</w:t>
      </w:r>
    </w:p>
    <w:p w14:paraId="549D300E"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（二）全自动生化分析仪配套前处理（全自动真空采血管备管机）技术参数</w:t>
      </w:r>
    </w:p>
    <w:p w14:paraId="2D49798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 每两个采血工位放置一台智能真空采血管备管机，贴好标签的空试管分别收集在两侧的试管周转盒中。</w:t>
      </w:r>
    </w:p>
    <w:p w14:paraId="76C908B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2.2 落地式安装，底部带万向轮和固定式支撑脚，可调整水平度，无需额外配置承载设备的台面。</w:t>
      </w:r>
    </w:p>
    <w:p w14:paraId="19601CF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▲2.3 单台机器最大处理速度要求≥1200管/小时。</w:t>
      </w:r>
    </w:p>
    <w:p w14:paraId="1742EF8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2.4支持的采血管规格符合以下条件：支持：13*100、13*75、16*100规格的采血管，支持符合的尿液采集管及特殊应用类采血管。</w:t>
      </w:r>
    </w:p>
    <w:p w14:paraId="7DEC5E7D"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2.5 采血管装载容量要求≥500支/机；采用滑道式试管存储方式，滑道数量要求≥10个；每个滑道可装载要求≥50支标本。</w:t>
      </w:r>
    </w:p>
    <w:p w14:paraId="6FF1EE0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2.6 机器具备透明观察窗，观察窗长宽≥270*250mm，可直观观察采血管储存情况。</w:t>
      </w:r>
    </w:p>
    <w:p w14:paraId="2F46405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2.7 两个扩展通道投入口高度距离地面高度要求≥1100 mm。</w:t>
      </w:r>
    </w:p>
    <w:p w14:paraId="351E23F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2.8 全自动真空采血管备管机配套设备：</w:t>
      </w:r>
    </w:p>
    <w:p w14:paraId="6055971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2.8.1 主机三套（包括：设备配套软件）</w:t>
      </w:r>
    </w:p>
    <w:p w14:paraId="4E920C3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2.8.2 图文工作站6台：≥i5处理器、≥24英寸显示器、≥16G内存、≥512G固态硬盘。鼠标和键盘6套</w:t>
      </w:r>
    </w:p>
    <w:p w14:paraId="53EBA96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2.8.3 标签纸：15卷</w:t>
      </w:r>
    </w:p>
    <w:p w14:paraId="12CE547F"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（三）全自动生化分析仪配套软件（标准化智慧实验室管理系统）技术参数</w:t>
      </w:r>
    </w:p>
    <w:p w14:paraId="108C469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标准化智慧实验室管理系统包含：文件管理、电子记录、认可迎检、内部审核、管理评审、认可申请6个模块，每个模块技术参数如下</w:t>
      </w:r>
    </w:p>
    <w:p w14:paraId="707C8FAD"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lastRenderedPageBreak/>
        <w:t>3.1 文件管理：包括外部文件和内部文件。外部文件包括检验科专业相关的最新法律法规、标准指南、专家共识。内部文件包含：质量手册、程序文件、采集手册、安全手册、信息手册、作业指导书、管理制度等；所有文件能按管理类或技术类从编写、审核、批准、修订、改版、废止、归档，全流程符合ISO 15189:2022条款中“8.3.2 文件控制”的要求；所有电子文件都能显示唯一性标识、文件控制记录，能自动生成文件控制清单；具有文件评审功能，包含评审计划、评审分工、评审会议、评审报告；可为每一份文件设定学习的人员，并自动记录和汇总形成文件学习记录。</w:t>
      </w:r>
    </w:p>
    <w:p w14:paraId="75A0DFF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3.2 电子记录：所有会议记录、内审记录、评审记录、培训记录、外来人员进出实验室记录等均通过扫描二维码生成记录；按ISO 15189:2022要求提供岗位工作日志，可按需对工作日志相关事件进行统计分析；具有投诉的处理、不符合项报告和纠正措施的流程式记录。</w:t>
      </w:r>
    </w:p>
    <w:p w14:paraId="37BD44AD"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3.3 认可迎检：提供ISO15189：2022新版认可准则对应的标准解读、专家现场评审方法和迎检要点，以及实验室各亚专业的认可要求和迎检思路；具有任务分配和条款自查功能；支持各种证据性文件上传保存，与文件管理模块、电子记录模块、内部审核模块交互，提升内审和现场评审质量和效率。</w:t>
      </w:r>
    </w:p>
    <w:p w14:paraId="7300660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3.4 内部审核：按照CNAS-GL011-2025《实验室和检验机构内部审核指南》要求，从内审策划到完成内审报告，各个环节按照指南要求固化内审流程，预置相关表单和内审核查表，其中内审核查首次会议和末次会议支持扫码签到，可一键导出内部审核全流程的表单记录；与认可迎检系统交互，条款自查数据和支撑材料可以直接提交至内审系统，作为内审的直接证据；系统可自动汇总内审中产生的不符合项，形成不符合项报告表和不符合项分布表，并与电子记录系统交互，可通过链接快捷启动不符合项整改流程、监控纠正措施实施进度和完成情况、系统自动生成不符合项报告和纠正措施记录表。</w:t>
      </w:r>
    </w:p>
    <w:p w14:paraId="7156274D"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3.5 管理评审：按照CNAS-GL012-2025《实验室和检验机构管理评审指南》要求，从管理评审策划到完成管理评审报告，按照指南要求内置管理评审流程，预置管理评审相关表单，包括但不限于:管理评审计划、管理评审</w:t>
      </w:r>
      <w:r w:rsidRPr="0010348C">
        <w:rPr>
          <w:rFonts w:ascii="宋体" w:hAnsi="宋体" w:cs="宋体" w:hint="eastAsia"/>
          <w:sz w:val="24"/>
        </w:rPr>
        <w:lastRenderedPageBreak/>
        <w:t>输入报告、管理评审活动、管理评审输出项记录、管理评审报告;关联电子记录系统，针对评审输出内容进行持续改进管理，完成评审输出项的闭环管理。</w:t>
      </w:r>
    </w:p>
    <w:p w14:paraId="112EA764"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3.6 认可申请：针对ISO 15189认可申请，建立项目标准数据库、各类仪器设备标准数据库、试剂耗材标准数据库等，通过基础数据库筛选及与其他模块数据的交互，可以自动生成认可能力范围一览表、量值溯源一览表、仪器设备一览表、试剂耗材一览表、实验室人员一览表等实验室认可需要提交的数据资料，便于实验室进行数据管理和认可申请；提供认可申请材料模板和真实的范例数据，用于填写认可申请材料。</w:t>
      </w:r>
    </w:p>
    <w:p w14:paraId="45D868E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3.7提供软件升级服务。</w:t>
      </w:r>
    </w:p>
    <w:p w14:paraId="1A3CCA32" w14:textId="77777777" w:rsidR="0010348C" w:rsidRPr="0010348C" w:rsidRDefault="0010348C" w:rsidP="0010348C">
      <w:pPr>
        <w:pStyle w:val="12"/>
        <w:spacing w:line="360" w:lineRule="auto"/>
        <w:rPr>
          <w:rFonts w:ascii="宋体" w:hAnsi="宋体" w:cs="仿宋" w:hint="eastAsia"/>
          <w:b/>
          <w:sz w:val="24"/>
          <w:szCs w:val="24"/>
        </w:rPr>
      </w:pPr>
      <w:r w:rsidRPr="0010348C">
        <w:rPr>
          <w:rFonts w:ascii="宋体" w:hAnsi="宋体" w:cs="仿宋" w:hint="eastAsia"/>
          <w:b/>
          <w:sz w:val="24"/>
          <w:szCs w:val="24"/>
        </w:rPr>
        <w:t>四、全自动免疫分析系统平台技术参数</w:t>
      </w:r>
    </w:p>
    <w:p w14:paraId="2925B210"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（一）全自动免疫分析仪技术参数</w:t>
      </w:r>
    </w:p>
    <w:p w14:paraId="262CD7BF"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1.全自动免疫分析仪主机（全自动化学发光免疫分析仪）技术参数</w:t>
      </w:r>
    </w:p>
    <w:p w14:paraId="215D7C40"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1.1.1检测项目：检测项目≥130种，可用于传染病、甲功系列、内分泌、CCP、</w:t>
      </w:r>
    </w:p>
    <w:p w14:paraId="1A747021"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激素系列、心肌标志物、肿瘤标志物、代谢及药物浓度等检测项目、检测项目齐全。</w:t>
      </w:r>
    </w:p>
    <w:p w14:paraId="7FFE6366"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1.1.2 使用非酶参与的直接化学发光检测技术。</w:t>
      </w:r>
    </w:p>
    <w:p w14:paraId="5D382FD9"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1.1.3 单模块测试速度≥800测试/小时，未来具有设备拓展功能可与同品牌生化/</w:t>
      </w:r>
    </w:p>
    <w:p w14:paraId="4F9071F8"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免疫连接实现生化免疫一体机，免疫联机及流水线功能等。</w:t>
      </w:r>
    </w:p>
    <w:p w14:paraId="737124A3"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1.1.4样本位：≥300个，测试过程中可连续装载、替换，急诊优先，具有自动重测功能。</w:t>
      </w:r>
    </w:p>
    <w:p w14:paraId="5697707B"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1.1.5 试剂仓具有冷藏功能，温度范围2°C-12°C。</w:t>
      </w:r>
    </w:p>
    <w:p w14:paraId="0AC314D9"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1.1.6 单模块单试剂盘试剂位≥45个。</w:t>
      </w:r>
    </w:p>
    <w:p w14:paraId="79038D77"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1.1.7 使用一次性TIP加样，样本针携带污染率≤0.1ppm。</w:t>
      </w:r>
    </w:p>
    <w:p w14:paraId="1856F6C2"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1.1.8具备自动液面探测、碰撞探测、随量跟踪功能、堵针检测、气泡检测、空吸检测功能。</w:t>
      </w:r>
    </w:p>
    <w:p w14:paraId="5B4532F0"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1.1.9 单机可实现在线储存定标品功能，提供原厂校准品。</w:t>
      </w:r>
    </w:p>
    <w:p w14:paraId="08BFFF73"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lastRenderedPageBreak/>
        <w:t>▲1.1.10 投标产品配套试剂中，常规内分泌、传染病项目参加2025年国家卫生健康委临床检验中心和陕西省临检中心两次室间质评，具备独立分组，提供相关证明文件。</w:t>
      </w:r>
    </w:p>
    <w:p w14:paraId="48B7A59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▲1.1.11 需满足2023年体外诊断试剂省际联盟集中带量采购A组中选企业（HCG、性激素六项、传染病、C肽、胰岛素试剂类）及2024年体外诊断试剂省际联盟集中带量采购A组中选企业（肿瘤标志物及甲状腺试剂类）。提供相关证明文件。</w:t>
      </w:r>
    </w:p>
    <w:p w14:paraId="485837E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1.1.12 配置： </w:t>
      </w:r>
    </w:p>
    <w:p w14:paraId="7B6616B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1.1.12.1 打印机（1台）：激光黑白打印机。</w:t>
      </w:r>
    </w:p>
    <w:p w14:paraId="1681B33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1.1.12.2 图文工作站（1台）：≥i5处理器、≥24英寸显示器、≥16G内存、≥512G固态硬盘。</w:t>
      </w:r>
    </w:p>
    <w:p w14:paraId="08C3EA1E"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t>1.1.12.3 不间断电源容量≥2kVA。</w:t>
      </w:r>
    </w:p>
    <w:p w14:paraId="5EF944C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1.1.12.4 离心机（1台）：立式脱帽离心机、4000r/min、满足4*30*2-5ml</w:t>
      </w:r>
    </w:p>
    <w:p w14:paraId="1BD09C3A"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2.全自动免疫分析仪配套前处理（全自动真空采血管分拣核收系统）技术参数</w:t>
      </w:r>
    </w:p>
    <w:p w14:paraId="2D06224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1.2.1</w:t>
      </w:r>
      <w:r w:rsidRPr="0010348C">
        <w:rPr>
          <w:rFonts w:ascii="宋体" w:hAnsi="宋体" w:cs="宋体"/>
          <w:sz w:val="24"/>
        </w:rPr>
        <w:t xml:space="preserve"> 处理效率：满足医院日常标本量，</w:t>
      </w:r>
      <w:r w:rsidRPr="0010348C">
        <w:rPr>
          <w:rFonts w:ascii="宋体" w:hAnsi="宋体" w:cs="宋体" w:hint="eastAsia"/>
          <w:sz w:val="24"/>
        </w:rPr>
        <w:t>采用一个分拣通道和一个扫描器即可实现要求≥3000支/小时的分拣速度</w:t>
      </w:r>
      <w:r w:rsidRPr="0010348C">
        <w:rPr>
          <w:rFonts w:ascii="宋体" w:hAnsi="宋体" w:cs="宋体"/>
          <w:sz w:val="24"/>
        </w:rPr>
        <w:t>。</w:t>
      </w:r>
    </w:p>
    <w:p w14:paraId="5F5EDDE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1.2.2</w:t>
      </w:r>
      <w:r w:rsidRPr="0010348C">
        <w:rPr>
          <w:rFonts w:ascii="宋体" w:hAnsi="宋体" w:cs="宋体"/>
          <w:sz w:val="24"/>
        </w:rPr>
        <w:t xml:space="preserve"> </w:t>
      </w:r>
      <w:r w:rsidRPr="0010348C">
        <w:rPr>
          <w:rFonts w:ascii="宋体" w:hAnsi="宋体" w:cs="宋体" w:hint="eastAsia"/>
          <w:sz w:val="24"/>
        </w:rPr>
        <w:t>分拣类别</w:t>
      </w:r>
      <w:r w:rsidRPr="0010348C">
        <w:rPr>
          <w:rFonts w:ascii="宋体" w:hAnsi="宋体" w:cs="宋体"/>
          <w:sz w:val="24"/>
        </w:rPr>
        <w:t>：</w:t>
      </w:r>
      <w:r w:rsidRPr="0010348C">
        <w:rPr>
          <w:rFonts w:ascii="宋体" w:hAnsi="宋体" w:cs="宋体" w:hint="eastAsia"/>
          <w:sz w:val="24"/>
        </w:rPr>
        <w:t>分拣类别要求≥15个类别；设备采用一体式设计，非模块化设计。</w:t>
      </w:r>
    </w:p>
    <w:p w14:paraId="5572EEE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1.2.3</w:t>
      </w:r>
      <w:r w:rsidRPr="0010348C">
        <w:rPr>
          <w:rFonts w:ascii="宋体" w:hAnsi="宋体" w:cs="宋体"/>
          <w:sz w:val="24"/>
        </w:rPr>
        <w:t xml:space="preserve"> </w:t>
      </w:r>
      <w:r w:rsidRPr="0010348C">
        <w:rPr>
          <w:rFonts w:ascii="宋体" w:hAnsi="宋体" w:cs="宋体" w:hint="eastAsia"/>
          <w:sz w:val="24"/>
        </w:rPr>
        <w:t>待拣仓容量要求≥1000支、拣出仓容量要求≥200支。</w:t>
      </w:r>
    </w:p>
    <w:p w14:paraId="35432E6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1.2.4 </w:t>
      </w:r>
      <w:r w:rsidRPr="0010348C">
        <w:rPr>
          <w:rFonts w:ascii="宋体" w:hAnsi="宋体" w:cs="宋体"/>
          <w:sz w:val="24"/>
        </w:rPr>
        <w:t>兼容规格：</w:t>
      </w:r>
      <w:r w:rsidRPr="0010348C">
        <w:rPr>
          <w:rFonts w:ascii="宋体" w:hAnsi="宋体" w:cs="宋体" w:hint="eastAsia"/>
          <w:sz w:val="24"/>
        </w:rPr>
        <w:t>试管类型要求封闭试管，要求支持：13*75mm、13*100mm、16*100mm（内螺纹管帽）</w:t>
      </w:r>
      <w:r w:rsidRPr="0010348C">
        <w:rPr>
          <w:rFonts w:ascii="宋体" w:hAnsi="宋体" w:cs="宋体"/>
          <w:sz w:val="24"/>
        </w:rPr>
        <w:t>。</w:t>
      </w:r>
    </w:p>
    <w:p w14:paraId="6D578772"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1.2.5</w:t>
      </w:r>
      <w:r w:rsidRPr="0010348C">
        <w:rPr>
          <w:rFonts w:ascii="宋体" w:hAnsi="宋体" w:cs="宋体"/>
          <w:sz w:val="24"/>
        </w:rPr>
        <w:t xml:space="preserve"> </w:t>
      </w:r>
      <w:r w:rsidRPr="0010348C">
        <w:rPr>
          <w:rFonts w:ascii="宋体" w:hAnsi="宋体" w:cs="宋体" w:hint="eastAsia"/>
          <w:sz w:val="24"/>
        </w:rPr>
        <w:t>拣出仓抽屉要求采用L型开放式把手式设计，可套叠摆放。</w:t>
      </w:r>
    </w:p>
    <w:p w14:paraId="51F4077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1.2.6支持不停机取走分拣抽屉的功能，且每个分拣抽屉上方具备独立的缓冲层。</w:t>
      </w:r>
    </w:p>
    <w:p w14:paraId="19CE4A9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1.2.7具备接尘托盘，分拣过程中灰尘、纸屑落入接尘托盘，接尘托盘抽屉式设计</w:t>
      </w:r>
      <w:r w:rsidRPr="0010348C">
        <w:rPr>
          <w:rFonts w:ascii="宋体" w:hAnsi="宋体" w:cs="宋体"/>
          <w:sz w:val="24"/>
        </w:rPr>
        <w:t>。</w:t>
      </w:r>
    </w:p>
    <w:p w14:paraId="1A10B38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1.2.8</w:t>
      </w:r>
      <w:r w:rsidRPr="0010348C">
        <w:rPr>
          <w:rFonts w:ascii="宋体" w:hAnsi="宋体" w:cs="宋体"/>
          <w:sz w:val="24"/>
        </w:rPr>
        <w:t xml:space="preserve"> 操作界面：中文可视化界面，支持权限管理。</w:t>
      </w:r>
    </w:p>
    <w:p w14:paraId="0DC47473" w14:textId="77777777" w:rsidR="0010348C" w:rsidRPr="0010348C" w:rsidRDefault="0010348C" w:rsidP="0010348C">
      <w:pPr>
        <w:pStyle w:val="12"/>
        <w:spacing w:line="360" w:lineRule="auto"/>
        <w:rPr>
          <w:rFonts w:ascii="宋体" w:hAnsi="宋体" w:cs="仿宋" w:hint="eastAsia"/>
          <w:bCs/>
          <w:sz w:val="24"/>
          <w:szCs w:val="24"/>
        </w:rPr>
      </w:pPr>
      <w:r w:rsidRPr="0010348C">
        <w:rPr>
          <w:rFonts w:ascii="宋体" w:hAnsi="宋体" w:cs="仿宋" w:hint="eastAsia"/>
          <w:bCs/>
          <w:sz w:val="24"/>
          <w:szCs w:val="24"/>
        </w:rPr>
        <w:t>（二）全自动酶免分析仪技术参数</w:t>
      </w:r>
    </w:p>
    <w:p w14:paraId="44B425E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 功能用途：全自动完成</w:t>
      </w:r>
      <w:r w:rsidRPr="0010348C">
        <w:rPr>
          <w:rFonts w:ascii="宋体" w:hAnsi="宋体" w:cs="宋体"/>
          <w:sz w:val="24"/>
        </w:rPr>
        <w:t>ELISA实验，包括标本分配、试剂加注、</w:t>
      </w:r>
      <w:r w:rsidRPr="0010348C">
        <w:rPr>
          <w:rFonts w:ascii="宋体" w:hAnsi="宋体" w:cs="宋体" w:hint="eastAsia"/>
          <w:sz w:val="24"/>
        </w:rPr>
        <w:t>微孔</w:t>
      </w:r>
      <w:r w:rsidRPr="0010348C">
        <w:rPr>
          <w:rFonts w:ascii="宋体" w:hAnsi="宋体" w:cs="宋体" w:hint="eastAsia"/>
          <w:sz w:val="24"/>
        </w:rPr>
        <w:lastRenderedPageBreak/>
        <w:t>板</w:t>
      </w:r>
      <w:r w:rsidRPr="0010348C">
        <w:rPr>
          <w:rFonts w:ascii="宋体" w:hAnsi="宋体" w:cs="宋体"/>
          <w:sz w:val="24"/>
        </w:rPr>
        <w:t>振荡</w:t>
      </w:r>
    </w:p>
    <w:p w14:paraId="4E1F361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及</w:t>
      </w:r>
      <w:r w:rsidRPr="0010348C">
        <w:rPr>
          <w:rFonts w:ascii="宋体" w:hAnsi="宋体" w:cs="宋体"/>
          <w:sz w:val="24"/>
        </w:rPr>
        <w:t>孵育、洗板、</w:t>
      </w:r>
      <w:r w:rsidRPr="0010348C">
        <w:rPr>
          <w:rFonts w:ascii="宋体" w:hAnsi="宋体" w:cs="宋体" w:hint="eastAsia"/>
          <w:sz w:val="24"/>
        </w:rPr>
        <w:t>直至</w:t>
      </w:r>
      <w:r w:rsidRPr="0010348C">
        <w:rPr>
          <w:rFonts w:ascii="宋体" w:hAnsi="宋体" w:cs="宋体"/>
          <w:sz w:val="24"/>
        </w:rPr>
        <w:t>判读</w:t>
      </w:r>
      <w:r w:rsidRPr="0010348C">
        <w:rPr>
          <w:rFonts w:ascii="宋体" w:hAnsi="宋体" w:cs="宋体" w:hint="eastAsia"/>
          <w:sz w:val="24"/>
        </w:rPr>
        <w:t>出结果全过程试验</w:t>
      </w:r>
      <w:r w:rsidRPr="0010348C">
        <w:rPr>
          <w:rFonts w:ascii="宋体" w:hAnsi="宋体" w:cs="宋体"/>
          <w:sz w:val="24"/>
        </w:rPr>
        <w:t>。</w:t>
      </w:r>
    </w:p>
    <w:p w14:paraId="1E6AA6B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2.2 设备结构：≥</w:t>
      </w:r>
      <w:r w:rsidRPr="0010348C">
        <w:rPr>
          <w:rFonts w:ascii="宋体" w:hAnsi="宋体" w:cs="宋体"/>
          <w:sz w:val="24"/>
        </w:rPr>
        <w:t>2</w:t>
      </w:r>
      <w:r w:rsidRPr="0010348C">
        <w:rPr>
          <w:rFonts w:ascii="宋体" w:hAnsi="宋体" w:cs="宋体" w:hint="eastAsia"/>
          <w:sz w:val="24"/>
        </w:rPr>
        <w:t>个机械臂，</w:t>
      </w:r>
      <w:r w:rsidRPr="0010348C">
        <w:rPr>
          <w:rFonts w:ascii="宋体" w:hAnsi="宋体" w:cs="宋体"/>
          <w:sz w:val="24"/>
        </w:rPr>
        <w:t>1</w:t>
      </w:r>
      <w:r w:rsidRPr="0010348C">
        <w:rPr>
          <w:rFonts w:ascii="宋体" w:hAnsi="宋体" w:cs="宋体" w:hint="eastAsia"/>
          <w:sz w:val="24"/>
        </w:rPr>
        <w:t>个加样针机械臂，</w:t>
      </w:r>
      <w:r w:rsidRPr="0010348C">
        <w:rPr>
          <w:rFonts w:ascii="宋体" w:hAnsi="宋体" w:cs="宋体"/>
          <w:sz w:val="24"/>
        </w:rPr>
        <w:t>1</w:t>
      </w:r>
      <w:r w:rsidRPr="0010348C">
        <w:rPr>
          <w:rFonts w:ascii="宋体" w:hAnsi="宋体" w:cs="宋体" w:hint="eastAsia"/>
          <w:sz w:val="24"/>
        </w:rPr>
        <w:t>个抓板机械臂。</w:t>
      </w:r>
    </w:p>
    <w:p w14:paraId="7C89665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2.3 工作模式：可连续进样、连续进板、随到随做。具备微板连续插入功能，有空位时无需等所有试验结束即可上机新项目。</w:t>
      </w:r>
    </w:p>
    <w:p w14:paraId="3E28A8A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2.4 加样模块：≥</w:t>
      </w:r>
      <w:r w:rsidRPr="0010348C">
        <w:rPr>
          <w:rFonts w:ascii="宋体" w:hAnsi="宋体" w:cs="宋体"/>
          <w:sz w:val="24"/>
        </w:rPr>
        <w:t>4</w:t>
      </w:r>
      <w:r w:rsidRPr="0010348C">
        <w:rPr>
          <w:rFonts w:ascii="宋体" w:hAnsi="宋体" w:cs="宋体" w:hint="eastAsia"/>
          <w:sz w:val="24"/>
        </w:rPr>
        <w:t>个加样通道，使用透明的一次性吸头。</w:t>
      </w:r>
    </w:p>
    <w:p w14:paraId="38DA97E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2.5 加样精度：</w:t>
      </w:r>
    </w:p>
    <w:p w14:paraId="3501A00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加样量50μl       精度（CV）≤2%      准确度  ±3%</w:t>
      </w:r>
    </w:p>
    <w:p w14:paraId="1A66029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加样量100μl      精度（CV）≤1%      准确度  ±2%</w:t>
      </w:r>
    </w:p>
    <w:p w14:paraId="567E3BF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2.6 孵育模块：采用平铺式孵育结构，从加样到孵育无需移板，≥</w:t>
      </w:r>
      <w:r w:rsidRPr="0010348C">
        <w:rPr>
          <w:rFonts w:ascii="宋体" w:hAnsi="宋体" w:cs="宋体"/>
          <w:sz w:val="24"/>
        </w:rPr>
        <w:t>12</w:t>
      </w:r>
      <w:r w:rsidRPr="0010348C">
        <w:rPr>
          <w:rFonts w:ascii="宋体" w:hAnsi="宋体" w:cs="宋体" w:hint="eastAsia"/>
          <w:sz w:val="24"/>
        </w:rPr>
        <w:t>个孵育板位，每个板位均可独立振荡和独立控温孵育，可自定义每个板位功能，控温范围室温至</w:t>
      </w:r>
      <w:r w:rsidRPr="0010348C">
        <w:rPr>
          <w:rFonts w:ascii="宋体" w:hAnsi="宋体" w:cs="宋体"/>
          <w:sz w:val="24"/>
        </w:rPr>
        <w:t>60</w:t>
      </w:r>
      <w:r w:rsidRPr="0010348C">
        <w:rPr>
          <w:rFonts w:ascii="宋体" w:hAnsi="宋体" w:cs="宋体" w:hint="eastAsia"/>
          <w:sz w:val="24"/>
        </w:rPr>
        <w:t>℃。</w:t>
      </w:r>
    </w:p>
    <w:p w14:paraId="43CF35C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2.7 洗板模块：独立洗板机，不与其他模块串联。每个洗板头需≥</w:t>
      </w:r>
      <w:r w:rsidRPr="0010348C">
        <w:rPr>
          <w:rFonts w:ascii="宋体" w:hAnsi="宋体" w:cs="宋体"/>
          <w:sz w:val="24"/>
        </w:rPr>
        <w:t>32</w:t>
      </w:r>
      <w:r w:rsidRPr="0010348C">
        <w:rPr>
          <w:rFonts w:ascii="宋体" w:hAnsi="宋体" w:cs="宋体" w:hint="eastAsia"/>
          <w:sz w:val="24"/>
        </w:rPr>
        <w:t>通道，另具备≥</w:t>
      </w:r>
      <w:r w:rsidRPr="0010348C">
        <w:rPr>
          <w:rFonts w:ascii="宋体" w:hAnsi="宋体" w:cs="宋体"/>
          <w:sz w:val="24"/>
        </w:rPr>
        <w:t>2</w:t>
      </w:r>
      <w:r w:rsidRPr="0010348C">
        <w:rPr>
          <w:rFonts w:ascii="宋体" w:hAnsi="宋体" w:cs="宋体" w:hint="eastAsia"/>
          <w:sz w:val="24"/>
        </w:rPr>
        <w:t>个清洗板位，洗液残留量≤</w:t>
      </w:r>
      <w:r w:rsidRPr="0010348C">
        <w:rPr>
          <w:rFonts w:ascii="宋体" w:hAnsi="宋体" w:cs="宋体"/>
          <w:sz w:val="24"/>
        </w:rPr>
        <w:t>1</w:t>
      </w:r>
      <w:r w:rsidRPr="0010348C">
        <w:rPr>
          <w:rFonts w:ascii="宋体" w:hAnsi="宋体" w:cs="宋体" w:hint="eastAsia"/>
          <w:sz w:val="24"/>
        </w:rPr>
        <w:t>μl</w:t>
      </w:r>
      <w:r w:rsidRPr="0010348C">
        <w:rPr>
          <w:rFonts w:ascii="宋体" w:hAnsi="宋体" w:cs="宋体"/>
          <w:sz w:val="24"/>
        </w:rPr>
        <w:t>/</w:t>
      </w:r>
      <w:r w:rsidRPr="0010348C">
        <w:rPr>
          <w:rFonts w:ascii="宋体" w:hAnsi="宋体" w:cs="宋体" w:hint="eastAsia"/>
          <w:sz w:val="24"/>
        </w:rPr>
        <w:t>孔。</w:t>
      </w:r>
    </w:p>
    <w:p w14:paraId="7F4F760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2.8 测量通道：≥8通道，支持单/双波长测量。</w:t>
      </w:r>
    </w:p>
    <w:p w14:paraId="266FB6BF"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2.9 样本位：采用轨道式装载，可与全部试剂位通用，支持不少于1</w:t>
      </w:r>
      <w:r w:rsidRPr="0010348C">
        <w:rPr>
          <w:rFonts w:ascii="宋体" w:hAnsi="宋体" w:cs="宋体"/>
          <w:sz w:val="24"/>
        </w:rPr>
        <w:t>-192</w:t>
      </w:r>
      <w:r w:rsidRPr="0010348C">
        <w:rPr>
          <w:rFonts w:ascii="宋体" w:hAnsi="宋体" w:cs="宋体" w:hint="eastAsia"/>
          <w:sz w:val="24"/>
        </w:rPr>
        <w:t>个样本装载量的自定义设置，可原始试管上机。</w:t>
      </w:r>
    </w:p>
    <w:p w14:paraId="26C28CE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2.10 试剂位：全部采用轨道式装载，可与样本位通用，支持不少于1</w:t>
      </w:r>
      <w:r w:rsidRPr="0010348C">
        <w:rPr>
          <w:rFonts w:ascii="宋体" w:hAnsi="宋体" w:cs="宋体"/>
          <w:sz w:val="24"/>
        </w:rPr>
        <w:t>-40</w:t>
      </w:r>
      <w:r w:rsidRPr="0010348C">
        <w:rPr>
          <w:rFonts w:ascii="宋体" w:hAnsi="宋体" w:cs="宋体" w:hint="eastAsia"/>
          <w:sz w:val="24"/>
        </w:rPr>
        <w:t>个试剂装载量的自定义设置。</w:t>
      </w:r>
    </w:p>
    <w:p w14:paraId="10A3AF98"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2.11 加样位：≥</w:t>
      </w:r>
      <w:r w:rsidRPr="0010348C">
        <w:rPr>
          <w:rFonts w:ascii="宋体" w:hAnsi="宋体" w:cs="宋体"/>
          <w:sz w:val="24"/>
        </w:rPr>
        <w:t>12</w:t>
      </w:r>
      <w:r w:rsidRPr="0010348C">
        <w:rPr>
          <w:rFonts w:ascii="宋体" w:hAnsi="宋体" w:cs="宋体" w:hint="eastAsia"/>
          <w:sz w:val="24"/>
        </w:rPr>
        <w:t>个微板加样位，可同时对至少</w:t>
      </w:r>
      <w:r w:rsidRPr="0010348C">
        <w:rPr>
          <w:rFonts w:ascii="宋体" w:hAnsi="宋体" w:cs="宋体"/>
          <w:sz w:val="24"/>
        </w:rPr>
        <w:t>12</w:t>
      </w:r>
      <w:r w:rsidRPr="0010348C">
        <w:rPr>
          <w:rFonts w:ascii="宋体" w:hAnsi="宋体" w:cs="宋体" w:hint="eastAsia"/>
          <w:sz w:val="24"/>
        </w:rPr>
        <w:t>块微板进行加样，每个加样位均集成加样、振荡、控温功能。</w:t>
      </w:r>
    </w:p>
    <w:p w14:paraId="7294068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2.12 仪器平台：平台上所有载架均采用抽拉式轨道装载，试验结束后可将整个载架放置于冷藏环境无需每个试剂单独取放。为实现装载能力最大化，平台上所有载架均可根据实验需求更改位置或者数量，只需微调软件即可实现功能互换。</w:t>
      </w:r>
    </w:p>
    <w:p w14:paraId="33CA43C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2.13 配置:</w:t>
      </w:r>
    </w:p>
    <w:p w14:paraId="71960246"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2.13.1 打印设备（1台）：激光黑白打印机</w:t>
      </w:r>
    </w:p>
    <w:p w14:paraId="22E23C5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2.13.2 图文工作站（1台）：≥i5处理器、≥24英寸显示器、≥16G内存、≥512G固态硬盘。</w:t>
      </w:r>
    </w:p>
    <w:p w14:paraId="5C322B86" w14:textId="77777777" w:rsidR="0010348C" w:rsidRPr="0010348C" w:rsidRDefault="0010348C" w:rsidP="0010348C">
      <w:pPr>
        <w:pStyle w:val="aa"/>
        <w:spacing w:line="360" w:lineRule="auto"/>
        <w:rPr>
          <w:rFonts w:ascii="宋体" w:hAnsi="宋体" w:cs="宋体"/>
          <w:sz w:val="24"/>
        </w:rPr>
      </w:pPr>
      <w:r w:rsidRPr="0010348C">
        <w:rPr>
          <w:rFonts w:ascii="宋体" w:hAnsi="宋体" w:cs="宋体" w:hint="eastAsia"/>
          <w:sz w:val="24"/>
        </w:rPr>
        <w:lastRenderedPageBreak/>
        <w:t>2.13.3 不间断电源容量≥2kVA。</w:t>
      </w:r>
    </w:p>
    <w:p w14:paraId="0BBCA3ED"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2.13.4 离心机（1台）：立式脱帽离心机、速度≥4000r/min、满足4*30*2-5ml</w:t>
      </w:r>
    </w:p>
    <w:p w14:paraId="5EE97251" w14:textId="77777777" w:rsidR="0010348C" w:rsidRPr="0010348C" w:rsidRDefault="0010348C" w:rsidP="0010348C">
      <w:pPr>
        <w:pStyle w:val="12"/>
        <w:spacing w:line="360" w:lineRule="auto"/>
        <w:rPr>
          <w:rFonts w:ascii="宋体" w:hAnsi="宋体" w:cs="仿宋" w:hint="eastAsia"/>
          <w:b/>
          <w:sz w:val="30"/>
          <w:szCs w:val="30"/>
        </w:rPr>
      </w:pPr>
      <w:r w:rsidRPr="0010348C">
        <w:rPr>
          <w:rFonts w:ascii="宋体" w:hAnsi="宋体" w:cs="仿宋" w:hint="eastAsia"/>
          <w:bCs/>
          <w:sz w:val="24"/>
          <w:szCs w:val="24"/>
        </w:rPr>
        <w:t>（三）全自动</w:t>
      </w:r>
      <w:r w:rsidRPr="0010348C">
        <w:rPr>
          <w:rFonts w:ascii="宋体" w:hAnsi="宋体" w:cs="仿宋"/>
          <w:bCs/>
          <w:sz w:val="24"/>
          <w:szCs w:val="24"/>
        </w:rPr>
        <w:t>血沉压积测试仪</w:t>
      </w:r>
      <w:r w:rsidRPr="0010348C">
        <w:rPr>
          <w:rFonts w:ascii="宋体" w:hAnsi="宋体" w:cs="仿宋" w:hint="eastAsia"/>
          <w:bCs/>
          <w:sz w:val="24"/>
          <w:szCs w:val="24"/>
        </w:rPr>
        <w:t>技术参数</w:t>
      </w:r>
    </w:p>
    <w:p w14:paraId="3CD3889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3.1 </w:t>
      </w:r>
      <w:r w:rsidRPr="0010348C">
        <w:rPr>
          <w:rFonts w:ascii="宋体" w:hAnsi="宋体" w:cs="宋体"/>
          <w:sz w:val="24"/>
        </w:rPr>
        <w:t>采用大屏幕显示触摸控制技术，所有检测通道及状态实时显示功能;</w:t>
      </w:r>
    </w:p>
    <w:p w14:paraId="1A2C93D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3.2 </w:t>
      </w:r>
      <w:r w:rsidRPr="0010348C">
        <w:rPr>
          <w:rFonts w:ascii="宋体" w:hAnsi="宋体" w:cs="宋体"/>
          <w:sz w:val="24"/>
        </w:rPr>
        <w:t>采用红外扫描</w:t>
      </w:r>
      <w:r w:rsidRPr="0010348C">
        <w:rPr>
          <w:rFonts w:ascii="宋体" w:hAnsi="宋体" w:cs="宋体" w:hint="eastAsia"/>
          <w:sz w:val="24"/>
        </w:rPr>
        <w:t>或</w:t>
      </w:r>
      <w:r w:rsidRPr="0010348C">
        <w:rPr>
          <w:rFonts w:ascii="宋体" w:hAnsi="宋体" w:cs="宋体"/>
          <w:sz w:val="24"/>
        </w:rPr>
        <w:t>光电</w:t>
      </w:r>
      <w:r w:rsidRPr="0010348C">
        <w:rPr>
          <w:rFonts w:ascii="宋体" w:hAnsi="宋体" w:cs="宋体" w:hint="eastAsia"/>
          <w:sz w:val="24"/>
        </w:rPr>
        <w:t>法进行检测</w:t>
      </w:r>
    </w:p>
    <w:p w14:paraId="3B2FE69C"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3.3 </w:t>
      </w:r>
      <w:r w:rsidRPr="0010348C">
        <w:rPr>
          <w:rFonts w:ascii="宋体" w:hAnsi="宋体" w:cs="宋体"/>
          <w:sz w:val="24"/>
        </w:rPr>
        <w:t>样品位(孔):</w:t>
      </w:r>
      <w:r w:rsidRPr="0010348C">
        <w:rPr>
          <w:rFonts w:ascii="宋体" w:hAnsi="宋体" w:cs="宋体" w:hint="eastAsia"/>
          <w:sz w:val="24"/>
        </w:rPr>
        <w:t>≥80孔</w:t>
      </w:r>
    </w:p>
    <w:p w14:paraId="37AECA2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3.4 </w:t>
      </w:r>
      <w:r w:rsidRPr="0010348C">
        <w:rPr>
          <w:rFonts w:ascii="宋体" w:hAnsi="宋体" w:cs="宋体"/>
          <w:sz w:val="24"/>
        </w:rPr>
        <w:t>血沉测试速度(Ts/h):</w:t>
      </w:r>
      <w:r w:rsidRPr="0010348C">
        <w:rPr>
          <w:rFonts w:ascii="宋体" w:hAnsi="宋体" w:cs="宋体" w:hint="eastAsia"/>
          <w:sz w:val="24"/>
        </w:rPr>
        <w:t>≥180</w:t>
      </w:r>
      <w:r w:rsidRPr="0010348C">
        <w:rPr>
          <w:rFonts w:ascii="宋体" w:hAnsi="宋体" w:cs="宋体"/>
          <w:sz w:val="24"/>
        </w:rPr>
        <w:t>Ts/h</w:t>
      </w:r>
    </w:p>
    <w:p w14:paraId="478E586B"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3.5 </w:t>
      </w:r>
      <w:r w:rsidRPr="0010348C">
        <w:rPr>
          <w:rFonts w:ascii="宋体" w:hAnsi="宋体" w:cs="宋体"/>
          <w:sz w:val="24"/>
        </w:rPr>
        <w:t>压积测试速度(Ts/h):</w:t>
      </w:r>
      <w:r w:rsidRPr="0010348C">
        <w:rPr>
          <w:rFonts w:ascii="宋体" w:hAnsi="宋体" w:cs="宋体" w:hint="eastAsia"/>
          <w:sz w:val="24"/>
        </w:rPr>
        <w:t>≥</w:t>
      </w:r>
      <w:r w:rsidRPr="0010348C">
        <w:rPr>
          <w:rFonts w:ascii="宋体" w:hAnsi="宋体" w:cs="宋体"/>
          <w:sz w:val="24"/>
        </w:rPr>
        <w:t>1</w:t>
      </w:r>
      <w:r w:rsidRPr="0010348C">
        <w:rPr>
          <w:rFonts w:ascii="宋体" w:hAnsi="宋体" w:cs="宋体" w:hint="eastAsia"/>
          <w:sz w:val="24"/>
        </w:rPr>
        <w:t>2</w:t>
      </w:r>
      <w:r w:rsidRPr="0010348C">
        <w:rPr>
          <w:rFonts w:ascii="宋体" w:hAnsi="宋体" w:cs="宋体"/>
          <w:sz w:val="24"/>
        </w:rPr>
        <w:t>000Ts/h</w:t>
      </w:r>
    </w:p>
    <w:p w14:paraId="3AE2CC53"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3.6 </w:t>
      </w:r>
      <w:r w:rsidRPr="0010348C">
        <w:rPr>
          <w:rFonts w:ascii="宋体" w:hAnsi="宋体" w:cs="宋体"/>
          <w:sz w:val="24"/>
        </w:rPr>
        <w:t>具有压积独立测量功能;</w:t>
      </w:r>
      <w:r w:rsidRPr="0010348C">
        <w:rPr>
          <w:rFonts w:ascii="宋体" w:hAnsi="宋体" w:cs="宋体" w:hint="eastAsia"/>
          <w:sz w:val="24"/>
        </w:rPr>
        <w:t>，支持血沉、压积联合检测。</w:t>
      </w:r>
    </w:p>
    <w:p w14:paraId="29C5629F"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3.7 </w:t>
      </w:r>
      <w:r w:rsidRPr="0010348C">
        <w:rPr>
          <w:rFonts w:ascii="宋体" w:hAnsi="宋体" w:cs="宋体"/>
          <w:sz w:val="24"/>
        </w:rPr>
        <w:t>具有红细胞沉降过程中的最大沉降速度Vm及发生时间Tm值检测功能;</w:t>
      </w:r>
    </w:p>
    <w:p w14:paraId="146538C5"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3.8 </w:t>
      </w:r>
      <w:r w:rsidRPr="0010348C">
        <w:rPr>
          <w:rFonts w:ascii="宋体" w:hAnsi="宋体" w:cs="宋体"/>
          <w:sz w:val="24"/>
        </w:rPr>
        <w:t>具有动态血沉曲线显示功能;</w:t>
      </w:r>
    </w:p>
    <w:p w14:paraId="0A3F8A3A"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3.9 </w:t>
      </w:r>
      <w:r w:rsidRPr="0010348C">
        <w:rPr>
          <w:rFonts w:ascii="宋体" w:hAnsi="宋体" w:cs="宋体"/>
          <w:sz w:val="24"/>
        </w:rPr>
        <w:t>具有自动换算血沉方程k值;</w:t>
      </w:r>
    </w:p>
    <w:p w14:paraId="42A69070"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3.10 </w:t>
      </w:r>
      <w:r w:rsidRPr="0010348C">
        <w:rPr>
          <w:rFonts w:ascii="宋体" w:hAnsi="宋体" w:cs="宋体"/>
          <w:sz w:val="24"/>
        </w:rPr>
        <w:t>具有可选择30min或60min</w:t>
      </w:r>
      <w:r w:rsidRPr="0010348C">
        <w:rPr>
          <w:rFonts w:ascii="宋体" w:hAnsi="宋体" w:cs="宋体" w:hint="eastAsia"/>
          <w:sz w:val="24"/>
        </w:rPr>
        <w:t>两种</w:t>
      </w:r>
      <w:r w:rsidRPr="0010348C">
        <w:rPr>
          <w:rFonts w:ascii="宋体" w:hAnsi="宋体" w:cs="宋体"/>
          <w:sz w:val="24"/>
        </w:rPr>
        <w:t>血沉独立测量</w:t>
      </w:r>
      <w:r w:rsidRPr="0010348C">
        <w:rPr>
          <w:rFonts w:ascii="宋体" w:hAnsi="宋体" w:cs="宋体" w:hint="eastAsia"/>
          <w:sz w:val="24"/>
        </w:rPr>
        <w:t>模式，可切换使用。</w:t>
      </w:r>
    </w:p>
    <w:p w14:paraId="0AFFE977"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3.11 </w:t>
      </w:r>
      <w:r w:rsidRPr="0010348C">
        <w:rPr>
          <w:rFonts w:ascii="宋体" w:hAnsi="宋体" w:cs="宋体"/>
          <w:sz w:val="24"/>
        </w:rPr>
        <w:t>具有单个或批量测试结果查询、打印功能;</w:t>
      </w:r>
    </w:p>
    <w:p w14:paraId="16AC265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3.12 </w:t>
      </w:r>
      <w:r w:rsidRPr="0010348C">
        <w:rPr>
          <w:rFonts w:ascii="宋体" w:hAnsi="宋体" w:cs="宋体"/>
          <w:sz w:val="24"/>
        </w:rPr>
        <w:t>显示结果温度设定换算功能:仪器具有选择环境温度补偿功能。</w:t>
      </w:r>
    </w:p>
    <w:p w14:paraId="6548971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3.13 </w:t>
      </w:r>
      <w:r w:rsidRPr="0010348C">
        <w:rPr>
          <w:rFonts w:ascii="宋体" w:hAnsi="宋体" w:cs="宋体"/>
          <w:sz w:val="24"/>
        </w:rPr>
        <w:t>测试结果存储</w:t>
      </w:r>
      <w:r w:rsidRPr="0010348C">
        <w:rPr>
          <w:rFonts w:ascii="宋体" w:hAnsi="宋体" w:cs="宋体" w:hint="eastAsia"/>
          <w:sz w:val="24"/>
        </w:rPr>
        <w:t>≥</w:t>
      </w:r>
      <w:r w:rsidRPr="0010348C">
        <w:rPr>
          <w:rFonts w:ascii="宋体" w:hAnsi="宋体" w:cs="宋体"/>
          <w:sz w:val="24"/>
        </w:rPr>
        <w:t>16G;</w:t>
      </w:r>
    </w:p>
    <w:p w14:paraId="2CD987B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3.14 </w:t>
      </w:r>
      <w:r w:rsidRPr="0010348C">
        <w:rPr>
          <w:rFonts w:ascii="宋体" w:hAnsi="宋体" w:cs="宋体"/>
          <w:sz w:val="24"/>
        </w:rPr>
        <w:t>具有液面跟踪扫描</w:t>
      </w:r>
      <w:r w:rsidRPr="0010348C">
        <w:rPr>
          <w:rFonts w:ascii="宋体" w:hAnsi="宋体" w:cs="宋体" w:hint="eastAsia"/>
          <w:sz w:val="24"/>
        </w:rPr>
        <w:t>、</w:t>
      </w:r>
      <w:r w:rsidRPr="0010348C">
        <w:rPr>
          <w:rFonts w:ascii="宋体" w:hAnsi="宋体" w:cs="宋体"/>
          <w:sz w:val="24"/>
        </w:rPr>
        <w:t>标本异常，自动识别提示功能;</w:t>
      </w:r>
    </w:p>
    <w:p w14:paraId="3037D444"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3.15 </w:t>
      </w:r>
      <w:r w:rsidRPr="0010348C">
        <w:rPr>
          <w:rFonts w:ascii="宋体" w:hAnsi="宋体" w:cs="宋体"/>
          <w:sz w:val="24"/>
        </w:rPr>
        <w:t>具有数据转输</w:t>
      </w:r>
      <w:r w:rsidRPr="0010348C">
        <w:rPr>
          <w:rFonts w:ascii="宋体" w:hAnsi="宋体" w:cs="宋体" w:hint="eastAsia"/>
          <w:sz w:val="24"/>
        </w:rPr>
        <w:t>、</w:t>
      </w:r>
      <w:r w:rsidRPr="0010348C">
        <w:rPr>
          <w:rFonts w:ascii="宋体" w:hAnsi="宋体" w:cs="宋体"/>
          <w:sz w:val="24"/>
        </w:rPr>
        <w:t>断电后数据保存功能;</w:t>
      </w:r>
    </w:p>
    <w:p w14:paraId="68D7004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 xml:space="preserve">3.16 配置：图文工作站、医用冷藏冰箱 </w:t>
      </w:r>
    </w:p>
    <w:p w14:paraId="1B3394BE"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3.16.1 图文工作站（1台）：≥i3处理器、≥24寸显示器、8G内存、256固态</w:t>
      </w:r>
    </w:p>
    <w:p w14:paraId="24DDFFC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硬盘。</w:t>
      </w:r>
    </w:p>
    <w:p w14:paraId="73AA95C9"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3.16.2 医用冷藏箱：箱内温度2-8℃、容积≥1000L、用于储存药品、试剂、生</w:t>
      </w:r>
    </w:p>
    <w:p w14:paraId="72414311" w14:textId="77777777" w:rsidR="0010348C" w:rsidRPr="0010348C" w:rsidRDefault="0010348C" w:rsidP="0010348C">
      <w:pPr>
        <w:pStyle w:val="aa"/>
        <w:spacing w:line="360" w:lineRule="auto"/>
        <w:rPr>
          <w:rFonts w:ascii="宋体" w:hAnsi="宋体" w:cs="宋体" w:hint="eastAsia"/>
          <w:sz w:val="24"/>
        </w:rPr>
      </w:pPr>
      <w:r w:rsidRPr="0010348C">
        <w:rPr>
          <w:rFonts w:ascii="宋体" w:hAnsi="宋体" w:cs="宋体" w:hint="eastAsia"/>
          <w:sz w:val="24"/>
        </w:rPr>
        <w:t>物制品等、安全门锁设计，防止随意开启。</w:t>
      </w:r>
    </w:p>
    <w:p w14:paraId="4CB6D78A" w14:textId="77777777" w:rsidR="0010348C" w:rsidRPr="0010348C" w:rsidRDefault="0010348C" w:rsidP="0010348C">
      <w:pPr>
        <w:pStyle w:val="2"/>
        <w:rPr>
          <w:rFonts w:ascii="宋体" w:eastAsia="宋体" w:hAnsi="宋体" w:hint="eastAsia"/>
        </w:rPr>
      </w:pPr>
      <w:bookmarkStart w:id="1" w:name="_Toc230768854"/>
      <w:r w:rsidRPr="0010348C">
        <w:rPr>
          <w:rFonts w:ascii="宋体" w:eastAsia="宋体" w:hAnsi="宋体" w:hint="eastAsia"/>
        </w:rPr>
        <w:t>三、商务要求</w:t>
      </w:r>
      <w:bookmarkEnd w:id="1"/>
    </w:p>
    <w:p w14:paraId="1D77A66C" w14:textId="77777777" w:rsidR="0010348C" w:rsidRPr="0010348C" w:rsidRDefault="0010348C" w:rsidP="0010348C">
      <w:pPr>
        <w:pStyle w:val="af1"/>
        <w:spacing w:after="0" w:line="360" w:lineRule="auto"/>
        <w:ind w:firstLineChars="200" w:firstLine="480"/>
        <w:rPr>
          <w:rFonts w:ascii="宋体" w:eastAsia="宋体" w:hAnsi="宋体" w:cs="宋体"/>
          <w:bCs/>
          <w:sz w:val="24"/>
        </w:rPr>
      </w:pPr>
      <w:r w:rsidRPr="0010348C">
        <w:rPr>
          <w:rFonts w:ascii="宋体" w:eastAsia="宋体" w:hAnsi="宋体" w:cs="宋体" w:hint="eastAsia"/>
          <w:bCs/>
          <w:sz w:val="24"/>
        </w:rPr>
        <w:t>1、付款条件：</w:t>
      </w:r>
    </w:p>
    <w:p w14:paraId="1238362F"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lastRenderedPageBreak/>
        <w:t>所有货物到达甲方指定地点，安装、调试完毕，正常运行无质量问题满一个月并验收合格后，接到甲方通知、乙方出具发票10个工作日内支付合同总价款的90％；满一年并且无任何质量问题后，收到发票10个工作日内支付4%货款；满两年并且无任何质量问题后，收到发票10个工作日内支付3%货款；满3年并且无任何质量问题后，收到发票10个工作日内支付3%货款。</w:t>
      </w:r>
    </w:p>
    <w:p w14:paraId="11835E5A"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2、交货时间及交付地点：</w:t>
      </w:r>
    </w:p>
    <w:p w14:paraId="77C75BCA" w14:textId="77777777" w:rsidR="0010348C" w:rsidRPr="0010348C" w:rsidRDefault="0010348C" w:rsidP="0010348C">
      <w:pPr>
        <w:pStyle w:val="af1"/>
        <w:spacing w:after="0" w:line="360" w:lineRule="auto"/>
        <w:ind w:firstLineChars="200" w:firstLine="480"/>
        <w:rPr>
          <w:rFonts w:ascii="宋体" w:eastAsia="宋体" w:hAnsi="宋体" w:cs="宋体"/>
          <w:bCs/>
          <w:sz w:val="24"/>
        </w:rPr>
      </w:pPr>
      <w:r w:rsidRPr="0010348C">
        <w:rPr>
          <w:rFonts w:ascii="宋体" w:eastAsia="宋体" w:hAnsi="宋体" w:cs="宋体" w:hint="eastAsia"/>
          <w:bCs/>
          <w:sz w:val="24"/>
        </w:rPr>
        <w:t>（1）交货期：</w:t>
      </w:r>
      <w:r w:rsidRPr="0010348C">
        <w:rPr>
          <w:rFonts w:ascii="宋体" w:eastAsia="宋体" w:hAnsi="宋体" w:cs="宋体"/>
          <w:bCs/>
          <w:sz w:val="24"/>
        </w:rPr>
        <w:t xml:space="preserve"> </w:t>
      </w:r>
    </w:p>
    <w:p w14:paraId="36193DF5" w14:textId="77777777" w:rsidR="0010348C" w:rsidRPr="0010348C" w:rsidRDefault="0010348C" w:rsidP="0010348C">
      <w:pPr>
        <w:pStyle w:val="af1"/>
        <w:spacing w:after="0" w:line="360" w:lineRule="auto"/>
        <w:ind w:firstLineChars="200" w:firstLine="480"/>
        <w:rPr>
          <w:rFonts w:ascii="宋体" w:eastAsia="宋体" w:hAnsi="宋体" w:cs="宋体"/>
          <w:bCs/>
          <w:sz w:val="24"/>
        </w:rPr>
      </w:pPr>
      <w:r w:rsidRPr="0010348C">
        <w:rPr>
          <w:rFonts w:ascii="宋体" w:eastAsia="宋体" w:hAnsi="宋体" w:cs="宋体" w:hint="eastAsia"/>
          <w:bCs/>
          <w:sz w:val="24"/>
        </w:rPr>
        <w:t>自合同签订之日起，乙方接到甲方通知后5个工作日完成货物的安装、调试并正常运行。进口产品20个工作日完成货物的安装、调试并正常运行。</w:t>
      </w:r>
    </w:p>
    <w:p w14:paraId="016AB74D" w14:textId="77777777" w:rsidR="0010348C" w:rsidRPr="0010348C" w:rsidRDefault="0010348C" w:rsidP="0010348C">
      <w:pPr>
        <w:pStyle w:val="af1"/>
        <w:spacing w:after="0" w:line="360" w:lineRule="auto"/>
        <w:ind w:firstLineChars="200" w:firstLine="480"/>
        <w:rPr>
          <w:rFonts w:ascii="宋体" w:eastAsia="宋体" w:hAnsi="宋体" w:cs="宋体"/>
          <w:bCs/>
          <w:sz w:val="24"/>
        </w:rPr>
      </w:pPr>
      <w:r w:rsidRPr="0010348C">
        <w:rPr>
          <w:rFonts w:ascii="宋体" w:eastAsia="宋体" w:hAnsi="宋体" w:cs="宋体" w:hint="eastAsia"/>
          <w:bCs/>
          <w:sz w:val="24"/>
        </w:rPr>
        <w:t>（2）交付地点：</w:t>
      </w:r>
      <w:r w:rsidRPr="0010348C">
        <w:rPr>
          <w:rFonts w:ascii="宋体" w:eastAsia="宋体" w:hAnsi="宋体" w:cs="宋体"/>
          <w:bCs/>
          <w:sz w:val="24"/>
        </w:rPr>
        <w:t xml:space="preserve"> </w:t>
      </w:r>
    </w:p>
    <w:p w14:paraId="7606A989" w14:textId="77777777" w:rsidR="0010348C" w:rsidRPr="0010348C" w:rsidRDefault="0010348C" w:rsidP="0010348C">
      <w:pPr>
        <w:pStyle w:val="af1"/>
        <w:spacing w:after="0" w:line="360" w:lineRule="auto"/>
        <w:ind w:firstLineChars="200" w:firstLine="480"/>
        <w:rPr>
          <w:rFonts w:ascii="宋体" w:eastAsia="宋体" w:hAnsi="宋体" w:cs="宋体"/>
          <w:bCs/>
          <w:sz w:val="24"/>
        </w:rPr>
      </w:pPr>
      <w:r w:rsidRPr="0010348C">
        <w:rPr>
          <w:rFonts w:ascii="宋体" w:eastAsia="宋体" w:hAnsi="宋体" w:cs="宋体" w:hint="eastAsia"/>
          <w:bCs/>
          <w:sz w:val="24"/>
        </w:rPr>
        <w:t>甲方指定地点。</w:t>
      </w:r>
    </w:p>
    <w:p w14:paraId="78A2DF2F" w14:textId="77777777" w:rsidR="0010348C" w:rsidRPr="0010348C" w:rsidRDefault="0010348C" w:rsidP="0010348C">
      <w:pPr>
        <w:pStyle w:val="af1"/>
        <w:spacing w:after="0" w:line="360" w:lineRule="auto"/>
        <w:ind w:firstLineChars="200" w:firstLine="480"/>
        <w:rPr>
          <w:rFonts w:ascii="宋体" w:eastAsia="宋体" w:hAnsi="宋体" w:cs="宋体"/>
          <w:bCs/>
          <w:sz w:val="24"/>
        </w:rPr>
      </w:pPr>
      <w:r w:rsidRPr="0010348C">
        <w:rPr>
          <w:rFonts w:ascii="宋体" w:eastAsia="宋体" w:hAnsi="宋体" w:cs="宋体" w:hint="eastAsia"/>
          <w:bCs/>
          <w:sz w:val="24"/>
        </w:rPr>
        <w:t>3、质保要求：</w:t>
      </w:r>
    </w:p>
    <w:p w14:paraId="1B59018B"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乙方所供货物必须执行下列条款：</w:t>
      </w:r>
    </w:p>
    <w:p w14:paraId="409CE187"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（一）保证技术指标先进、质量性能可靠、进货渠道正常，配置合理，全面满足招标文件要求。</w:t>
      </w:r>
    </w:p>
    <w:p w14:paraId="5D84BC14"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（二）符合国家有关规范要求，确保达到最佳运行状态。</w:t>
      </w:r>
    </w:p>
    <w:p w14:paraId="48302268"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（三）具有良好的外观，适合安装场所的使用。</w:t>
      </w:r>
    </w:p>
    <w:p w14:paraId="79A4D322"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（四）自安装、调试正常运行并验收合格之日起：</w:t>
      </w:r>
    </w:p>
    <w:p w14:paraId="4344BA02"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3.4.1、免费整机保修三年（含第三方设备），终身维护，免费保修期内，同一主要部件出现质量问题经过两次维修后仍无法正常使用，应更换同型号、同规格的产品，服务响应时间不超过2小时，解决问题不超过4小时，对超过4小时，问题较大短期内暂不能解决的，为不影响甲方正常工作，乙方在2日内免费提供备用产品，确保正常运行；</w:t>
      </w:r>
    </w:p>
    <w:p w14:paraId="3EA0C5E7"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3.4.2、30天内，如出现质量问题，可以选择换货或退货；30至60天内，如出现质量问题，可选择换货；换货的质保期重新计算；</w:t>
      </w:r>
    </w:p>
    <w:p w14:paraId="38D50D54" w14:textId="77777777" w:rsidR="0010348C" w:rsidRPr="0010348C" w:rsidRDefault="0010348C" w:rsidP="0010348C">
      <w:pPr>
        <w:pStyle w:val="af1"/>
        <w:spacing w:after="0" w:line="360" w:lineRule="auto"/>
        <w:ind w:firstLineChars="200" w:firstLine="480"/>
        <w:rPr>
          <w:rFonts w:ascii="宋体" w:eastAsia="宋体" w:hAnsi="宋体" w:cs="宋体"/>
          <w:bCs/>
          <w:sz w:val="24"/>
        </w:rPr>
      </w:pPr>
      <w:r w:rsidRPr="0010348C">
        <w:rPr>
          <w:rFonts w:ascii="宋体" w:eastAsia="宋体" w:hAnsi="宋体" w:cs="宋体" w:hint="eastAsia"/>
          <w:bCs/>
          <w:sz w:val="24"/>
        </w:rPr>
        <w:t>3.4.3、设备因产品质量或设计缺陷等问题，而发生的医疗差错或医疗纠纷而引起的经济责任及法律责任由乙方及生产厂商负全部责任，如果造成损失，由乙方赔偿甲方的全部损失包括直接损失和间接损失（包括但不限于给第三人（病人）造成人身损害、财产损失、医院支出的相关费用以及诉讼费及律师费等），</w:t>
      </w:r>
      <w:r w:rsidRPr="0010348C">
        <w:rPr>
          <w:rFonts w:ascii="宋体" w:eastAsia="宋体" w:hAnsi="宋体" w:cs="宋体" w:hint="eastAsia"/>
          <w:bCs/>
          <w:sz w:val="24"/>
        </w:rPr>
        <w:lastRenderedPageBreak/>
        <w:t>如在质保期内，甲方可以从未付款项中直接扣除；</w:t>
      </w:r>
    </w:p>
    <w:p w14:paraId="606D2442" w14:textId="77777777" w:rsidR="0010348C" w:rsidRPr="0010348C" w:rsidRDefault="0010348C" w:rsidP="0010348C">
      <w:pPr>
        <w:pStyle w:val="af1"/>
        <w:spacing w:after="0" w:line="360" w:lineRule="auto"/>
        <w:ind w:firstLineChars="200" w:firstLine="480"/>
        <w:rPr>
          <w:rFonts w:ascii="宋体" w:eastAsia="宋体" w:hAnsi="宋体" w:cs="宋体"/>
          <w:bCs/>
          <w:sz w:val="24"/>
        </w:rPr>
      </w:pPr>
      <w:r w:rsidRPr="0010348C">
        <w:rPr>
          <w:rFonts w:ascii="宋体" w:eastAsia="宋体" w:hAnsi="宋体" w:cs="宋体" w:hint="eastAsia"/>
          <w:bCs/>
          <w:sz w:val="24"/>
        </w:rPr>
        <w:t>3.4.4、系统软件免费升级年限与设备质保期一致(3年)。</w:t>
      </w:r>
    </w:p>
    <w:p w14:paraId="5614E286"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3.4.5、生化分析仪等检验科设备一批中除</w:t>
      </w:r>
      <w:r w:rsidRPr="0010348C">
        <w:rPr>
          <w:rFonts w:ascii="宋体" w:eastAsia="宋体" w:hAnsi="宋体" w:cs="宋体" w:hint="eastAsia"/>
          <w:sz w:val="24"/>
        </w:rPr>
        <w:t>荧光正置显微镜、多功能微生物培养系统、细胞涂片离心机、全自动生化分析仪配套软件（标准化智慧实验室管理系统）外，均需要lis链接。</w:t>
      </w:r>
    </w:p>
    <w:p w14:paraId="7A4313C1"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（五）合同履行过程中及施工中所有的安全责任事故及造成的经济损失由乙方承担。</w:t>
      </w:r>
    </w:p>
    <w:p w14:paraId="7A59D496" w14:textId="77777777" w:rsidR="0010348C" w:rsidRPr="0010348C" w:rsidRDefault="0010348C" w:rsidP="0010348C">
      <w:pPr>
        <w:pStyle w:val="af1"/>
        <w:spacing w:after="0" w:line="360" w:lineRule="auto"/>
        <w:ind w:firstLineChars="200" w:firstLine="480"/>
        <w:rPr>
          <w:rFonts w:ascii="宋体" w:eastAsia="宋体" w:hAnsi="宋体" w:cs="仿宋"/>
          <w:bCs/>
          <w:sz w:val="24"/>
        </w:rPr>
      </w:pPr>
      <w:r w:rsidRPr="0010348C">
        <w:rPr>
          <w:rFonts w:ascii="宋体" w:eastAsia="宋体" w:hAnsi="宋体" w:cs="宋体" w:hint="eastAsia"/>
          <w:bCs/>
          <w:sz w:val="24"/>
        </w:rPr>
        <w:t>4、质量验收标准和规范：</w:t>
      </w:r>
      <w:r w:rsidRPr="0010348C">
        <w:rPr>
          <w:rFonts w:ascii="宋体" w:eastAsia="宋体" w:hAnsi="宋体" w:cs="仿宋" w:hint="eastAsia"/>
          <w:bCs/>
          <w:sz w:val="24"/>
        </w:rPr>
        <w:t xml:space="preserve"> </w:t>
      </w:r>
    </w:p>
    <w:p w14:paraId="633D79E6"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（一）货物到达甲方指定地点后，甲方根据合同要求，进行外观验收，确认产地、规格、型号和数量。验收不作为产品质量合格的最终依据，不免除乙方的责任。</w:t>
      </w:r>
    </w:p>
    <w:p w14:paraId="487A4CB0"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（二）货物安装、调试并正常运行后，由乙方进行自检，合格后，准备验收文件，并书面通知甲方。</w:t>
      </w:r>
    </w:p>
    <w:p w14:paraId="16DCD781"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（三）甲方确认乙方的自检内容后，组织乙方（必要时请有关专家）进行系统验收，验收合格后，填写政府采购项目验收单（一式叁份）作为对货物的最终认可。</w:t>
      </w:r>
    </w:p>
    <w:p w14:paraId="314421FE"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（四）乙方在验收中应向甲方提交货物安装，调试过程中的所有资料包括本合同第九条（一）项要求的资料，以便甲方日后管理和维护。</w:t>
      </w:r>
    </w:p>
    <w:p w14:paraId="1DD8D49C"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（五）验收依据：</w:t>
      </w:r>
    </w:p>
    <w:p w14:paraId="22611527"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4.5.1、招标文件、投标文件、澄清表（函）；</w:t>
      </w:r>
    </w:p>
    <w:p w14:paraId="017540A7"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4.5.2、本合同及附件文本；</w:t>
      </w:r>
    </w:p>
    <w:p w14:paraId="0A3E0516"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4.5.3、国家相应的标准、规范。</w:t>
      </w:r>
    </w:p>
    <w:p w14:paraId="0855DC3D" w14:textId="77777777" w:rsidR="0010348C" w:rsidRPr="0010348C" w:rsidRDefault="0010348C" w:rsidP="0010348C">
      <w:pPr>
        <w:pStyle w:val="af1"/>
        <w:spacing w:after="0" w:line="360" w:lineRule="auto"/>
        <w:ind w:firstLineChars="200" w:firstLine="480"/>
        <w:rPr>
          <w:rFonts w:ascii="宋体" w:eastAsia="宋体" w:hAnsi="宋体" w:cs="宋体"/>
          <w:bCs/>
          <w:sz w:val="24"/>
        </w:rPr>
      </w:pPr>
      <w:r w:rsidRPr="0010348C">
        <w:rPr>
          <w:rFonts w:ascii="宋体" w:eastAsia="宋体" w:hAnsi="宋体" w:cs="宋体" w:hint="eastAsia"/>
          <w:bCs/>
          <w:sz w:val="24"/>
        </w:rPr>
        <w:t>5、违约责任</w:t>
      </w:r>
    </w:p>
    <w:p w14:paraId="60EEB476"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（一）按《民法典》、《政府采购法》中的相关条款执行。</w:t>
      </w:r>
    </w:p>
    <w:p w14:paraId="408E0013"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（二）未按合同要求提供货物或质量不能满足招标技术要求，乙方必须无条件更换，提高技术，完善质量，否则，甲方有权解除合同，并且乙方向甲方支付合同款的10%。</w:t>
      </w:r>
    </w:p>
    <w:p w14:paraId="22A5BBF6"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（三）交货期每超过一天，扣除乙方合同总价款的1‰，作为违约金；如果乙方延期交货30天以上，则甲方有权解除本合同，并且乙方向甲方支付合同金</w:t>
      </w:r>
      <w:r w:rsidRPr="0010348C">
        <w:rPr>
          <w:rFonts w:ascii="宋体" w:eastAsia="宋体" w:hAnsi="宋体" w:cs="宋体" w:hint="eastAsia"/>
          <w:bCs/>
          <w:sz w:val="24"/>
        </w:rPr>
        <w:lastRenderedPageBreak/>
        <w:t>额10%的违约金。</w:t>
      </w:r>
    </w:p>
    <w:p w14:paraId="4B2884CA"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（四）乙方违反合同其他约定需赔偿甲方总价款的5%作为违约金。</w:t>
      </w:r>
    </w:p>
    <w:p w14:paraId="6C7B0A9A" w14:textId="77777777" w:rsidR="0010348C" w:rsidRPr="0010348C" w:rsidRDefault="0010348C" w:rsidP="0010348C">
      <w:pPr>
        <w:pStyle w:val="af1"/>
        <w:spacing w:after="0" w:line="360" w:lineRule="auto"/>
        <w:ind w:firstLineChars="200" w:firstLine="480"/>
        <w:rPr>
          <w:rFonts w:ascii="宋体" w:eastAsia="宋体" w:hAnsi="宋体" w:cs="宋体" w:hint="eastAsia"/>
          <w:bCs/>
          <w:sz w:val="24"/>
        </w:rPr>
      </w:pPr>
      <w:r w:rsidRPr="0010348C">
        <w:rPr>
          <w:rFonts w:ascii="宋体" w:eastAsia="宋体" w:hAnsi="宋体" w:cs="宋体" w:hint="eastAsia"/>
          <w:bCs/>
          <w:sz w:val="24"/>
        </w:rPr>
        <w:t>（五）逾期交货的，每超过一天，扣除乙方合同总价款的1‰作为违约金。如30天内未安装调试完成货物，甲方可以解除合同，并要求乙方支付总价款的10%的违约金。</w:t>
      </w:r>
    </w:p>
    <w:p w14:paraId="4752B240" w14:textId="77777777" w:rsidR="0010348C" w:rsidRPr="0010348C" w:rsidRDefault="0010348C" w:rsidP="0010348C">
      <w:pPr>
        <w:pStyle w:val="af1"/>
        <w:spacing w:after="0" w:line="360" w:lineRule="auto"/>
        <w:ind w:firstLineChars="200" w:firstLine="480"/>
        <w:rPr>
          <w:rFonts w:ascii="宋体" w:eastAsia="宋体" w:hAnsi="宋体" w:cs="仿宋"/>
          <w:bCs/>
          <w:sz w:val="24"/>
        </w:rPr>
      </w:pPr>
      <w:r w:rsidRPr="0010348C">
        <w:rPr>
          <w:rFonts w:ascii="宋体" w:eastAsia="宋体" w:hAnsi="宋体" w:cs="仿宋" w:hint="eastAsia"/>
          <w:bCs/>
          <w:sz w:val="24"/>
        </w:rPr>
        <w:t>6、</w:t>
      </w:r>
      <w:r w:rsidRPr="0010348C">
        <w:rPr>
          <w:rFonts w:ascii="宋体" w:eastAsia="宋体" w:hAnsi="宋体" w:cs="仿宋"/>
          <w:bCs/>
          <w:sz w:val="24"/>
        </w:rPr>
        <w:t>对本国产品给予价格评审优惠</w:t>
      </w:r>
    </w:p>
    <w:p w14:paraId="4A8D2847" w14:textId="77777777" w:rsidR="0010348C" w:rsidRPr="0010348C" w:rsidRDefault="0010348C" w:rsidP="0010348C">
      <w:pPr>
        <w:pStyle w:val="af1"/>
        <w:spacing w:after="0" w:line="360" w:lineRule="auto"/>
        <w:ind w:firstLineChars="200" w:firstLine="480"/>
        <w:rPr>
          <w:rFonts w:ascii="宋体" w:eastAsia="宋体" w:hAnsi="宋体" w:cs="仿宋"/>
          <w:bCs/>
          <w:sz w:val="24"/>
        </w:rPr>
      </w:pPr>
      <w:r w:rsidRPr="0010348C">
        <w:rPr>
          <w:rFonts w:ascii="宋体" w:eastAsia="宋体" w:hAnsi="宋体" w:cs="仿宋"/>
          <w:bCs/>
          <w:sz w:val="24"/>
        </w:rPr>
        <w:t>投标人提供的均为本国产品或当采购项目或者采购包中含有多种产品，投标人为该采购项目或者采购包提供的符合本国产品标准的产品成本之和占该投标人提供的全部产品成本之和的比例达到80%以上时，根据《国务院办公厅关于在政府采购中实施本国产品标准及相关政策的通知 》（国办发〔2025〕34号），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244EFC45" w14:textId="77777777" w:rsidR="0010348C" w:rsidRPr="0010348C" w:rsidRDefault="0010348C" w:rsidP="0010348C">
      <w:pPr>
        <w:pStyle w:val="a0"/>
        <w:rPr>
          <w:rFonts w:hAnsi="宋体" w:hint="eastAsia"/>
        </w:rPr>
      </w:pPr>
    </w:p>
    <w:p w14:paraId="053099B1" w14:textId="77777777" w:rsidR="00C108DF" w:rsidRPr="0010348C" w:rsidRDefault="00C108DF">
      <w:pPr>
        <w:rPr>
          <w:rFonts w:ascii="宋体" w:hAnsi="宋体" w:hint="eastAsia"/>
        </w:rPr>
      </w:pPr>
    </w:p>
    <w:sectPr w:rsidR="00C108DF" w:rsidRPr="0010348C" w:rsidSect="00C108D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48C"/>
    <w:rsid w:val="0010348C"/>
    <w:rsid w:val="008D629D"/>
    <w:rsid w:val="00A70F88"/>
    <w:rsid w:val="00C108DF"/>
    <w:rsid w:val="00D152EB"/>
    <w:rsid w:val="00FF21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2881E"/>
  <w15:chartTrackingRefBased/>
  <w15:docId w15:val="{EB5C4CAA-11D8-48B5-94DD-67FB01CF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10348C"/>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10348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9"/>
    <w:unhideWhenUsed/>
    <w:qFormat/>
    <w:rsid w:val="0010348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0348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0348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0348C"/>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10348C"/>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0348C"/>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0348C"/>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0348C"/>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10348C"/>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uiPriority w:val="9"/>
    <w:semiHidden/>
    <w:rsid w:val="0010348C"/>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uiPriority w:val="9"/>
    <w:semiHidden/>
    <w:rsid w:val="0010348C"/>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semiHidden/>
    <w:rsid w:val="0010348C"/>
    <w:rPr>
      <w:rFonts w:cstheme="majorBidi"/>
      <w:color w:val="0F4761" w:themeColor="accent1" w:themeShade="BF"/>
      <w:sz w:val="28"/>
      <w:szCs w:val="28"/>
    </w:rPr>
  </w:style>
  <w:style w:type="character" w:customStyle="1" w:styleId="50">
    <w:name w:val="标题 5 字符"/>
    <w:basedOn w:val="a1"/>
    <w:link w:val="5"/>
    <w:uiPriority w:val="9"/>
    <w:semiHidden/>
    <w:rsid w:val="0010348C"/>
    <w:rPr>
      <w:rFonts w:cstheme="majorBidi"/>
      <w:color w:val="0F4761" w:themeColor="accent1" w:themeShade="BF"/>
      <w:sz w:val="24"/>
      <w:szCs w:val="24"/>
    </w:rPr>
  </w:style>
  <w:style w:type="character" w:customStyle="1" w:styleId="60">
    <w:name w:val="标题 6 字符"/>
    <w:basedOn w:val="a1"/>
    <w:link w:val="6"/>
    <w:uiPriority w:val="9"/>
    <w:semiHidden/>
    <w:rsid w:val="0010348C"/>
    <w:rPr>
      <w:rFonts w:cstheme="majorBidi"/>
      <w:b/>
      <w:bCs/>
      <w:color w:val="0F4761" w:themeColor="accent1" w:themeShade="BF"/>
    </w:rPr>
  </w:style>
  <w:style w:type="character" w:customStyle="1" w:styleId="70">
    <w:name w:val="标题 7 字符"/>
    <w:basedOn w:val="a1"/>
    <w:link w:val="7"/>
    <w:uiPriority w:val="9"/>
    <w:semiHidden/>
    <w:rsid w:val="0010348C"/>
    <w:rPr>
      <w:rFonts w:cstheme="majorBidi"/>
      <w:b/>
      <w:bCs/>
      <w:color w:val="595959" w:themeColor="text1" w:themeTint="A6"/>
    </w:rPr>
  </w:style>
  <w:style w:type="character" w:customStyle="1" w:styleId="80">
    <w:name w:val="标题 8 字符"/>
    <w:basedOn w:val="a1"/>
    <w:link w:val="8"/>
    <w:uiPriority w:val="9"/>
    <w:semiHidden/>
    <w:rsid w:val="0010348C"/>
    <w:rPr>
      <w:rFonts w:cstheme="majorBidi"/>
      <w:color w:val="595959" w:themeColor="text1" w:themeTint="A6"/>
    </w:rPr>
  </w:style>
  <w:style w:type="character" w:customStyle="1" w:styleId="90">
    <w:name w:val="标题 9 字符"/>
    <w:basedOn w:val="a1"/>
    <w:link w:val="9"/>
    <w:uiPriority w:val="9"/>
    <w:semiHidden/>
    <w:rsid w:val="0010348C"/>
    <w:rPr>
      <w:rFonts w:eastAsiaTheme="majorEastAsia" w:cstheme="majorBidi"/>
      <w:color w:val="595959" w:themeColor="text1" w:themeTint="A6"/>
    </w:rPr>
  </w:style>
  <w:style w:type="paragraph" w:styleId="a4">
    <w:name w:val="Title"/>
    <w:basedOn w:val="a"/>
    <w:next w:val="a"/>
    <w:link w:val="a5"/>
    <w:uiPriority w:val="10"/>
    <w:qFormat/>
    <w:rsid w:val="0010348C"/>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10348C"/>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10348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10348C"/>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10348C"/>
    <w:pPr>
      <w:spacing w:before="160" w:after="160"/>
      <w:jc w:val="center"/>
    </w:pPr>
    <w:rPr>
      <w:i/>
      <w:iCs/>
      <w:color w:val="404040" w:themeColor="text1" w:themeTint="BF"/>
    </w:rPr>
  </w:style>
  <w:style w:type="character" w:customStyle="1" w:styleId="a9">
    <w:name w:val="引用 字符"/>
    <w:basedOn w:val="a1"/>
    <w:link w:val="a8"/>
    <w:uiPriority w:val="29"/>
    <w:rsid w:val="0010348C"/>
    <w:rPr>
      <w:i/>
      <w:iCs/>
      <w:color w:val="404040" w:themeColor="text1" w:themeTint="BF"/>
    </w:rPr>
  </w:style>
  <w:style w:type="paragraph" w:styleId="aa">
    <w:name w:val="List Paragraph"/>
    <w:basedOn w:val="a"/>
    <w:link w:val="ab"/>
    <w:uiPriority w:val="34"/>
    <w:qFormat/>
    <w:rsid w:val="0010348C"/>
    <w:pPr>
      <w:ind w:left="720"/>
      <w:contextualSpacing/>
    </w:pPr>
  </w:style>
  <w:style w:type="character" w:styleId="ac">
    <w:name w:val="Intense Emphasis"/>
    <w:basedOn w:val="a1"/>
    <w:uiPriority w:val="21"/>
    <w:qFormat/>
    <w:rsid w:val="0010348C"/>
    <w:rPr>
      <w:i/>
      <w:iCs/>
      <w:color w:val="0F4761" w:themeColor="accent1" w:themeShade="BF"/>
    </w:rPr>
  </w:style>
  <w:style w:type="paragraph" w:styleId="ad">
    <w:name w:val="Intense Quote"/>
    <w:basedOn w:val="a"/>
    <w:next w:val="a"/>
    <w:link w:val="ae"/>
    <w:uiPriority w:val="30"/>
    <w:qFormat/>
    <w:rsid w:val="001034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e">
    <w:name w:val="明显引用 字符"/>
    <w:basedOn w:val="a1"/>
    <w:link w:val="ad"/>
    <w:uiPriority w:val="30"/>
    <w:rsid w:val="0010348C"/>
    <w:rPr>
      <w:i/>
      <w:iCs/>
      <w:color w:val="0F4761" w:themeColor="accent1" w:themeShade="BF"/>
    </w:rPr>
  </w:style>
  <w:style w:type="character" w:styleId="af">
    <w:name w:val="Intense Reference"/>
    <w:basedOn w:val="a1"/>
    <w:uiPriority w:val="32"/>
    <w:qFormat/>
    <w:rsid w:val="0010348C"/>
    <w:rPr>
      <w:b/>
      <w:bCs/>
      <w:smallCaps/>
      <w:color w:val="0F4761" w:themeColor="accent1" w:themeShade="BF"/>
      <w:spacing w:val="5"/>
    </w:rPr>
  </w:style>
  <w:style w:type="character" w:customStyle="1" w:styleId="ab">
    <w:name w:val="列表段落 字符"/>
    <w:link w:val="aa"/>
    <w:uiPriority w:val="34"/>
    <w:qFormat/>
    <w:rsid w:val="0010348C"/>
  </w:style>
  <w:style w:type="character" w:customStyle="1" w:styleId="af0">
    <w:name w:val="正文文本首行缩进 字符"/>
    <w:link w:val="af1"/>
    <w:rsid w:val="0010348C"/>
    <w:rPr>
      <w:szCs w:val="24"/>
    </w:rPr>
  </w:style>
  <w:style w:type="character" w:customStyle="1" w:styleId="11">
    <w:name w:val="正文缩进 字符1"/>
    <w:link w:val="a0"/>
    <w:qFormat/>
    <w:rsid w:val="0010348C"/>
    <w:rPr>
      <w:rFonts w:ascii="宋体" w:eastAsia="宋体" w:hAnsi="Courier New"/>
    </w:rPr>
  </w:style>
  <w:style w:type="character" w:customStyle="1" w:styleId="21">
    <w:name w:val="标题 2 字符1"/>
    <w:uiPriority w:val="99"/>
    <w:qFormat/>
    <w:rsid w:val="0010348C"/>
    <w:rPr>
      <w:rFonts w:ascii="宋体" w:hAnsi="宋体"/>
      <w:b/>
      <w:kern w:val="2"/>
      <w:sz w:val="28"/>
    </w:rPr>
  </w:style>
  <w:style w:type="paragraph" w:customStyle="1" w:styleId="12">
    <w:name w:val="页脚1"/>
    <w:basedOn w:val="a"/>
    <w:qFormat/>
    <w:rsid w:val="0010348C"/>
    <w:pPr>
      <w:tabs>
        <w:tab w:val="center" w:pos="4153"/>
        <w:tab w:val="right" w:pos="8306"/>
      </w:tabs>
      <w:snapToGrid w:val="0"/>
      <w:jc w:val="left"/>
    </w:pPr>
    <w:rPr>
      <w:sz w:val="18"/>
      <w:szCs w:val="20"/>
    </w:rPr>
  </w:style>
  <w:style w:type="paragraph" w:styleId="af2">
    <w:name w:val="Body Text"/>
    <w:basedOn w:val="a"/>
    <w:link w:val="af3"/>
    <w:uiPriority w:val="99"/>
    <w:semiHidden/>
    <w:unhideWhenUsed/>
    <w:rsid w:val="0010348C"/>
    <w:pPr>
      <w:spacing w:after="120"/>
    </w:pPr>
  </w:style>
  <w:style w:type="character" w:customStyle="1" w:styleId="af3">
    <w:name w:val="正文文本 字符"/>
    <w:basedOn w:val="a1"/>
    <w:link w:val="af2"/>
    <w:uiPriority w:val="99"/>
    <w:semiHidden/>
    <w:rsid w:val="0010348C"/>
    <w:rPr>
      <w:rFonts w:ascii="Times New Roman" w:eastAsia="宋体" w:hAnsi="Times New Roman" w:cs="Times New Roman"/>
      <w:szCs w:val="24"/>
    </w:rPr>
  </w:style>
  <w:style w:type="paragraph" w:styleId="af1">
    <w:name w:val="Body Text First Indent"/>
    <w:basedOn w:val="af2"/>
    <w:link w:val="af0"/>
    <w:rsid w:val="0010348C"/>
    <w:pPr>
      <w:ind w:firstLineChars="100" w:firstLine="420"/>
    </w:pPr>
    <w:rPr>
      <w:rFonts w:asciiTheme="minorHAnsi" w:eastAsiaTheme="minorEastAsia" w:hAnsiTheme="minorHAnsi" w:cstheme="minorBidi"/>
    </w:rPr>
  </w:style>
  <w:style w:type="character" w:customStyle="1" w:styleId="13">
    <w:name w:val="正文文本首行缩进 字符1"/>
    <w:basedOn w:val="af3"/>
    <w:uiPriority w:val="99"/>
    <w:semiHidden/>
    <w:rsid w:val="0010348C"/>
    <w:rPr>
      <w:rFonts w:ascii="Times New Roman" w:eastAsia="宋体" w:hAnsi="Times New Roman" w:cs="Times New Roman"/>
      <w:szCs w:val="24"/>
    </w:rPr>
  </w:style>
  <w:style w:type="paragraph" w:styleId="a0">
    <w:name w:val="Normal Indent"/>
    <w:basedOn w:val="a"/>
    <w:link w:val="11"/>
    <w:qFormat/>
    <w:rsid w:val="0010348C"/>
    <w:pPr>
      <w:ind w:firstLine="420"/>
    </w:pPr>
    <w:rPr>
      <w:rFonts w:ascii="宋体" w:hAnsi="Courier New"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5576</Words>
  <Characters>5912</Characters>
  <Application>Microsoft Office Word</Application>
  <DocSecurity>0</DocSecurity>
  <Lines>347</Lines>
  <Paragraphs>358</Paragraphs>
  <ScaleCrop>false</ScaleCrop>
  <Company/>
  <LinksUpToDate>false</LinksUpToDate>
  <CharactersWithSpaces>11130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2026-06-09T09:05:00Z</dcterms:created>
  <dcterms:modified xsi:type="dcterms:W3CDTF">2026-06-09T09:06:00Z</dcterms:modified>
</cp:coreProperties>
</file>