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0054E">
      <w:pPr>
        <w:pStyle w:val="20"/>
        <w:jc w:val="center"/>
        <w:outlineLvl w:val="2"/>
        <w:rPr>
          <w:rFonts w:hint="eastAsia" w:ascii="仿宋_GB2312" w:hAnsi="仿宋_GB2312" w:eastAsia="仿宋_GB2312" w:cs="仿宋_GB2312"/>
          <w:b/>
          <w:color w:val="auto"/>
          <w:sz w:val="32"/>
          <w:szCs w:val="21"/>
          <w:lang w:eastAsia="zh-CN"/>
        </w:rPr>
      </w:pPr>
      <w:r>
        <w:rPr>
          <w:rFonts w:hint="eastAsia" w:ascii="仿宋_GB2312" w:hAnsi="仿宋_GB2312" w:eastAsia="仿宋_GB2312" w:cs="仿宋_GB2312"/>
          <w:b/>
          <w:color w:val="auto"/>
          <w:sz w:val="32"/>
          <w:szCs w:val="21"/>
          <w:lang w:eastAsia="zh-CN"/>
        </w:rPr>
        <w:t>西安市市政设施管理中心</w:t>
      </w:r>
    </w:p>
    <w:p w14:paraId="591CD850">
      <w:pPr>
        <w:spacing w:line="360" w:lineRule="auto"/>
        <w:ind w:right="-239" w:rightChars="-114"/>
        <w:jc w:val="center"/>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b/>
          <w:color w:val="auto"/>
          <w:sz w:val="32"/>
          <w:szCs w:val="32"/>
          <w:lang w:val="en-US" w:eastAsia="zh-CN"/>
        </w:rPr>
        <w:t>六村堡立交、秦汉大道灞河桥梁超载提示门架设置项目</w:t>
      </w:r>
    </w:p>
    <w:p w14:paraId="4031F97A">
      <w:pPr>
        <w:spacing w:line="360" w:lineRule="auto"/>
        <w:ind w:right="-239" w:rightChars="-114"/>
        <w:jc w:val="center"/>
        <w:rPr>
          <w:rFonts w:hint="default"/>
          <w:color w:val="auto"/>
          <w:sz w:val="18"/>
          <w:szCs w:val="21"/>
          <w:lang w:val="en-US" w:eastAsia="zh-CN"/>
        </w:rPr>
      </w:pPr>
      <w:r>
        <w:rPr>
          <w:rFonts w:hint="eastAsia" w:ascii="仿宋_GB2312" w:hAnsi="仿宋_GB2312" w:eastAsia="仿宋_GB2312" w:cs="仿宋_GB2312"/>
          <w:b/>
          <w:color w:val="auto"/>
          <w:sz w:val="32"/>
          <w:szCs w:val="32"/>
          <w:lang w:val="en-US" w:eastAsia="zh-CN"/>
        </w:rPr>
        <w:t>合同（参考文本）</w:t>
      </w:r>
    </w:p>
    <w:p w14:paraId="784C1597">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 xml:space="preserve"> 合同编号：</w:t>
      </w:r>
      <w:r>
        <w:rPr>
          <w:rFonts w:hint="eastAsia" w:ascii="仿宋" w:hAnsi="仿宋" w:eastAsia="仿宋" w:cs="仿宋"/>
          <w:color w:val="auto"/>
          <w:kern w:val="0"/>
          <w:sz w:val="21"/>
          <w:szCs w:val="21"/>
          <w:lang w:val="en-US" w:eastAsia="zh-CN" w:bidi="ar"/>
        </w:rPr>
        <w:t>________________________</w:t>
      </w:r>
    </w:p>
    <w:p w14:paraId="1124EE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甲方（采购人）</w:t>
      </w:r>
      <w:r>
        <w:rPr>
          <w:rFonts w:hint="eastAsia" w:ascii="仿宋" w:hAnsi="仿宋" w:eastAsia="仿宋" w:cs="仿宋"/>
          <w:color w:val="auto"/>
          <w:kern w:val="0"/>
          <w:sz w:val="21"/>
          <w:szCs w:val="21"/>
          <w:lang w:val="en-US" w:eastAsia="zh-CN" w:bidi="ar"/>
        </w:rPr>
        <w:t>：西安市市政设施管理中心</w:t>
      </w:r>
    </w:p>
    <w:p w14:paraId="7E3C9DD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统一社会信用代码：________________________</w:t>
      </w:r>
    </w:p>
    <w:p w14:paraId="2FB7EC8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地址：________________________</w:t>
      </w:r>
    </w:p>
    <w:p w14:paraId="6538C0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联系人：__________ 联系电话：__________</w:t>
      </w:r>
    </w:p>
    <w:p w14:paraId="1D997C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Style w:val="13"/>
          <w:rFonts w:hint="eastAsia" w:ascii="仿宋" w:hAnsi="仿宋" w:eastAsia="仿宋" w:cs="仿宋"/>
          <w:color w:val="auto"/>
          <w:kern w:val="0"/>
          <w:sz w:val="21"/>
          <w:szCs w:val="21"/>
          <w:lang w:val="en-US" w:eastAsia="zh-CN" w:bidi="ar"/>
        </w:rPr>
      </w:pPr>
    </w:p>
    <w:p w14:paraId="573B55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Style w:val="13"/>
          <w:rFonts w:hint="eastAsia" w:ascii="仿宋" w:hAnsi="仿宋" w:eastAsia="仿宋" w:cs="仿宋"/>
          <w:color w:val="auto"/>
          <w:kern w:val="0"/>
          <w:sz w:val="21"/>
          <w:szCs w:val="21"/>
          <w:lang w:val="en-US" w:eastAsia="zh-CN" w:bidi="ar"/>
        </w:rPr>
        <w:t>乙方（成交供应商）</w:t>
      </w:r>
      <w:r>
        <w:rPr>
          <w:rFonts w:hint="eastAsia" w:ascii="仿宋" w:hAnsi="仿宋" w:eastAsia="仿宋" w:cs="仿宋"/>
          <w:color w:val="auto"/>
          <w:kern w:val="0"/>
          <w:sz w:val="21"/>
          <w:szCs w:val="21"/>
          <w:lang w:val="en-US" w:eastAsia="zh-CN" w:bidi="ar"/>
        </w:rPr>
        <w:t>：________________________</w:t>
      </w:r>
    </w:p>
    <w:p w14:paraId="18DD3FD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统一社会信用代码：________________________</w:t>
      </w:r>
    </w:p>
    <w:p w14:paraId="116FA3C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地址：________________________</w:t>
      </w:r>
    </w:p>
    <w:p w14:paraId="1B5277E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联系人：__________ 联系电话：__________</w:t>
      </w:r>
    </w:p>
    <w:p w14:paraId="6AF241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开户行：________________________</w:t>
      </w:r>
    </w:p>
    <w:p w14:paraId="2532DC1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银行账号：________________________</w:t>
      </w:r>
    </w:p>
    <w:p w14:paraId="615A4505">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val="en-US" w:eastAsia="zh-CN" w:bidi="ar"/>
        </w:rPr>
        <w:t>根据《中华人民共和国民法典》《中华人民共和国政府采购法》《政府采购货物和服务招标投标管理办法》等法律法规及本项目磋商文件、乙方响应文件、成交通知书，甲乙双方本着平等自愿、公平诚信、权责统一的原则，就西安市市政设施管理中心六村堡立交、秦汉大道灞河桥梁超载提示门架设置项目工程事宜，订立本合同，双方共同遵照执行。</w:t>
      </w:r>
    </w:p>
    <w:p w14:paraId="1CFA246D">
      <w:pPr>
        <w:pStyle w:val="16"/>
        <w:keepNext w:val="0"/>
        <w:keepLines w:val="0"/>
        <w:pageBreakBefore w:val="0"/>
        <w:numPr>
          <w:ilvl w:val="0"/>
          <w:numId w:val="0"/>
        </w:numPr>
        <w:kinsoku/>
        <w:wordWrap/>
        <w:overflowPunct/>
        <w:topLinePunct w:val="0"/>
        <w:autoSpaceDE/>
        <w:autoSpaceDN/>
        <w:bidi w:val="0"/>
        <w:adjustRightInd/>
        <w:snapToGrid/>
        <w:spacing w:line="360" w:lineRule="exact"/>
        <w:ind w:left="18" w:leftChars="0" w:right="-239" w:rightChars="-114"/>
        <w:jc w:val="left"/>
        <w:textAlignment w:val="auto"/>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第一条 项目概括</w:t>
      </w:r>
      <w:r>
        <w:rPr>
          <w:rFonts w:hint="eastAsia" w:ascii="仿宋_GB2312" w:hAnsi="仿宋_GB2312" w:eastAsia="仿宋_GB2312" w:cs="仿宋_GB2312"/>
          <w:b/>
          <w:color w:val="auto"/>
          <w:sz w:val="21"/>
          <w:szCs w:val="21"/>
        </w:rPr>
        <w:t>：</w:t>
      </w:r>
    </w:p>
    <w:p w14:paraId="7C35926E">
      <w:pPr>
        <w:pStyle w:val="16"/>
        <w:keepNext w:val="0"/>
        <w:keepLines w:val="0"/>
        <w:pageBreakBefore w:val="0"/>
        <w:numPr>
          <w:ilvl w:val="0"/>
          <w:numId w:val="0"/>
        </w:numPr>
        <w:kinsoku/>
        <w:wordWrap/>
        <w:overflowPunct/>
        <w:topLinePunct w:val="0"/>
        <w:autoSpaceDE/>
        <w:autoSpaceDN/>
        <w:bidi w:val="0"/>
        <w:adjustRightInd/>
        <w:snapToGrid/>
        <w:spacing w:line="360" w:lineRule="exact"/>
        <w:ind w:left="18" w:leftChars="0" w:right="-239" w:rightChars="-114" w:firstLine="422" w:firstLineChars="200"/>
        <w:jc w:val="left"/>
        <w:textAlignment w:val="auto"/>
        <w:rPr>
          <w:rFonts w:hint="default"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1.</w:t>
      </w:r>
      <w:r>
        <w:rPr>
          <w:rFonts w:hint="eastAsia" w:ascii="仿宋_GB2312" w:hAnsi="仿宋_GB2312" w:eastAsia="仿宋_GB2312" w:cs="仿宋_GB2312"/>
          <w:b w:val="0"/>
          <w:bCs/>
          <w:color w:val="auto"/>
          <w:sz w:val="21"/>
          <w:szCs w:val="21"/>
          <w:lang w:val="en-US" w:eastAsia="zh-CN"/>
        </w:rPr>
        <w:t>项目名称：六村堡立交、秦汉大道灞河桥梁超载提示门架设置项目</w:t>
      </w:r>
    </w:p>
    <w:p w14:paraId="5AA4075F">
      <w:pPr>
        <w:pStyle w:val="20"/>
        <w:keepNext w:val="0"/>
        <w:keepLines w:val="0"/>
        <w:pageBreakBefore w:val="0"/>
        <w:widowControl/>
        <w:kinsoku/>
        <w:wordWrap/>
        <w:overflowPunct/>
        <w:topLinePunct w:val="0"/>
        <w:autoSpaceDE/>
        <w:autoSpaceDN/>
        <w:bidi w:val="0"/>
        <w:adjustRightInd/>
        <w:snapToGrid/>
        <w:spacing w:line="360" w:lineRule="exact"/>
        <w:ind w:firstLine="482"/>
        <w:textAlignment w:val="auto"/>
        <w:rPr>
          <w:rFonts w:hint="default" w:ascii="仿宋_GB2312" w:hAnsi="仿宋_GB2312" w:eastAsia="仿宋_GB2312" w:cs="仿宋_GB2312"/>
          <w:b w:val="0"/>
          <w:bCs/>
          <w:color w:val="FF0000"/>
          <w:kern w:val="2"/>
          <w:sz w:val="21"/>
          <w:szCs w:val="21"/>
          <w:lang w:val="en-US" w:eastAsia="zh-CN" w:bidi="ar-SA"/>
        </w:rPr>
      </w:pPr>
      <w:r>
        <w:rPr>
          <w:rFonts w:hint="eastAsia" w:ascii="Times New Roman" w:hAnsi="Times New Roman" w:eastAsia="仿宋_GB2312" w:cs="Times New Roman"/>
          <w:color w:val="auto"/>
          <w:kern w:val="0"/>
          <w:sz w:val="21"/>
          <w:szCs w:val="21"/>
          <w:u w:val="none"/>
          <w:lang w:val="en-US" w:eastAsia="zh-CN" w:bidi="ar-SA"/>
        </w:rPr>
        <w:t>2工程内容：</w:t>
      </w:r>
      <w:r>
        <w:rPr>
          <w:rFonts w:hint="eastAsia" w:ascii="仿宋_GB2312" w:hAnsi="仿宋_GB2312" w:eastAsia="仿宋_GB2312" w:cs="仿宋_GB2312"/>
          <w:b w:val="0"/>
          <w:bCs/>
          <w:color w:val="000000" w:themeColor="text1"/>
          <w:kern w:val="2"/>
          <w:sz w:val="21"/>
          <w:szCs w:val="21"/>
          <w:lang w:val="en-US" w:eastAsia="zh-CN" w:bidi="ar-SA"/>
          <w14:textFill>
            <w14:solidFill>
              <w14:schemeClr w14:val="tx1"/>
            </w14:solidFill>
          </w14:textFill>
        </w:rPr>
        <w:t>为落实公路车辆超限超载常态化治理要求，防范超载车辆损毁桥梁、道路设施，保障公路通行安全，本项目拟在辖区重点桥梁北三环六村堡桥、秦汉大道灞河桥安装智能超载提示门架。工程包含提示门架整体设计及门架钢结构制作安装、超载提示设备、警示显示设备、供电系统、接地系统、配套标线及附属工程，含设备调试、信息联试、竣工验收、资料归档及缺陷责任期维保全部工作内容，建成后可实现实时联动称重监测系统，自动提示过往车辆超载信息，实现超限车辆预警管控功能。</w:t>
      </w:r>
    </w:p>
    <w:p w14:paraId="6F6D588D">
      <w:pPr>
        <w:pStyle w:val="20"/>
        <w:keepNext w:val="0"/>
        <w:keepLines w:val="0"/>
        <w:pageBreakBefore w:val="0"/>
        <w:widowControl/>
        <w:kinsoku/>
        <w:wordWrap/>
        <w:overflowPunct/>
        <w:topLinePunct w:val="0"/>
        <w:autoSpaceDE/>
        <w:autoSpaceDN/>
        <w:bidi w:val="0"/>
        <w:adjustRightInd/>
        <w:snapToGrid/>
        <w:spacing w:line="360" w:lineRule="exact"/>
        <w:ind w:firstLine="482"/>
        <w:textAlignment w:val="auto"/>
        <w:rPr>
          <w:rFonts w:hint="eastAsia" w:ascii="Times New Roman" w:hAnsi="Times New Roman" w:eastAsia="仿宋_GB2312" w:cs="Times New Roman"/>
          <w:color w:val="auto"/>
          <w:kern w:val="0"/>
          <w:sz w:val="21"/>
          <w:szCs w:val="21"/>
          <w:u w:val="none"/>
          <w:lang w:val="zh-CN" w:eastAsia="zh-CN" w:bidi="ar-SA"/>
        </w:rPr>
      </w:pPr>
      <w:r>
        <w:rPr>
          <w:rFonts w:hint="eastAsia" w:ascii="Times New Roman" w:hAnsi="Times New Roman" w:eastAsia="仿宋_GB2312" w:cs="Times New Roman"/>
          <w:color w:val="auto"/>
          <w:kern w:val="0"/>
          <w:sz w:val="21"/>
          <w:szCs w:val="21"/>
          <w:u w:val="none"/>
          <w:lang w:val="en-US" w:eastAsia="zh-CN" w:bidi="ar-SA"/>
        </w:rPr>
        <w:t>3.工期：</w:t>
      </w:r>
      <w:r>
        <w:rPr>
          <w:rFonts w:ascii="仿宋_GB2312" w:hAnsi="仿宋_GB2312" w:eastAsia="仿宋_GB2312" w:cs="仿宋_GB2312"/>
          <w:sz w:val="21"/>
        </w:rPr>
        <w:t xml:space="preserve">自合同签订之日起 </w:t>
      </w:r>
      <w:r>
        <w:rPr>
          <w:rFonts w:hint="eastAsia" w:ascii="仿宋_GB2312" w:hAnsi="仿宋_GB2312" w:eastAsia="仿宋_GB2312" w:cs="仿宋_GB2312"/>
          <w:sz w:val="21"/>
          <w:lang w:val="en-US" w:eastAsia="zh-CN"/>
        </w:rPr>
        <w:t>10日历天内完成整体设计、</w:t>
      </w:r>
      <w:r>
        <w:rPr>
          <w:rFonts w:ascii="仿宋_GB2312" w:hAnsi="仿宋_GB2312" w:eastAsia="仿宋_GB2312" w:cs="仿宋_GB2312"/>
          <w:sz w:val="21"/>
        </w:rPr>
        <w:t>30 日历天内完成全部施工、调试及验收交付，需配合招标人整体交通安防工程进度，服从现场工期统筹安排</w:t>
      </w:r>
      <w:r>
        <w:rPr>
          <w:rFonts w:hint="eastAsia" w:ascii="Times New Roman" w:hAnsi="Times New Roman" w:eastAsia="仿宋_GB2312" w:cs="Times New Roman"/>
          <w:color w:val="auto"/>
          <w:kern w:val="0"/>
          <w:sz w:val="21"/>
          <w:szCs w:val="21"/>
          <w:u w:val="none"/>
          <w:lang w:val="zh-CN" w:eastAsia="zh-CN" w:bidi="ar-SA"/>
        </w:rPr>
        <w:t>。</w:t>
      </w:r>
    </w:p>
    <w:p w14:paraId="02506529">
      <w:pPr>
        <w:pStyle w:val="20"/>
        <w:keepNext w:val="0"/>
        <w:keepLines w:val="0"/>
        <w:pageBreakBefore w:val="0"/>
        <w:widowControl/>
        <w:kinsoku/>
        <w:wordWrap/>
        <w:overflowPunct/>
        <w:topLinePunct w:val="0"/>
        <w:autoSpaceDE/>
        <w:autoSpaceDN/>
        <w:bidi w:val="0"/>
        <w:adjustRightInd/>
        <w:snapToGrid/>
        <w:spacing w:line="360" w:lineRule="exact"/>
        <w:ind w:firstLine="482"/>
        <w:textAlignment w:val="auto"/>
        <w:rPr>
          <w:rFonts w:hint="eastAsia"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4.服务地点：采购人指定地点</w:t>
      </w:r>
    </w:p>
    <w:p w14:paraId="57EFAF92">
      <w:pPr>
        <w:pStyle w:val="20"/>
        <w:keepNext w:val="0"/>
        <w:keepLines w:val="0"/>
        <w:pageBreakBefore w:val="0"/>
        <w:widowControl/>
        <w:kinsoku/>
        <w:wordWrap/>
        <w:overflowPunct/>
        <w:topLinePunct w:val="0"/>
        <w:autoSpaceDE/>
        <w:autoSpaceDN/>
        <w:bidi w:val="0"/>
        <w:adjustRightInd/>
        <w:snapToGrid/>
        <w:spacing w:line="360" w:lineRule="exact"/>
        <w:ind w:firstLine="482"/>
        <w:textAlignment w:val="auto"/>
        <w:rPr>
          <w:rFonts w:hint="default" w:ascii="Times New Roman" w:hAnsi="Times New Roman" w:eastAsia="仿宋_GB2312" w:cs="Times New Roman"/>
          <w:color w:val="auto"/>
          <w:kern w:val="0"/>
          <w:sz w:val="21"/>
          <w:szCs w:val="21"/>
          <w:u w:val="none"/>
          <w:lang w:val="en-US" w:eastAsia="zh-CN" w:bidi="ar-SA"/>
        </w:rPr>
      </w:pPr>
      <w:r>
        <w:rPr>
          <w:rFonts w:hint="eastAsia" w:ascii="Times New Roman" w:hAnsi="Times New Roman" w:eastAsia="仿宋_GB2312" w:cs="Times New Roman"/>
          <w:color w:val="auto"/>
          <w:kern w:val="0"/>
          <w:sz w:val="21"/>
          <w:szCs w:val="21"/>
          <w:u w:val="none"/>
          <w:lang w:val="en-US" w:eastAsia="zh-CN" w:bidi="ar-SA"/>
        </w:rPr>
        <w:t>5.服务标准：</w:t>
      </w:r>
      <w:r>
        <w:rPr>
          <w:rFonts w:ascii="仿宋_GB2312" w:hAnsi="仿宋_GB2312" w:eastAsia="仿宋_GB2312" w:cs="仿宋_GB2312"/>
          <w:sz w:val="21"/>
        </w:rPr>
        <w:t>符合《公路交通安全设施施工技术规范》《公路工程质量检验评定标准》及国家、行业现行相关规范、标准、设计文件要求，工程质量达到合格及以上标准，一次性验收合格。</w:t>
      </w:r>
      <w:bookmarkStart w:id="0" w:name="_GoBack"/>
      <w:bookmarkEnd w:id="0"/>
    </w:p>
    <w:p w14:paraId="7C991138">
      <w:pPr>
        <w:pStyle w:val="16"/>
        <w:keepNext w:val="0"/>
        <w:keepLines w:val="0"/>
        <w:pageBreakBefore w:val="0"/>
        <w:numPr>
          <w:ilvl w:val="0"/>
          <w:numId w:val="0"/>
        </w:numPr>
        <w:kinsoku/>
        <w:wordWrap/>
        <w:overflowPunct/>
        <w:topLinePunct w:val="0"/>
        <w:autoSpaceDE/>
        <w:autoSpaceDN/>
        <w:bidi w:val="0"/>
        <w:adjustRightInd/>
        <w:snapToGrid/>
        <w:spacing w:line="360" w:lineRule="exact"/>
        <w:ind w:left="18" w:leftChars="0" w:right="-239" w:rightChars="-114"/>
        <w:jc w:val="left"/>
        <w:textAlignment w:val="auto"/>
        <w:rPr>
          <w:rFonts w:hint="default"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 xml:space="preserve">第二条 </w:t>
      </w:r>
      <w:r>
        <w:rPr>
          <w:rFonts w:hint="eastAsia" w:ascii="仿宋_GB2312" w:hAnsi="仿宋_GB2312" w:eastAsia="仿宋_GB2312" w:cs="仿宋_GB2312"/>
          <w:b/>
          <w:color w:val="auto"/>
          <w:sz w:val="21"/>
          <w:szCs w:val="21"/>
        </w:rPr>
        <w:t>合同价款</w:t>
      </w:r>
      <w:r>
        <w:rPr>
          <w:rFonts w:hint="eastAsia" w:ascii="仿宋_GB2312" w:hAnsi="仿宋_GB2312" w:eastAsia="仿宋_GB2312" w:cs="仿宋_GB2312"/>
          <w:b/>
          <w:color w:val="auto"/>
          <w:sz w:val="21"/>
          <w:szCs w:val="21"/>
          <w:lang w:val="en-US" w:eastAsia="zh-CN"/>
        </w:rPr>
        <w:t>及计价规则</w:t>
      </w:r>
    </w:p>
    <w:p w14:paraId="0E7D1968">
      <w:pPr>
        <w:pStyle w:val="16"/>
        <w:keepNext w:val="0"/>
        <w:keepLines w:val="0"/>
        <w:pageBreakBefore w:val="0"/>
        <w:numPr>
          <w:ilvl w:val="0"/>
          <w:numId w:val="0"/>
        </w:numPr>
        <w:kinsoku/>
        <w:wordWrap/>
        <w:overflowPunct/>
        <w:topLinePunct w:val="0"/>
        <w:autoSpaceDE/>
        <w:autoSpaceDN/>
        <w:bidi w:val="0"/>
        <w:adjustRightInd/>
        <w:snapToGrid/>
        <w:spacing w:line="360" w:lineRule="exact"/>
        <w:ind w:right="-239" w:rightChars="-114" w:firstLine="420" w:firstLineChars="200"/>
        <w:textAlignment w:val="auto"/>
        <w:rPr>
          <w:rFonts w:hint="eastAsia" w:ascii="仿宋_GB2312" w:hAnsi="仿宋_GB2312" w:eastAsia="仿宋_GB2312" w:cs="仿宋_GB2312"/>
          <w:color w:val="auto"/>
          <w:sz w:val="21"/>
          <w:szCs w:val="21"/>
          <w:lang w:val="en-US" w:eastAsia="zh-CN"/>
        </w:rPr>
      </w:pPr>
      <w:r>
        <w:rPr>
          <w:rFonts w:ascii="仿宋_GB2312" w:hAnsi="仿宋_GB2312" w:eastAsia="仿宋_GB2312" w:cs="仿宋_GB2312"/>
          <w:sz w:val="21"/>
        </w:rPr>
        <w:t>本项目</w:t>
      </w:r>
      <w:r>
        <w:rPr>
          <w:rFonts w:hint="eastAsia" w:ascii="仿宋_GB2312" w:hAnsi="仿宋_GB2312" w:eastAsia="仿宋_GB2312" w:cs="仿宋_GB2312"/>
          <w:sz w:val="21"/>
          <w:lang w:val="en-US" w:eastAsia="zh-CN"/>
        </w:rPr>
        <w:t>合同价为：大写：</w:t>
      </w:r>
      <w:r>
        <w:rPr>
          <w:rFonts w:hint="eastAsia" w:ascii="仿宋_GB2312" w:hAnsi="仿宋_GB2312" w:eastAsia="仿宋_GB2312" w:cs="仿宋_GB2312"/>
          <w:sz w:val="21"/>
          <w:u w:val="single"/>
          <w:lang w:val="en-US" w:eastAsia="zh-CN"/>
        </w:rPr>
        <w:t xml:space="preserve">       </w:t>
      </w:r>
      <w:r>
        <w:rPr>
          <w:rFonts w:hint="eastAsia" w:ascii="仿宋_GB2312" w:hAnsi="仿宋_GB2312" w:eastAsia="仿宋_GB2312" w:cs="仿宋_GB2312"/>
          <w:sz w:val="21"/>
          <w:lang w:val="en-US" w:eastAsia="zh-CN"/>
        </w:rPr>
        <w:t>小写：</w:t>
      </w:r>
      <w:r>
        <w:rPr>
          <w:rFonts w:hint="eastAsia" w:ascii="仿宋_GB2312" w:hAnsi="仿宋_GB2312" w:eastAsia="仿宋_GB2312" w:cs="仿宋_GB2312"/>
          <w:sz w:val="21"/>
          <w:u w:val="single"/>
          <w:lang w:val="en-US" w:eastAsia="zh-CN"/>
        </w:rPr>
        <w:t xml:space="preserve">       </w:t>
      </w:r>
      <w:r>
        <w:rPr>
          <w:rFonts w:hint="eastAsia" w:ascii="仿宋_GB2312" w:hAnsi="仿宋_GB2312" w:eastAsia="仿宋_GB2312" w:cs="仿宋_GB2312"/>
          <w:sz w:val="21"/>
          <w:u w:val="none"/>
          <w:lang w:val="en-US" w:eastAsia="zh-CN"/>
        </w:rPr>
        <w:t>，</w:t>
      </w:r>
      <w:r>
        <w:rPr>
          <w:rFonts w:hint="eastAsia" w:ascii="仿宋_GB2312" w:hAnsi="仿宋_GB2312" w:eastAsia="仿宋_GB2312" w:cs="仿宋_GB2312"/>
          <w:sz w:val="21"/>
          <w:lang w:eastAsia="zh-CN"/>
        </w:rPr>
        <w:t>包含提示门架整体设计、基础开挖浇筑、钢结构门架制作运输安装、超载提示终端、LED 警示屏、供电线缆铺设、接地防雷施工、设备调试、系统联动测试、现场清理、交工验收、竣工资料编制、质保期维修养护等全部工作内容，严格按照国家交通工程规范及招标人技术要求施工。</w:t>
      </w:r>
    </w:p>
    <w:p w14:paraId="2DCEDB07">
      <w:pPr>
        <w:pStyle w:val="16"/>
        <w:keepNext w:val="0"/>
        <w:keepLines w:val="0"/>
        <w:pageBreakBefore w:val="0"/>
        <w:numPr>
          <w:ilvl w:val="0"/>
          <w:numId w:val="0"/>
        </w:numPr>
        <w:kinsoku/>
        <w:wordWrap/>
        <w:overflowPunct/>
        <w:topLinePunct w:val="0"/>
        <w:autoSpaceDE/>
        <w:autoSpaceDN/>
        <w:bidi w:val="0"/>
        <w:adjustRightInd/>
        <w:snapToGrid/>
        <w:spacing w:line="360" w:lineRule="exact"/>
        <w:ind w:leftChars="0" w:right="-239" w:rightChars="-114"/>
        <w:textAlignment w:val="auto"/>
        <w:rPr>
          <w:rFonts w:hint="eastAsia" w:ascii="仿宋_GB2312" w:hAnsi="仿宋_GB2312" w:eastAsia="仿宋_GB2312" w:cs="仿宋_GB2312"/>
          <w:b/>
          <w:color w:val="auto"/>
          <w:sz w:val="21"/>
          <w:szCs w:val="21"/>
          <w:lang w:val="en-US" w:eastAsia="zh-CN"/>
        </w:rPr>
      </w:pPr>
      <w:r>
        <w:rPr>
          <w:rFonts w:hint="eastAsia" w:ascii="仿宋_GB2312" w:hAnsi="仿宋_GB2312" w:eastAsia="仿宋_GB2312" w:cs="仿宋_GB2312"/>
          <w:b/>
          <w:color w:val="auto"/>
          <w:sz w:val="21"/>
          <w:szCs w:val="21"/>
          <w:lang w:val="en-US" w:eastAsia="zh-CN"/>
        </w:rPr>
        <w:t xml:space="preserve">第三条 </w:t>
      </w:r>
      <w:r>
        <w:rPr>
          <w:rFonts w:hint="eastAsia" w:ascii="仿宋_GB2312" w:hAnsi="仿宋_GB2312" w:eastAsia="仿宋_GB2312" w:cs="仿宋_GB2312"/>
          <w:b/>
          <w:color w:val="auto"/>
          <w:sz w:val="21"/>
          <w:szCs w:val="21"/>
        </w:rPr>
        <w:t>合同结算</w:t>
      </w:r>
      <w:r>
        <w:rPr>
          <w:rFonts w:hint="eastAsia" w:ascii="仿宋_GB2312" w:hAnsi="仿宋_GB2312" w:eastAsia="仿宋_GB2312" w:cs="仿宋_GB2312"/>
          <w:b/>
          <w:color w:val="auto"/>
          <w:sz w:val="21"/>
          <w:szCs w:val="21"/>
          <w:lang w:val="en-US" w:eastAsia="zh-CN"/>
        </w:rPr>
        <w:t>与付款方式</w:t>
      </w:r>
    </w:p>
    <w:p w14:paraId="00022102">
      <w:pPr>
        <w:pStyle w:val="16"/>
        <w:keepNext w:val="0"/>
        <w:keepLines w:val="0"/>
        <w:pageBreakBefore w:val="0"/>
        <w:numPr>
          <w:ilvl w:val="0"/>
          <w:numId w:val="0"/>
        </w:numPr>
        <w:kinsoku/>
        <w:wordWrap/>
        <w:overflowPunct/>
        <w:topLinePunct w:val="0"/>
        <w:autoSpaceDE/>
        <w:autoSpaceDN/>
        <w:bidi w:val="0"/>
        <w:adjustRightInd/>
        <w:snapToGrid/>
        <w:spacing w:line="360" w:lineRule="exact"/>
        <w:ind w:leftChars="0" w:right="-239" w:rightChars="-114" w:firstLine="210" w:firstLineChars="100"/>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color w:val="auto"/>
          <w:sz w:val="21"/>
          <w:szCs w:val="21"/>
        </w:rPr>
        <w:t>付款方式:</w:t>
      </w:r>
      <w:r>
        <w:rPr>
          <w:rFonts w:hint="eastAsia" w:ascii="仿宋_GB2312" w:hAnsi="仿宋_GB2312" w:eastAsia="仿宋_GB2312" w:cs="仿宋_GB2312"/>
          <w:color w:val="auto"/>
          <w:sz w:val="21"/>
          <w:szCs w:val="21"/>
          <w:lang w:val="en-US" w:eastAsia="zh-CN"/>
        </w:rPr>
        <w:t>分期付款。</w:t>
      </w:r>
    </w:p>
    <w:p w14:paraId="31BDA5E9">
      <w:pPr>
        <w:pStyle w:val="16"/>
        <w:keepNext w:val="0"/>
        <w:keepLines w:val="0"/>
        <w:pageBreakBefore w:val="0"/>
        <w:numPr>
          <w:ilvl w:val="0"/>
          <w:numId w:val="0"/>
        </w:numPr>
        <w:kinsoku/>
        <w:wordWrap/>
        <w:overflowPunct/>
        <w:topLinePunct w:val="0"/>
        <w:autoSpaceDE/>
        <w:autoSpaceDN/>
        <w:bidi w:val="0"/>
        <w:adjustRightInd/>
        <w:snapToGrid/>
        <w:spacing w:line="360" w:lineRule="exact"/>
        <w:ind w:left="12" w:leftChars="0" w:right="-239" w:rightChars="-114" w:firstLine="348" w:firstLineChars="166"/>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w:t>
      </w:r>
      <w:r>
        <w:rPr>
          <w:rFonts w:hint="eastAsia" w:ascii="仿宋_GB2312" w:hAnsi="仿宋_GB2312" w:eastAsia="仿宋_GB2312" w:cs="仿宋_GB2312"/>
          <w:b w:val="0"/>
          <w:bCs w:val="0"/>
          <w:sz w:val="21"/>
          <w:lang w:val="en-US" w:eastAsia="zh-CN"/>
        </w:rPr>
        <w:t>合同签订后，支付预付款。甲方收到增值税发票后30日内，支付合同总金额的40.00%</w:t>
      </w:r>
      <w:r>
        <w:rPr>
          <w:rFonts w:hint="eastAsia" w:ascii="仿宋_GB2312" w:hAnsi="仿宋_GB2312" w:eastAsia="仿宋_GB2312" w:cs="仿宋_GB2312"/>
          <w:color w:val="auto"/>
          <w:sz w:val="21"/>
          <w:szCs w:val="21"/>
          <w:lang w:val="en-US" w:eastAsia="zh-CN"/>
        </w:rPr>
        <w:t>；</w:t>
      </w:r>
    </w:p>
    <w:p w14:paraId="19D9753D">
      <w:pPr>
        <w:pStyle w:val="16"/>
        <w:keepNext w:val="0"/>
        <w:keepLines w:val="0"/>
        <w:pageBreakBefore w:val="0"/>
        <w:numPr>
          <w:ilvl w:val="0"/>
          <w:numId w:val="0"/>
        </w:numPr>
        <w:kinsoku/>
        <w:wordWrap/>
        <w:overflowPunct/>
        <w:topLinePunct w:val="0"/>
        <w:autoSpaceDE/>
        <w:autoSpaceDN/>
        <w:bidi w:val="0"/>
        <w:adjustRightInd/>
        <w:snapToGrid/>
        <w:spacing w:line="360" w:lineRule="exact"/>
        <w:ind w:left="412" w:leftChars="0"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（2）乙方完成合同全部内容，验收合格后，甲方收到增值税发票后30日内，支付合同总金额的60.00%。</w:t>
      </w:r>
    </w:p>
    <w:p w14:paraId="6F11B6E9">
      <w:pPr>
        <w:pStyle w:val="16"/>
        <w:keepNext w:val="0"/>
        <w:keepLines w:val="0"/>
        <w:pageBreakBefore w:val="0"/>
        <w:numPr>
          <w:ilvl w:val="0"/>
          <w:numId w:val="0"/>
        </w:numPr>
        <w:kinsoku/>
        <w:wordWrap/>
        <w:overflowPunct/>
        <w:topLinePunct w:val="0"/>
        <w:autoSpaceDE/>
        <w:autoSpaceDN/>
        <w:bidi w:val="0"/>
        <w:adjustRightInd/>
        <w:snapToGrid/>
        <w:spacing w:line="360" w:lineRule="exact"/>
        <w:ind w:right="-239" w:rightChars="-114" w:firstLine="210" w:firstLineChars="1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2.</w:t>
      </w:r>
      <w:r>
        <w:rPr>
          <w:rFonts w:hint="eastAsia" w:ascii="仿宋_GB2312" w:hAnsi="仿宋_GB2312" w:eastAsia="仿宋_GB2312" w:cs="仿宋_GB2312"/>
          <w:color w:val="auto"/>
          <w:sz w:val="21"/>
          <w:szCs w:val="21"/>
        </w:rPr>
        <w:t>结算方式：银行转账。</w:t>
      </w:r>
    </w:p>
    <w:p w14:paraId="237CE9F6">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开户银行：</w:t>
      </w:r>
    </w:p>
    <w:p w14:paraId="5DBA8B57">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账号：</w:t>
      </w:r>
    </w:p>
    <w:p w14:paraId="4652485B">
      <w:pPr>
        <w:pStyle w:val="16"/>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420" w:firstLineChars="200"/>
        <w:textAlignment w:val="auto"/>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3.</w:t>
      </w:r>
      <w:r>
        <w:rPr>
          <w:rFonts w:hint="eastAsia" w:ascii="仿宋_GB2312" w:hAnsi="仿宋_GB2312" w:eastAsia="仿宋_GB2312" w:cs="仿宋_GB2312"/>
          <w:color w:val="auto"/>
          <w:sz w:val="21"/>
          <w:szCs w:val="21"/>
          <w:highlight w:val="none"/>
        </w:rPr>
        <w:t>结算单位：由西安市市政设施管理中心结算，乙方开具当次支付额的发票交西安市市政设施管理中心。</w:t>
      </w:r>
    </w:p>
    <w:p w14:paraId="1F2384B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exact"/>
        <w:ind w:right="0" w:rightChars="0"/>
        <w:jc w:val="left"/>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b/>
          <w:bCs w:val="0"/>
          <w:color w:val="auto"/>
          <w:kern w:val="2"/>
          <w:sz w:val="21"/>
          <w:szCs w:val="21"/>
          <w:lang w:val="en-US" w:eastAsia="zh-CN" w:bidi="ar-SA"/>
        </w:rPr>
        <w:t>第四条 甲方权利与义务</w:t>
      </w:r>
    </w:p>
    <w:p w14:paraId="10F6A754">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 甲方有权对本工程的施工质量、施工进度、安全生产进行全过程监督检查，若发现乙方施工内容不符合合同约定、国家及行业相关规范标准要求，有权要求乙方限期整改，整改产生的所有费用由乙方自行承担。</w:t>
      </w:r>
    </w:p>
    <w:p w14:paraId="48F66C32">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 甲方负责向乙方提供施工所需的基础场地资料、地下管线交底信息，协调施工现场周边关系及进场相关事宜，为乙方施工提供必要的作业条件。</w:t>
      </w:r>
    </w:p>
    <w:p w14:paraId="6ACC6216">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 甲方应严格按照本合同第三条约定的付款方式、期限及时向乙方支付合同价款，无正当理由不得无故拖欠款项。</w:t>
      </w:r>
    </w:p>
    <w:p w14:paraId="74D3B755">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 工程完工后，甲方负责按相关规定组织相关单位开展工程竣工验收工作，及时推进验收流程。</w:t>
      </w:r>
    </w:p>
    <w:p w14:paraId="70C17525">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5. 甲方需配合乙方完成超载提示系统与现有称重监测平台的对接联调工作，提供必要的技术对接支持与相关信息。</w:t>
      </w:r>
    </w:p>
    <w:p w14:paraId="13FFA66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exact"/>
        <w:ind w:right="0" w:rightChars="0"/>
        <w:jc w:val="left"/>
        <w:textAlignment w:val="auto"/>
        <w:rPr>
          <w:rFonts w:hint="eastAsia" w:ascii="仿宋_GB2312" w:hAnsi="仿宋_GB2312" w:eastAsia="仿宋_GB2312" w:cs="仿宋_GB2312"/>
          <w:b/>
          <w:color w:val="auto"/>
          <w:sz w:val="21"/>
          <w:szCs w:val="21"/>
          <w:lang w:val="en-US" w:eastAsia="zh-CN"/>
        </w:rPr>
      </w:pPr>
      <w:r>
        <w:rPr>
          <w:rFonts w:hint="eastAsia" w:ascii="仿宋_GB2312" w:hAnsi="仿宋_GB2312" w:eastAsia="仿宋_GB2312" w:cs="仿宋_GB2312"/>
          <w:b/>
          <w:bCs w:val="0"/>
          <w:color w:val="auto"/>
          <w:kern w:val="2"/>
          <w:sz w:val="21"/>
          <w:szCs w:val="21"/>
          <w:lang w:val="en-US" w:eastAsia="zh-CN" w:bidi="ar-SA"/>
        </w:rPr>
        <w:t>第五条 乙方权利与义务</w:t>
      </w:r>
    </w:p>
    <w:p w14:paraId="1BAE4E2C">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 乙方有权按照本合同约定要求甲方及时支付合同价款，有权要求甲方提供合同约定的施工必要条件。</w:t>
      </w:r>
    </w:p>
    <w:p w14:paraId="56F97238">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2. 乙方应严格按照国家、行业现行相关规范标准、本合同约定要求及设计文件组织施工，建立健全施工质量管控体系，确保工程质量符合约定标准，按期完成全部工程内容并交付使用。</w:t>
      </w:r>
    </w:p>
    <w:p w14:paraId="556BFA91">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3. 乙方负责做好施工现场安全生产管理工作，严格落实各项安全防护措施，文明施工，承担施工过程中发生的安全生产事故责任及由此产生的全部费用。</w:t>
      </w:r>
    </w:p>
    <w:p w14:paraId="6CEEA12E">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4. 乙方负责自行协调施工所需的除甲方提供内容外的各类设备、材料、人员，承担相关费用，保证所有进场材料、设备均符合质量要求及合同约定标准。</w:t>
      </w:r>
    </w:p>
    <w:p w14:paraId="3B542147">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5. 施工过程中乙方应保护施工区域内原有管线、建构筑物等设施，若因乙方操作不当造成损坏，由乙方承担全部修复、赔偿责任。</w:t>
      </w:r>
    </w:p>
    <w:p w14:paraId="71CBFF0E">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6. 乙方负责按照相关规范要求编制整理完整的竣工资料，工程验收合格后及时向甲方完成资料归档移交。</w:t>
      </w:r>
    </w:p>
    <w:p w14:paraId="7454E834">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 在缺陷责任期内，乙方负责对本工程出现的质量缺陷进行免费维修，接到甲方维修通知后24小时内须派员到场处置；若乙方未按时到场，甲方可委托第三方进行维修，产生的全部费用由乙方承担。</w:t>
      </w:r>
    </w:p>
    <w:p w14:paraId="1839D5E5">
      <w:pPr>
        <w:pStyle w:val="16"/>
        <w:keepNext w:val="0"/>
        <w:keepLines w:val="0"/>
        <w:pageBreakBefore w:val="0"/>
        <w:kinsoku/>
        <w:wordWrap/>
        <w:overflowPunct/>
        <w:topLinePunct w:val="0"/>
        <w:autoSpaceDE/>
        <w:autoSpaceDN/>
        <w:bidi w:val="0"/>
        <w:adjustRightInd/>
        <w:snapToGrid/>
        <w:spacing w:line="360" w:lineRule="exact"/>
        <w:ind w:right="-239" w:rightChars="-114"/>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8. 乙方应配合甲方完成项目相关审计、核查工作，按要求提供所需的项目资料。</w:t>
      </w:r>
    </w:p>
    <w:p w14:paraId="60FD8EEA">
      <w:pPr>
        <w:keepNext w:val="0"/>
        <w:keepLines w:val="0"/>
        <w:pageBreakBefore w:val="0"/>
        <w:kinsoku/>
        <w:wordWrap/>
        <w:overflowPunct/>
        <w:topLinePunct w:val="0"/>
        <w:autoSpaceDE/>
        <w:autoSpaceDN/>
        <w:bidi w:val="0"/>
        <w:adjustRightInd/>
        <w:snapToGrid/>
        <w:spacing w:beforeAutospacing="0" w:afterAutospacing="0" w:line="360" w:lineRule="exact"/>
        <w:ind w:right="0" w:rightChars="0"/>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b/>
          <w:color w:val="auto"/>
          <w:sz w:val="21"/>
          <w:szCs w:val="21"/>
          <w:lang w:val="en-US" w:eastAsia="zh-CN"/>
        </w:rPr>
        <w:t xml:space="preserve">第六条 </w:t>
      </w:r>
      <w:r>
        <w:rPr>
          <w:rFonts w:hint="eastAsia" w:ascii="仿宋_GB2312" w:hAnsi="仿宋_GB2312" w:eastAsia="仿宋_GB2312" w:cs="仿宋_GB2312"/>
          <w:b/>
          <w:color w:val="auto"/>
          <w:sz w:val="21"/>
          <w:szCs w:val="21"/>
        </w:rPr>
        <w:t>违约责任</w:t>
      </w:r>
    </w:p>
    <w:p w14:paraId="51E97E34">
      <w:pPr>
        <w:pStyle w:val="20"/>
        <w:ind w:firstLine="420" w:firstLineChars="200"/>
        <w:jc w:val="lef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2"/>
          <w:sz w:val="21"/>
          <w:szCs w:val="21"/>
          <w:highlight w:val="none"/>
          <w:lang w:val="en-US" w:eastAsia="zh-CN" w:bidi="ar-SA"/>
        </w:rPr>
        <w:t>1. 若乙方未按照本合同约定工期完成全部工程内容并交付验收，每逾期1日历天，乙方应按合同总金额的千分之三向甲方支付违约金；</w:t>
      </w:r>
      <w:r>
        <w:rPr>
          <w:rFonts w:hint="default" w:ascii="仿宋_GB2312" w:hAnsi="仿宋_GB2312" w:eastAsia="仿宋_GB2312" w:cs="仿宋_GB2312"/>
          <w:b w:val="0"/>
          <w:bCs w:val="0"/>
          <w:color w:val="auto"/>
          <w:sz w:val="21"/>
          <w:highlight w:val="none"/>
          <w:lang w:val="en-US" w:eastAsia="zh-CN"/>
        </w:rPr>
        <w:t>逾期超 7 天，招标人有权解除合同并追究违约责任</w:t>
      </w:r>
      <w:r>
        <w:rPr>
          <w:rFonts w:hint="eastAsia" w:ascii="仿宋_GB2312" w:hAnsi="仿宋_GB2312" w:eastAsia="仿宋_GB2312" w:cs="仿宋_GB2312"/>
          <w:color w:val="auto"/>
          <w:kern w:val="2"/>
          <w:sz w:val="21"/>
          <w:szCs w:val="21"/>
          <w:highlight w:val="none"/>
          <w:lang w:val="en-US" w:eastAsia="zh-CN" w:bidi="ar-SA"/>
        </w:rPr>
        <w:t>，同时退还甲方已支付的全部款项，并赔偿甲方因此遭受的全部损失。</w:t>
      </w:r>
    </w:p>
    <w:p w14:paraId="1A812E78">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 若乙方施工工程质量不符合本合同约定的合格标准，乙方应无偿进行返修、返工，直至符合约定要求，并承担由此产生的全部费用及工期延误责任；若经返修、返工后仍无法达到合格标准，甲方有权单方解除合同，乙方应赔偿甲方由此造成的全部经济损失。</w:t>
      </w:r>
    </w:p>
    <w:p w14:paraId="0506C3DB">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 若乙方未按本合同约定履行缺陷责任期内的维修义务，除承担甲方委托第三方维修产生的全部费用外，还应按照该维修费用的10%向甲方支付违约金。</w:t>
      </w:r>
    </w:p>
    <w:p w14:paraId="6C00E6C4">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4. 若甲方未按本合同约定的期限向乙方支付合同价款，每逾期1日历天，应按照中国人民银行公布的同期活期存款基准利率向乙方支付应付未付金额的逾期利息。</w:t>
      </w:r>
    </w:p>
    <w:p w14:paraId="4BFE36DD">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5. 任何一方违反本合同约定的其他义务，给对方造成损失的，应当依法向对方承担相应的赔偿责任。</w:t>
      </w:r>
    </w:p>
    <w:p w14:paraId="113A6508">
      <w:pPr>
        <w:keepNext w:val="0"/>
        <w:keepLines w:val="0"/>
        <w:pageBreakBefore w:val="0"/>
        <w:kinsoku/>
        <w:wordWrap/>
        <w:overflowPunct/>
        <w:topLinePunct w:val="0"/>
        <w:autoSpaceDE/>
        <w:autoSpaceDN/>
        <w:bidi w:val="0"/>
        <w:adjustRightInd/>
        <w:snapToGrid/>
        <w:spacing w:beforeAutospacing="0" w:afterAutospacing="0" w:line="360" w:lineRule="exact"/>
        <w:ind w:right="0" w:rightChars="0"/>
        <w:textAlignment w:val="auto"/>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lang w:val="en-US" w:eastAsia="zh-CN"/>
        </w:rPr>
        <w:t xml:space="preserve">第七条 </w:t>
      </w:r>
      <w:r>
        <w:rPr>
          <w:rFonts w:hint="eastAsia" w:ascii="仿宋_GB2312" w:hAnsi="仿宋_GB2312" w:eastAsia="仿宋_GB2312" w:cs="仿宋_GB2312"/>
          <w:b/>
          <w:color w:val="auto"/>
          <w:sz w:val="21"/>
          <w:szCs w:val="21"/>
        </w:rPr>
        <w:t>合同生效及其它</w:t>
      </w:r>
    </w:p>
    <w:p w14:paraId="71B6E6F7">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color w:val="auto"/>
          <w:sz w:val="21"/>
          <w:szCs w:val="21"/>
        </w:rPr>
      </w:pPr>
      <w:r>
        <w:rPr>
          <w:rFonts w:hint="eastAsia" w:ascii="仿宋_GB2312" w:hAnsi="仿宋_GB2312" w:eastAsia="仿宋_GB2312" w:cs="仿宋_GB2312"/>
          <w:color w:val="auto"/>
          <w:sz w:val="21"/>
          <w:szCs w:val="21"/>
        </w:rPr>
        <w:t>1、合同未尽事宜、由甲、乙双方协商，作为合同补充，与原合同具有同等法律效力。</w:t>
      </w:r>
    </w:p>
    <w:p w14:paraId="3C760F31">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2、合同签订时另附安全协议作为合同一部分，与正式合同具有相同法律效应。</w:t>
      </w:r>
    </w:p>
    <w:p w14:paraId="6B4E6EE3">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3、本合同正本</w:t>
      </w:r>
      <w:r>
        <w:rPr>
          <w:rFonts w:hint="eastAsia" w:ascii="仿宋_GB2312" w:hAnsi="仿宋_GB2312" w:eastAsia="仿宋_GB2312" w:cs="仿宋_GB2312"/>
          <w:color w:val="auto"/>
          <w:sz w:val="21"/>
          <w:szCs w:val="21"/>
          <w:highlight w:val="none"/>
        </w:rPr>
        <w:t>一式</w:t>
      </w:r>
      <w:r>
        <w:rPr>
          <w:rFonts w:hint="eastAsia" w:ascii="仿宋_GB2312" w:hAnsi="仿宋_GB2312" w:eastAsia="仿宋_GB2312" w:cs="仿宋_GB2312"/>
          <w:color w:val="auto"/>
          <w:sz w:val="21"/>
          <w:szCs w:val="21"/>
          <w:highlight w:val="none"/>
          <w:lang w:val="en-US" w:eastAsia="zh-CN"/>
        </w:rPr>
        <w:t>六</w:t>
      </w:r>
      <w:r>
        <w:rPr>
          <w:rFonts w:hint="eastAsia" w:ascii="仿宋_GB2312" w:hAnsi="仿宋_GB2312" w:eastAsia="仿宋_GB2312" w:cs="仿宋_GB2312"/>
          <w:color w:val="auto"/>
          <w:sz w:val="21"/>
          <w:szCs w:val="21"/>
          <w:highlight w:val="none"/>
        </w:rPr>
        <w:t>份</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lang w:val="en-US" w:eastAsia="zh-CN"/>
        </w:rPr>
        <w:t>正本二份，副本四份</w:t>
      </w:r>
      <w:r>
        <w:rPr>
          <w:rFonts w:hint="eastAsia" w:ascii="仿宋_GB2312" w:hAnsi="仿宋_GB2312" w:eastAsia="仿宋_GB2312" w:cs="仿宋_GB2312"/>
          <w:color w:val="auto"/>
          <w:sz w:val="21"/>
          <w:szCs w:val="21"/>
          <w:highlight w:val="none"/>
        </w:rPr>
        <w:t>。</w:t>
      </w:r>
    </w:p>
    <w:p w14:paraId="0636868B">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4、合同经甲乙双方盖章、签字后生效。 </w:t>
      </w:r>
    </w:p>
    <w:p w14:paraId="53FB7CCC">
      <w:pPr>
        <w:keepNext w:val="0"/>
        <w:keepLines w:val="0"/>
        <w:pageBreakBefore w:val="0"/>
        <w:widowControl w:val="0"/>
        <w:kinsoku/>
        <w:wordWrap/>
        <w:overflowPunct/>
        <w:topLinePunct w:val="0"/>
        <w:autoSpaceDE/>
        <w:autoSpaceDN/>
        <w:bidi w:val="0"/>
        <w:adjustRightInd/>
        <w:snapToGrid/>
        <w:spacing w:beforeAutospacing="0" w:afterAutospacing="0" w:line="360" w:lineRule="exact"/>
        <w:ind w:right="0" w:rightChars="0" w:firstLine="420" w:firstLineChars="200"/>
        <w:textAlignment w:val="auto"/>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lang w:val="en-US" w:eastAsia="zh-CN"/>
        </w:rPr>
        <w:t>5</w:t>
      </w:r>
      <w:r>
        <w:rPr>
          <w:rFonts w:hint="eastAsia" w:ascii="仿宋_GB2312" w:hAnsi="仿宋_GB2312" w:eastAsia="仿宋_GB2312" w:cs="仿宋_GB2312"/>
          <w:color w:val="auto"/>
          <w:sz w:val="21"/>
          <w:szCs w:val="21"/>
        </w:rPr>
        <w:t>、生效时间:合同签订之日。</w:t>
      </w:r>
    </w:p>
    <w:p w14:paraId="72165471">
      <w:pPr>
        <w:spacing w:line="360" w:lineRule="auto"/>
        <w:ind w:right="-239" w:rightChars="-114"/>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w:t>
      </w:r>
    </w:p>
    <w:p w14:paraId="2152E320">
      <w:pPr>
        <w:spacing w:line="360" w:lineRule="auto"/>
        <w:ind w:right="-239" w:rightChars="-114" w:firstLine="420" w:firstLineChars="200"/>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rPr>
        <w:t xml:space="preserve">甲方名称（盖章）：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乙方名称（盖章）</w:t>
      </w:r>
      <w:r>
        <w:rPr>
          <w:rFonts w:hint="eastAsia" w:ascii="仿宋_GB2312" w:hAnsi="仿宋_GB2312" w:eastAsia="仿宋_GB2312" w:cs="仿宋_GB2312"/>
          <w:color w:val="auto"/>
          <w:sz w:val="21"/>
          <w:szCs w:val="21"/>
          <w:lang w:eastAsia="zh-CN"/>
        </w:rPr>
        <w:t>：</w:t>
      </w:r>
    </w:p>
    <w:p w14:paraId="4B6E9F00">
      <w:pPr>
        <w:spacing w:line="360" w:lineRule="auto"/>
        <w:ind w:right="-239" w:rightChars="-114"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甲方</w:t>
      </w:r>
      <w:r>
        <w:rPr>
          <w:rFonts w:hint="eastAsia" w:ascii="仿宋_GB2312" w:hAnsi="仿宋_GB2312" w:eastAsia="仿宋_GB2312" w:cs="仿宋_GB2312"/>
          <w:color w:val="auto"/>
          <w:sz w:val="21"/>
          <w:szCs w:val="21"/>
          <w:lang w:val="en-US" w:eastAsia="zh-CN"/>
        </w:rPr>
        <w:t>法定</w:t>
      </w:r>
      <w:r>
        <w:rPr>
          <w:rFonts w:hint="eastAsia" w:ascii="仿宋_GB2312" w:hAnsi="仿宋_GB2312" w:eastAsia="仿宋_GB2312" w:cs="仿宋_GB2312"/>
          <w:color w:val="auto"/>
          <w:sz w:val="21"/>
          <w:szCs w:val="21"/>
          <w:lang w:eastAsia="zh-CN"/>
        </w:rPr>
        <w:t>代表人（</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乙</w:t>
      </w:r>
      <w:r>
        <w:rPr>
          <w:rFonts w:hint="eastAsia" w:ascii="仿宋_GB2312" w:hAnsi="仿宋_GB2312" w:eastAsia="仿宋_GB2312" w:cs="仿宋_GB2312"/>
          <w:color w:val="auto"/>
          <w:sz w:val="21"/>
          <w:szCs w:val="21"/>
        </w:rPr>
        <w:t>方</w:t>
      </w:r>
      <w:r>
        <w:rPr>
          <w:rFonts w:hint="eastAsia" w:ascii="仿宋_GB2312" w:hAnsi="仿宋_GB2312" w:eastAsia="仿宋_GB2312" w:cs="仿宋_GB2312"/>
          <w:color w:val="auto"/>
          <w:sz w:val="21"/>
          <w:szCs w:val="21"/>
          <w:lang w:val="en-US" w:eastAsia="zh-CN"/>
        </w:rPr>
        <w:t>法定</w:t>
      </w:r>
      <w:r>
        <w:rPr>
          <w:rFonts w:hint="eastAsia" w:ascii="仿宋_GB2312" w:hAnsi="仿宋_GB2312" w:eastAsia="仿宋_GB2312" w:cs="仿宋_GB2312"/>
          <w:color w:val="auto"/>
          <w:sz w:val="21"/>
          <w:szCs w:val="21"/>
          <w:lang w:eastAsia="zh-CN"/>
        </w:rPr>
        <w:t>代表人（</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 xml:space="preserve">：  </w:t>
      </w:r>
    </w:p>
    <w:p w14:paraId="37568CFC">
      <w:pPr>
        <w:pStyle w:val="6"/>
        <w:rPr>
          <w:rFonts w:hint="default" w:eastAsia="仿宋_GB2312"/>
          <w:color w:val="auto"/>
          <w:sz w:val="21"/>
          <w:szCs w:val="21"/>
          <w:lang w:val="en-US" w:eastAsia="zh-CN"/>
        </w:rPr>
      </w:pPr>
      <w:r>
        <w:rPr>
          <w:rFonts w:hint="eastAsia" w:ascii="仿宋_GB2312" w:hAnsi="仿宋_GB2312" w:eastAsia="仿宋_GB2312" w:cs="仿宋_GB2312"/>
          <w:color w:val="auto"/>
          <w:sz w:val="21"/>
          <w:szCs w:val="21"/>
          <w:lang w:val="en-US" w:eastAsia="zh-CN"/>
        </w:rPr>
        <w:t xml:space="preserve">    经办人</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                  经办人</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签字或盖章</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lang w:val="en-US" w:eastAsia="zh-CN"/>
        </w:rPr>
        <w:t>：</w:t>
      </w:r>
    </w:p>
    <w:p w14:paraId="0CA63D2D">
      <w:pPr>
        <w:pStyle w:val="16"/>
        <w:spacing w:line="360" w:lineRule="auto"/>
        <w:ind w:right="-239" w:rightChars="-114" w:firstLine="4620" w:firstLineChars="2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开户银行：</w:t>
      </w:r>
    </w:p>
    <w:p w14:paraId="258B4D4B">
      <w:pPr>
        <w:pStyle w:val="16"/>
        <w:spacing w:line="360" w:lineRule="auto"/>
        <w:ind w:right="-239" w:rightChars="-114" w:firstLine="4620" w:firstLineChars="2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账号：</w:t>
      </w:r>
    </w:p>
    <w:p w14:paraId="4DF58588">
      <w:pPr>
        <w:spacing w:line="360" w:lineRule="auto"/>
        <w:ind w:right="-239" w:rightChars="-114" w:firstLine="420" w:firstLineChars="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 xml:space="preserve">电话：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 xml:space="preserve"> </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电话：</w:t>
      </w:r>
    </w:p>
    <w:p w14:paraId="69499CAF">
      <w:pPr>
        <w:spacing w:line="360" w:lineRule="auto"/>
        <w:ind w:right="-239" w:rightChars="-114" w:firstLine="420" w:firstLineChars="200"/>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签订日期：</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签订日期：</w:t>
      </w:r>
    </w:p>
    <w:p w14:paraId="14D73270">
      <w:pPr>
        <w:spacing w:line="360" w:lineRule="auto"/>
        <w:ind w:right="-239" w:rightChars="-114" w:firstLine="420" w:firstLineChars="200"/>
        <w:rPr>
          <w:rFonts w:hint="default" w:ascii="仿宋_GB2312" w:hAnsi="仿宋_GB2312" w:eastAsia="仿宋_GB2312" w:cs="仿宋_GB2312"/>
          <w:color w:val="auto"/>
          <w:sz w:val="21"/>
          <w:szCs w:val="21"/>
          <w:lang w:val="en-US" w:eastAsia="zh-CN"/>
        </w:rPr>
      </w:pPr>
    </w:p>
    <w:p w14:paraId="1C34DCB0">
      <w:pPr>
        <w:pStyle w:val="6"/>
        <w:rPr>
          <w:rFonts w:ascii="仿宋_GB2312" w:hAnsi="仿宋_GB2312" w:eastAsia="仿宋_GB2312" w:cs="仿宋_GB2312"/>
          <w:color w:val="auto"/>
          <w:sz w:val="24"/>
        </w:rPr>
      </w:pPr>
    </w:p>
    <w:p w14:paraId="216C9DCB">
      <w:pPr>
        <w:rPr>
          <w:rFonts w:ascii="Times New Roman" w:hAnsi="Times New Roman" w:eastAsia="仿宋_GB2312"/>
          <w:color w:val="auto"/>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1F00FF" w:csb1="FFFF0000"/>
  </w:font>
  <w:font w:name="Tahoma">
    <w:panose1 w:val="020B0604030504040204"/>
    <w:charset w:val="00"/>
    <w:family w:val="swiss"/>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Helvetica Neue">
    <w:altName w:val="DejaVu Math TeX Gyre"/>
    <w:panose1 w:val="00000000000000000000"/>
    <w:charset w:val="00"/>
    <w:family w:val="auto"/>
    <w:pitch w:val="default"/>
    <w:sig w:usb0="00000000" w:usb1="00000000" w:usb2="00000010" w:usb3="00000000" w:csb0="00000001" w:csb1="00000000"/>
  </w:font>
  <w:font w:name="DejaVu Math TeX Gyre">
    <w:panose1 w:val="02000503000000000000"/>
    <w:charset w:val="00"/>
    <w:family w:val="auto"/>
    <w:pitch w:val="default"/>
    <w:sig w:usb0="A10000EF" w:usb1="4201F9EE" w:usb2="02000000" w:usb3="00000000" w:csb0="60000193" w:csb1="0DD4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9C67B">
    <w:pPr>
      <w:snapToGrid w:val="0"/>
      <w:jc w:val="center"/>
      <w:rPr>
        <w:rFonts w:ascii="Calibri" w:hAnsi="Calibri" w:eastAsia="宋体" w:cs="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F50F3"/>
    <w:rsid w:val="01422176"/>
    <w:rsid w:val="05504B9B"/>
    <w:rsid w:val="05F220F7"/>
    <w:rsid w:val="071F67DF"/>
    <w:rsid w:val="09E244F6"/>
    <w:rsid w:val="0A413A2D"/>
    <w:rsid w:val="0C4843B9"/>
    <w:rsid w:val="0C7358DA"/>
    <w:rsid w:val="0CBA1C87"/>
    <w:rsid w:val="0FC93A62"/>
    <w:rsid w:val="12E86732"/>
    <w:rsid w:val="19FD2C24"/>
    <w:rsid w:val="1B4D19EC"/>
    <w:rsid w:val="1BAD2BF6"/>
    <w:rsid w:val="1C3B7A96"/>
    <w:rsid w:val="1CEC2B3E"/>
    <w:rsid w:val="1CFD15B8"/>
    <w:rsid w:val="1EB51B34"/>
    <w:rsid w:val="1FB97650"/>
    <w:rsid w:val="222B5B04"/>
    <w:rsid w:val="22733DBF"/>
    <w:rsid w:val="24883A94"/>
    <w:rsid w:val="24EE1B79"/>
    <w:rsid w:val="26A1016C"/>
    <w:rsid w:val="284C6E24"/>
    <w:rsid w:val="2B552050"/>
    <w:rsid w:val="2E21434E"/>
    <w:rsid w:val="32D06D32"/>
    <w:rsid w:val="33B73A4E"/>
    <w:rsid w:val="395835DE"/>
    <w:rsid w:val="3B6E621D"/>
    <w:rsid w:val="410D44E5"/>
    <w:rsid w:val="42213106"/>
    <w:rsid w:val="4B720F89"/>
    <w:rsid w:val="4D1473C4"/>
    <w:rsid w:val="516E1DD9"/>
    <w:rsid w:val="52097713"/>
    <w:rsid w:val="5CE138EC"/>
    <w:rsid w:val="5EFF50F3"/>
    <w:rsid w:val="5F2C54A2"/>
    <w:rsid w:val="64803865"/>
    <w:rsid w:val="6683763C"/>
    <w:rsid w:val="6B3E43B6"/>
    <w:rsid w:val="6C823EF2"/>
    <w:rsid w:val="6DFB0400"/>
    <w:rsid w:val="6E504D7E"/>
    <w:rsid w:val="6EBD4168"/>
    <w:rsid w:val="7138653F"/>
    <w:rsid w:val="734B3DA6"/>
    <w:rsid w:val="76335E40"/>
    <w:rsid w:val="7C8141C6"/>
    <w:rsid w:val="7CB2065C"/>
    <w:rsid w:val="7DF32EA2"/>
    <w:rsid w:val="7EF46ED2"/>
    <w:rsid w:val="8DBC622D"/>
    <w:rsid w:val="D7BD13F8"/>
    <w:rsid w:val="DFEEEA78"/>
    <w:rsid w:val="FBF934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qFormat/>
    <w:uiPriority w:val="99"/>
    <w:pPr>
      <w:keepNext/>
      <w:keepLines/>
      <w:adjustRightInd w:val="0"/>
      <w:spacing w:before="240" w:after="240" w:line="578" w:lineRule="atLeast"/>
      <w:textAlignment w:val="baseline"/>
      <w:outlineLvl w:val="0"/>
    </w:pPr>
    <w:rPr>
      <w:rFonts w:ascii="Tahoma" w:hAnsi="Tahoma" w:eastAsia="Arial Unicode MS"/>
      <w:b/>
      <w:bCs/>
      <w:kern w:val="44"/>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jc w:val="left"/>
    </w:pPr>
    <w:rPr>
      <w:rFonts w:ascii="Copperplate Gothic Bold" w:hAnsi="Copperplate Gothic Bold"/>
      <w:sz w:val="28"/>
    </w:rPr>
  </w:style>
  <w:style w:type="paragraph" w:styleId="7">
    <w:name w:val="Plain Text"/>
    <w:basedOn w:val="1"/>
    <w:qFormat/>
    <w:uiPriority w:val="0"/>
    <w:pPr>
      <w:spacing w:line="360" w:lineRule="auto"/>
    </w:pPr>
    <w:rPr>
      <w:rFonts w:ascii="宋体" w:hAnsi="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table" w:styleId="11">
    <w:name w:val="Table Grid"/>
    <w:basedOn w:val="1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Hyperlink"/>
    <w:basedOn w:val="12"/>
    <w:qFormat/>
    <w:uiPriority w:val="99"/>
    <w:rPr>
      <w:rFonts w:hint="eastAsia" w:ascii="宋体" w:hAnsi="宋体" w:eastAsia="宋体" w:cs="宋体"/>
      <w:color w:val="004A85"/>
      <w:sz w:val="12"/>
      <w:szCs w:val="12"/>
      <w:u w:val="single"/>
    </w:rPr>
  </w:style>
  <w:style w:type="character" w:styleId="15">
    <w:name w:val="HTML Code"/>
    <w:basedOn w:val="12"/>
    <w:qFormat/>
    <w:uiPriority w:val="0"/>
    <w:rPr>
      <w:rFonts w:ascii="Courier New" w:hAnsi="Courier New"/>
      <w:sz w:val="20"/>
    </w:rPr>
  </w:style>
  <w:style w:type="paragraph" w:styleId="16">
    <w:name w:val="List Paragraph"/>
    <w:basedOn w:val="1"/>
    <w:semiHidden/>
    <w:unhideWhenUsed/>
    <w:qFormat/>
    <w:uiPriority w:val="99"/>
    <w:pPr>
      <w:ind w:firstLine="420" w:firstLineChars="200"/>
    </w:pPr>
  </w:style>
  <w:style w:type="paragraph" w:customStyle="1" w:styleId="17">
    <w:name w:val="Other|1"/>
    <w:basedOn w:val="1"/>
    <w:qFormat/>
    <w:uiPriority w:val="0"/>
    <w:pPr>
      <w:spacing w:line="339" w:lineRule="exact"/>
      <w:ind w:firstLine="160"/>
    </w:pPr>
    <w:rPr>
      <w:rFonts w:ascii="宋体" w:hAnsi="宋体" w:eastAsia="宋体" w:cs="宋体"/>
      <w:sz w:val="20"/>
      <w:szCs w:val="20"/>
      <w:lang w:val="zh-TW" w:eastAsia="zh-TW" w:bidi="zh-TW"/>
    </w:rPr>
  </w:style>
  <w:style w:type="paragraph" w:customStyle="1" w:styleId="18">
    <w:name w:val="正文 A"/>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Times New Roman" w:cs="Arial Unicode MS"/>
      <w:color w:val="000000"/>
      <w:spacing w:val="0"/>
      <w:w w:val="100"/>
      <w:kern w:val="2"/>
      <w:position w:val="0"/>
      <w:sz w:val="21"/>
      <w:szCs w:val="21"/>
      <w:u w:val="none" w:color="000000"/>
      <w:vertAlign w:val="baseline"/>
      <w:lang w:val="en-US"/>
    </w:rPr>
  </w:style>
  <w:style w:type="paragraph" w:customStyle="1" w:styleId="19">
    <w:name w:val="默认"/>
    <w:qFormat/>
    <w:uiPriority w:val="0"/>
    <w:pPr>
      <w:framePr w:wrap="around" w:vAnchor="margin" w:hAnchor="text" w:y="1"/>
      <w:spacing w:before="160"/>
    </w:pPr>
    <w:rPr>
      <w:rFonts w:ascii="Helvetica Neue" w:hAnsi="Helvetica Neue" w:eastAsia="Helvetica Neue" w:cs="Helvetica Neue"/>
      <w:color w:val="000000"/>
      <w:sz w:val="24"/>
      <w:szCs w:val="24"/>
      <w:lang w:val="en-US" w:eastAsia="zh-CN" w:bidi="ar-SA"/>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列出段落1"/>
    <w:basedOn w:val="1"/>
    <w:qFormat/>
    <w:uiPriority w:val="0"/>
    <w:pPr>
      <w:adjustRightInd w:val="0"/>
      <w:spacing w:line="300" w:lineRule="auto"/>
      <w:ind w:firstLine="420" w:firstLineChars="200"/>
      <w:textAlignment w:val="baseline"/>
    </w:pPr>
    <w:rPr>
      <w:rFonts w:ascii="Times New Roman" w:eastAsia="Arial Unicode MS"/>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2531</Words>
  <Characters>2796</Characters>
  <Lines>0</Lines>
  <Paragraphs>0</Paragraphs>
  <TotalTime>5</TotalTime>
  <ScaleCrop>false</ScaleCrop>
  <LinksUpToDate>false</LinksUpToDate>
  <CharactersWithSpaces>2989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2025-06-05T17:06:00Z</dcterms:created>
  <dc:creator>大黄。</dc:creator>
  <cp:lastModifiedBy>Air</cp:lastModifiedBy>
  <dcterms:modified xsi:type="dcterms:W3CDTF">2026-09-14T03:27:55Z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7C6EDF85EA5A461E92C477152F492B9C_11</vt:lpwstr>
  </property>
  <property fmtid="{D5CDD505-2E9C-101B-9397-08002B2CF9AE}" pid="4" name="KSOTemplateDocerSaveRecord">
    <vt:lpwstr>eyJoZGlkIjoiYzNmZWQyNzEyZTgxNzE4NTNlMWRmMTBkMTMwZmRhOWIiLCJ1c2VySWQiOiIzNzU1MTUxMTAifQ==</vt:lpwstr>
  </property>
</Properties>
</file>