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0DA70">
      <w:pPr>
        <w:jc w:val="lef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项目编号：</w:t>
      </w:r>
      <w:r>
        <w:rPr>
          <w:rFonts w:hint="eastAsia" w:ascii="宋体" w:hAnsi="宋体" w:cs="宋体"/>
          <w:b/>
          <w:bCs/>
          <w:sz w:val="32"/>
          <w:szCs w:val="32"/>
          <w:highlight w:val="none"/>
          <w:lang w:eastAsia="zh-CN"/>
        </w:rPr>
        <w:t>SXZCZB2026-ZCJT-0919.1B1</w:t>
      </w:r>
    </w:p>
    <w:p w14:paraId="51D77014">
      <w:pPr>
        <w:jc w:val="center"/>
        <w:rPr>
          <w:rFonts w:ascii="宋体" w:hAnsi="宋体" w:cs="宋体"/>
          <w:b/>
          <w:sz w:val="36"/>
          <w:highlight w:val="none"/>
        </w:rPr>
      </w:pPr>
      <w:r>
        <w:rPr>
          <w:rFonts w:hint="eastAsia" w:ascii="宋体" w:hAnsi="宋体" w:cs="宋体"/>
          <w:b/>
          <w:sz w:val="36"/>
          <w:highlight w:val="none"/>
        </w:rPr>
        <w:t xml:space="preserve"> </w:t>
      </w:r>
    </w:p>
    <w:p w14:paraId="612AD6C0">
      <w:pPr>
        <w:jc w:val="both"/>
        <w:rPr>
          <w:rFonts w:ascii="宋体" w:hAnsi="宋体" w:cs="宋体"/>
          <w:b/>
          <w:sz w:val="56"/>
          <w:szCs w:val="56"/>
          <w:highlight w:val="none"/>
        </w:rPr>
      </w:pPr>
    </w:p>
    <w:p w14:paraId="0ECD1098">
      <w:pPr>
        <w:jc w:val="center"/>
        <w:rPr>
          <w:rFonts w:hint="eastAsia" w:ascii="宋体" w:hAnsi="宋体" w:eastAsia="宋体" w:cs="宋体"/>
          <w:b/>
          <w:sz w:val="36"/>
          <w:szCs w:val="36"/>
          <w:highlight w:val="none"/>
          <w:lang w:eastAsia="zh-CN"/>
        </w:rPr>
      </w:pPr>
      <w:r>
        <w:rPr>
          <w:rFonts w:hint="eastAsia" w:ascii="宋体" w:hAnsi="宋体" w:cs="宋体"/>
          <w:b/>
          <w:sz w:val="52"/>
          <w:szCs w:val="52"/>
          <w:highlight w:val="none"/>
          <w:lang w:eastAsia="zh-CN"/>
        </w:rPr>
        <w:t>2026年度杨凌示范区农产品质量安全监测项目(二次)</w:t>
      </w:r>
    </w:p>
    <w:p w14:paraId="5DF7F86D">
      <w:pPr>
        <w:jc w:val="center"/>
        <w:rPr>
          <w:rFonts w:ascii="宋体" w:hAnsi="宋体" w:cs="宋体"/>
          <w:b/>
          <w:sz w:val="36"/>
          <w:szCs w:val="36"/>
          <w:highlight w:val="none"/>
        </w:rPr>
      </w:pPr>
    </w:p>
    <w:p w14:paraId="645A87A9">
      <w:pPr>
        <w:spacing w:line="780" w:lineRule="auto"/>
        <w:jc w:val="center"/>
        <w:rPr>
          <w:rFonts w:hint="eastAsia" w:ascii="宋体" w:hAnsi="宋体" w:cs="宋体"/>
          <w:b/>
          <w:sz w:val="72"/>
          <w:szCs w:val="72"/>
          <w:highlight w:val="none"/>
        </w:rPr>
      </w:pPr>
    </w:p>
    <w:p w14:paraId="611CC42E">
      <w:pPr>
        <w:spacing w:line="780" w:lineRule="auto"/>
        <w:jc w:val="center"/>
        <w:rPr>
          <w:rFonts w:hint="eastAsia" w:ascii="宋体" w:hAnsi="宋体" w:cs="宋体"/>
          <w:b/>
          <w:sz w:val="72"/>
          <w:szCs w:val="72"/>
          <w:highlight w:val="none"/>
        </w:rPr>
      </w:pPr>
    </w:p>
    <w:p w14:paraId="38940529">
      <w:pPr>
        <w:spacing w:line="780" w:lineRule="auto"/>
        <w:jc w:val="center"/>
        <w:rPr>
          <w:rFonts w:ascii="宋体" w:hAnsi="宋体" w:cs="宋体"/>
          <w:b/>
          <w:sz w:val="72"/>
          <w:szCs w:val="72"/>
          <w:highlight w:val="none"/>
        </w:rPr>
      </w:pPr>
      <w:r>
        <w:rPr>
          <w:rFonts w:hint="eastAsia" w:ascii="宋体" w:hAnsi="宋体" w:cs="宋体"/>
          <w:b/>
          <w:sz w:val="72"/>
          <w:szCs w:val="72"/>
          <w:highlight w:val="none"/>
        </w:rPr>
        <w:t>竞争性谈判文件</w:t>
      </w:r>
    </w:p>
    <w:p w14:paraId="31780DDA">
      <w:pPr>
        <w:rPr>
          <w:rFonts w:ascii="宋体" w:hAnsi="宋体" w:cs="宋体"/>
          <w:highlight w:val="none"/>
        </w:rPr>
      </w:pPr>
      <w:bookmarkStart w:id="0" w:name="_Toc363463325"/>
    </w:p>
    <w:p w14:paraId="56B37CA4">
      <w:pPr>
        <w:rPr>
          <w:rFonts w:ascii="宋体" w:hAnsi="宋体" w:cs="宋体"/>
          <w:highlight w:val="none"/>
        </w:rPr>
      </w:pPr>
    </w:p>
    <w:bookmarkEnd w:id="0"/>
    <w:p w14:paraId="11E83C8E">
      <w:pPr>
        <w:jc w:val="center"/>
        <w:rPr>
          <w:rFonts w:ascii="宋体" w:hAnsi="宋体" w:cs="宋体"/>
          <w:b/>
          <w:sz w:val="36"/>
          <w:szCs w:val="36"/>
          <w:highlight w:val="none"/>
        </w:rPr>
      </w:pPr>
    </w:p>
    <w:p w14:paraId="4EE72979">
      <w:pPr>
        <w:rPr>
          <w:rFonts w:ascii="宋体" w:hAnsi="宋体" w:cs="宋体"/>
          <w:sz w:val="36"/>
          <w:szCs w:val="36"/>
          <w:highlight w:val="none"/>
        </w:rPr>
      </w:pPr>
    </w:p>
    <w:p w14:paraId="5747DBCE">
      <w:pPr>
        <w:jc w:val="center"/>
        <w:rPr>
          <w:rFonts w:ascii="宋体" w:hAnsi="宋体" w:cs="宋体"/>
          <w:sz w:val="36"/>
          <w:szCs w:val="36"/>
          <w:highlight w:val="none"/>
        </w:rPr>
      </w:pPr>
    </w:p>
    <w:p w14:paraId="6615E15E">
      <w:pPr>
        <w:jc w:val="center"/>
        <w:rPr>
          <w:rFonts w:ascii="宋体" w:hAnsi="宋体" w:cs="宋体"/>
          <w:sz w:val="36"/>
          <w:szCs w:val="36"/>
          <w:highlight w:val="none"/>
        </w:rPr>
      </w:pPr>
    </w:p>
    <w:p w14:paraId="21153A30">
      <w:pPr>
        <w:rPr>
          <w:rFonts w:ascii="宋体" w:hAnsi="宋体" w:cs="宋体"/>
          <w:sz w:val="18"/>
          <w:szCs w:val="18"/>
          <w:highlight w:val="none"/>
        </w:rPr>
      </w:pPr>
    </w:p>
    <w:p w14:paraId="2245DBA1">
      <w:pPr>
        <w:ind w:firstLine="1285" w:firstLineChars="400"/>
        <w:rPr>
          <w:rFonts w:hint="eastAsia" w:hAnsi="宋体" w:eastAsia="宋体" w:cs="宋体"/>
          <w:b/>
          <w:bCs/>
          <w:sz w:val="32"/>
          <w:szCs w:val="32"/>
          <w:highlight w:val="none"/>
          <w:lang w:eastAsia="zh-CN"/>
        </w:rPr>
      </w:pPr>
      <w:r>
        <w:rPr>
          <w:rFonts w:hint="eastAsia" w:hAnsi="宋体" w:cs="宋体"/>
          <w:b/>
          <w:bCs/>
          <w:sz w:val="32"/>
          <w:szCs w:val="32"/>
          <w:highlight w:val="none"/>
        </w:rPr>
        <w:t>采 购 人：</w:t>
      </w:r>
      <w:r>
        <w:rPr>
          <w:rFonts w:hint="eastAsia" w:hAnsi="宋体" w:cs="宋体"/>
          <w:b/>
          <w:bCs/>
          <w:sz w:val="32"/>
          <w:szCs w:val="32"/>
          <w:highlight w:val="none"/>
          <w:lang w:eastAsia="zh-CN"/>
        </w:rPr>
        <w:t>杨凌示范区现代农业和乡村振兴局</w:t>
      </w:r>
    </w:p>
    <w:p w14:paraId="5EA8E72E">
      <w:pPr>
        <w:ind w:firstLine="1285" w:firstLineChars="400"/>
        <w:rPr>
          <w:rFonts w:hAnsi="宋体" w:cs="宋体"/>
          <w:b/>
          <w:bCs/>
          <w:sz w:val="32"/>
          <w:szCs w:val="32"/>
          <w:highlight w:val="none"/>
        </w:rPr>
      </w:pPr>
      <w:r>
        <w:rPr>
          <w:rFonts w:hint="eastAsia" w:hAnsi="宋体" w:cs="宋体"/>
          <w:b/>
          <w:bCs/>
          <w:sz w:val="32"/>
          <w:szCs w:val="32"/>
          <w:highlight w:val="none"/>
        </w:rPr>
        <w:t>代理机构：陕西至诚项目管理集团有限公司</w:t>
      </w:r>
    </w:p>
    <w:p w14:paraId="23097DA6">
      <w:pPr>
        <w:ind w:firstLine="1285" w:firstLineChars="400"/>
        <w:rPr>
          <w:rFonts w:ascii="宋体" w:hAnsi="宋体" w:cs="宋体"/>
          <w:b/>
          <w:sz w:val="44"/>
          <w:szCs w:val="44"/>
          <w:highlight w:val="none"/>
        </w:rPr>
      </w:pPr>
      <w:r>
        <w:rPr>
          <w:rFonts w:hint="eastAsia" w:hAnsi="宋体" w:cs="宋体"/>
          <w:b/>
          <w:bCs/>
          <w:sz w:val="32"/>
          <w:szCs w:val="32"/>
          <w:highlight w:val="none"/>
        </w:rPr>
        <w:t>日    期：二〇二</w:t>
      </w:r>
      <w:r>
        <w:rPr>
          <w:rFonts w:hint="eastAsia" w:hAnsi="宋体" w:cs="宋体"/>
          <w:b/>
          <w:bCs/>
          <w:sz w:val="32"/>
          <w:szCs w:val="32"/>
          <w:highlight w:val="none"/>
          <w:lang w:val="en-US" w:eastAsia="zh-CN"/>
        </w:rPr>
        <w:t>六</w:t>
      </w:r>
      <w:r>
        <w:rPr>
          <w:rFonts w:hint="eastAsia" w:hAnsi="宋体" w:cs="宋体"/>
          <w:b/>
          <w:bCs/>
          <w:sz w:val="32"/>
          <w:szCs w:val="32"/>
          <w:highlight w:val="none"/>
        </w:rPr>
        <w:t>年</w:t>
      </w:r>
      <w:r>
        <w:rPr>
          <w:rFonts w:hint="eastAsia" w:hAnsi="宋体" w:cs="宋体"/>
          <w:b/>
          <w:bCs/>
          <w:sz w:val="32"/>
          <w:szCs w:val="32"/>
          <w:highlight w:val="none"/>
          <w:lang w:val="en-US" w:eastAsia="zh-CN"/>
        </w:rPr>
        <w:t>十</w:t>
      </w:r>
      <w:r>
        <w:rPr>
          <w:rFonts w:hint="eastAsia" w:hAnsi="宋体" w:cs="宋体"/>
          <w:b/>
          <w:bCs/>
          <w:sz w:val="32"/>
          <w:szCs w:val="32"/>
          <w:highlight w:val="none"/>
        </w:rPr>
        <w:t>月</w:t>
      </w:r>
    </w:p>
    <w:p w14:paraId="474F4229">
      <w:pPr>
        <w:pStyle w:val="8"/>
        <w:rPr>
          <w:highlight w:val="none"/>
        </w:rPr>
        <w:sectPr>
          <w:headerReference r:id="rId4" w:type="first"/>
          <w:headerReference r:id="rId3" w:type="default"/>
          <w:footerReference r:id="rId5" w:type="default"/>
          <w:pgSz w:w="11906" w:h="16838"/>
          <w:pgMar w:top="1304" w:right="1361" w:bottom="1304" w:left="1361" w:header="851" w:footer="992" w:gutter="0"/>
          <w:pgBorders>
            <w:top w:val="none" w:sz="0" w:space="0"/>
            <w:left w:val="none" w:sz="0" w:space="0"/>
            <w:bottom w:val="none" w:sz="0" w:space="0"/>
            <w:right w:val="none" w:sz="0" w:space="0"/>
          </w:pgBorders>
          <w:pgNumType w:start="1"/>
          <w:cols w:space="720" w:num="1"/>
          <w:titlePg/>
          <w:docGrid w:type="lines" w:linePitch="312" w:charSpace="0"/>
        </w:sectPr>
      </w:pPr>
    </w:p>
    <w:p w14:paraId="59C2500F">
      <w:pPr>
        <w:keepNext w:val="0"/>
        <w:keepLines w:val="0"/>
        <w:pageBreakBefore w:val="0"/>
        <w:widowControl w:val="0"/>
        <w:kinsoku/>
        <w:wordWrap/>
        <w:overflowPunct/>
        <w:topLinePunct w:val="0"/>
        <w:autoSpaceDE/>
        <w:autoSpaceDN/>
        <w:bidi w:val="0"/>
        <w:adjustRightInd/>
        <w:snapToGrid/>
        <w:spacing w:line="240" w:lineRule="auto"/>
        <w:ind w:firstLine="643" w:firstLineChars="200"/>
        <w:jc w:val="center"/>
        <w:textAlignment w:val="auto"/>
        <w:rPr>
          <w:rFonts w:hint="eastAsia" w:ascii="仿宋" w:hAnsi="仿宋" w:eastAsia="仿宋" w:cs="仿宋"/>
          <w:color w:val="auto"/>
          <w:sz w:val="22"/>
          <w:szCs w:val="22"/>
          <w:highlight w:val="none"/>
          <w:lang w:eastAsia="zh-CN"/>
        </w:rPr>
      </w:pPr>
      <w:r>
        <w:rPr>
          <w:rFonts w:hint="eastAsia" w:ascii="仿宋" w:hAnsi="仿宋" w:eastAsia="仿宋" w:cs="仿宋"/>
          <w:b/>
          <w:bCs/>
          <w:color w:val="auto"/>
          <w:sz w:val="32"/>
          <w:szCs w:val="32"/>
          <w:highlight w:val="none"/>
          <w:lang w:val="en-US" w:eastAsia="zh-CN"/>
        </w:rPr>
        <w:t>特别提醒</w:t>
      </w:r>
    </w:p>
    <w:p w14:paraId="571042E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38B248AE">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2C2E53D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D75267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4、不见面开标</w:t>
      </w:r>
      <w:r>
        <w:rPr>
          <w:rFonts w:hint="eastAsia" w:ascii="宋体" w:hAnsi="宋体" w:eastAsia="宋体" w:cs="宋体"/>
          <w:b/>
          <w:bCs/>
          <w:snapToGrid w:val="0"/>
          <w:color w:val="auto"/>
          <w:sz w:val="24"/>
          <w:highlight w:val="none"/>
          <w:lang w:eastAsia="zh-CN"/>
        </w:rPr>
        <w:t>系统</w:t>
      </w:r>
      <w:r>
        <w:rPr>
          <w:rFonts w:hint="eastAsia" w:ascii="宋体" w:hAnsi="宋体" w:eastAsia="宋体" w:cs="宋体"/>
          <w:b/>
          <w:bCs/>
          <w:snapToGrid w:val="0"/>
          <w:color w:val="auto"/>
          <w:sz w:val="24"/>
          <w:highlight w:val="none"/>
        </w:rPr>
        <w:t>：打开登录页面网址选择点击右上角“登录”，在左侧选择“投标人”身份，登录地区选择“</w:t>
      </w:r>
      <w:r>
        <w:rPr>
          <w:rFonts w:hint="eastAsia" w:ascii="宋体" w:hAnsi="宋体" w:eastAsia="宋体" w:cs="宋体"/>
          <w:b/>
          <w:bCs/>
          <w:snapToGrid w:val="0"/>
          <w:color w:val="auto"/>
          <w:sz w:val="24"/>
          <w:highlight w:val="none"/>
          <w:lang w:eastAsia="zh-CN"/>
        </w:rPr>
        <w:t>陕西省杨凌示范区</w:t>
      </w:r>
      <w:r>
        <w:rPr>
          <w:rFonts w:hint="eastAsia" w:ascii="宋体" w:hAnsi="宋体" w:eastAsia="宋体" w:cs="宋体"/>
          <w:b/>
          <w:bCs/>
          <w:snapToGrid w:val="0"/>
          <w:color w:val="auto"/>
          <w:sz w:val="24"/>
          <w:highlight w:val="none"/>
        </w:rPr>
        <w:t>不见面开标”插入CA锁登录，输入密码后，点击“登录”：（http://122.112.246.33/BidOpening/bidopeninghallaction/hall/login），</w:t>
      </w:r>
    </w:p>
    <w:p w14:paraId="1A7DC33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投标人登录之后可以看到当前投标人今日开标项目；1、选择要开标的项目，点击进入，页面首先阅读开标流程，点击“我已阅读”进入开标大厅，点击“取消”返回项目列表页面。</w:t>
      </w:r>
    </w:p>
    <w:p w14:paraId="1481DDB3">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5、开标签到</w:t>
      </w:r>
    </w:p>
    <w:p w14:paraId="08A56774">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投标人等待开标时需要签到，等候开标。请在开标前完成签到，开标时间到了之后就不能签到；点击页面上“签到”按钮进行签到，开标前</w:t>
      </w:r>
      <w:r>
        <w:rPr>
          <w:rFonts w:hint="eastAsia" w:ascii="宋体" w:hAnsi="宋体" w:cs="宋体"/>
          <w:b/>
          <w:bCs/>
          <w:snapToGrid w:val="0"/>
          <w:color w:val="auto"/>
          <w:sz w:val="24"/>
          <w:highlight w:val="none"/>
          <w:lang w:val="en-US" w:eastAsia="zh-CN"/>
        </w:rPr>
        <w:t>60</w:t>
      </w:r>
      <w:r>
        <w:rPr>
          <w:rFonts w:hint="eastAsia" w:ascii="宋体" w:hAnsi="宋体" w:eastAsia="宋体" w:cs="宋体"/>
          <w:b/>
          <w:bCs/>
          <w:snapToGrid w:val="0"/>
          <w:color w:val="auto"/>
          <w:sz w:val="24"/>
          <w:highlight w:val="none"/>
        </w:rPr>
        <w:t>分钟可以签到。签到成功之后，按钮灰化，无需再次签到，同时第一个座位图右下角出现绿色√；</w:t>
      </w:r>
    </w:p>
    <w:p w14:paraId="6D06BC82">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482" w:firstLineChars="200"/>
        <w:jc w:val="left"/>
        <w:textAlignment w:val="auto"/>
        <w:rPr>
          <w:rFonts w:hint="eastAsia" w:hAnsi="宋体" w:cs="宋体"/>
          <w:b/>
          <w:bCs/>
          <w:snapToGrid w:val="0"/>
          <w:color w:val="auto"/>
          <w:sz w:val="24"/>
          <w:highlight w:val="none"/>
          <w:lang w:val="en-US" w:eastAsia="zh-CN"/>
        </w:rPr>
      </w:pPr>
      <w:r>
        <w:rPr>
          <w:rFonts w:hint="eastAsia" w:hAnsi="宋体" w:cs="宋体"/>
          <w:b/>
          <w:bCs/>
          <w:snapToGrid w:val="0"/>
          <w:color w:val="auto"/>
          <w:sz w:val="24"/>
          <w:highlight w:val="none"/>
          <w:lang w:val="en-US" w:eastAsia="zh-CN"/>
        </w:rPr>
        <w:t>谈判二次报价：供应商可登录陕西省政府采购交易系统.企业端（网址：http://yangl.sxggzyjy.cn/wblj/009001/jyxtlogin.html）进行二次报价。详见《政府采购二次报价操作手册》（网址</w:t>
      </w:r>
      <w:r>
        <w:rPr>
          <w:rFonts w:hint="eastAsia" w:ascii="Times New Roman" w:hAnsi="宋体" w:eastAsia="宋体" w:cs="宋体"/>
          <w:b/>
          <w:bCs/>
          <w:snapToGrid w:val="0"/>
          <w:color w:val="auto"/>
          <w:sz w:val="24"/>
          <w:highlight w:val="none"/>
          <w:lang w:val="en-US" w:eastAsia="zh-CN"/>
        </w:rPr>
        <w:t>：</w:t>
      </w:r>
      <w:r>
        <w:rPr>
          <w:rFonts w:hint="eastAsia" w:ascii="Times New Roman" w:hAnsi="宋体" w:eastAsia="宋体" w:cs="宋体"/>
          <w:b/>
          <w:bCs/>
          <w:snapToGrid w:val="0"/>
          <w:color w:val="auto"/>
          <w:sz w:val="24"/>
          <w:highlight w:val="none"/>
          <w:lang w:val="en-US" w:eastAsia="zh-CN"/>
        </w:rPr>
        <w:fldChar w:fldCharType="begin"/>
      </w:r>
      <w:r>
        <w:rPr>
          <w:rFonts w:hint="eastAsia" w:ascii="Times New Roman" w:hAnsi="宋体" w:eastAsia="宋体" w:cs="宋体"/>
          <w:b/>
          <w:bCs/>
          <w:snapToGrid w:val="0"/>
          <w:color w:val="auto"/>
          <w:sz w:val="24"/>
          <w:highlight w:val="none"/>
          <w:lang w:val="en-US" w:eastAsia="zh-CN"/>
        </w:rPr>
        <w:instrText xml:space="preserve"> HYPERLINK "http://yangl.sxggzyjy.cn/fwzn/004003/subPage.html）。" </w:instrText>
      </w:r>
      <w:r>
        <w:rPr>
          <w:rFonts w:hint="eastAsia" w:ascii="Times New Roman" w:hAnsi="宋体" w:eastAsia="宋体" w:cs="宋体"/>
          <w:b/>
          <w:bCs/>
          <w:snapToGrid w:val="0"/>
          <w:color w:val="auto"/>
          <w:sz w:val="24"/>
          <w:highlight w:val="none"/>
          <w:lang w:val="en-US" w:eastAsia="zh-CN"/>
        </w:rPr>
        <w:fldChar w:fldCharType="separate"/>
      </w:r>
      <w:r>
        <w:rPr>
          <w:rFonts w:hint="eastAsia" w:ascii="Times New Roman" w:hAnsi="宋体" w:eastAsia="宋体" w:cs="宋体"/>
          <w:b/>
          <w:bCs/>
          <w:snapToGrid w:val="0"/>
          <w:color w:val="auto"/>
          <w:sz w:val="24"/>
          <w:highlight w:val="none"/>
          <w:lang w:val="en-US" w:eastAsia="zh-CN"/>
        </w:rPr>
        <w:t>http://yangl.sxggzyjy.cn/fwzn/004003/subPage.html）。</w:t>
      </w:r>
      <w:r>
        <w:rPr>
          <w:rFonts w:hint="eastAsia" w:ascii="Times New Roman" w:hAnsi="宋体" w:eastAsia="宋体" w:cs="宋体"/>
          <w:b/>
          <w:bCs/>
          <w:snapToGrid w:val="0"/>
          <w:color w:val="auto"/>
          <w:sz w:val="24"/>
          <w:highlight w:val="none"/>
          <w:lang w:val="en-US" w:eastAsia="zh-CN"/>
        </w:rPr>
        <w:fldChar w:fldCharType="end"/>
      </w:r>
    </w:p>
    <w:p w14:paraId="3EDA71E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7</w:t>
      </w:r>
      <w:r>
        <w:rPr>
          <w:rFonts w:hint="eastAsia" w:ascii="宋体" w:hAnsi="宋体" w:eastAsia="宋体" w:cs="宋体"/>
          <w:b/>
          <w:bCs/>
          <w:snapToGrid w:val="0"/>
          <w:color w:val="auto"/>
          <w:sz w:val="24"/>
          <w:highlight w:val="none"/>
        </w:rPr>
        <w:t>、注意事项</w:t>
      </w:r>
    </w:p>
    <w:p w14:paraId="27BE43D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597C8D9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2</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、建议投标人在开标前半小时登录不见面开标大厅，并及时签到（开标前60分钟即可签到），遇到问题及时联系客服4009280095。</w:t>
      </w:r>
    </w:p>
    <w:p w14:paraId="01B8666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3</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、投标人需注意CA锁一定要提前准备好，并确保CA锁为制作投标文件的CA锁。</w:t>
      </w:r>
    </w:p>
    <w:p w14:paraId="3A5A6D1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cs="宋体"/>
          <w:b/>
          <w:sz w:val="44"/>
          <w:szCs w:val="4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4</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、及时关注右侧公告及互动栏目信息。</w:t>
      </w:r>
      <w:r>
        <w:rPr>
          <w:rFonts w:hint="eastAsia" w:ascii="宋体" w:hAnsi="宋体" w:cs="宋体"/>
          <w:b/>
          <w:sz w:val="44"/>
          <w:szCs w:val="44"/>
          <w:highlight w:val="none"/>
        </w:rPr>
        <w:br w:type="page"/>
      </w:r>
    </w:p>
    <w:p w14:paraId="20AF71CE">
      <w:pPr>
        <w:jc w:val="center"/>
        <w:rPr>
          <w:rFonts w:ascii="宋体" w:hAnsi="宋体" w:cs="宋体"/>
          <w:b/>
          <w:sz w:val="44"/>
          <w:szCs w:val="44"/>
          <w:highlight w:val="none"/>
        </w:rPr>
      </w:pPr>
      <w:r>
        <w:rPr>
          <w:rFonts w:hint="eastAsia" w:ascii="宋体" w:hAnsi="宋体" w:cs="宋体"/>
          <w:b/>
          <w:sz w:val="44"/>
          <w:szCs w:val="44"/>
          <w:highlight w:val="none"/>
        </w:rPr>
        <w:t>目   录</w:t>
      </w:r>
    </w:p>
    <w:p w14:paraId="0AD65401">
      <w:pPr>
        <w:pStyle w:val="14"/>
        <w:tabs>
          <w:tab w:val="right" w:leader="dot" w:pos="8788"/>
        </w:tabs>
        <w:spacing w:line="360" w:lineRule="auto"/>
        <w:rPr>
          <w:rFonts w:ascii="宋体" w:hAnsi="宋体" w:cs="宋体"/>
          <w:sz w:val="28"/>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"1-4"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"_Toc11517" </w:instrText>
      </w:r>
      <w:r>
        <w:rPr>
          <w:highlight w:val="none"/>
        </w:rPr>
        <w:fldChar w:fldCharType="separate"/>
      </w:r>
      <w:r>
        <w:rPr>
          <w:rFonts w:hint="eastAsia" w:ascii="宋体" w:hAnsi="宋体" w:cs="宋体"/>
          <w:sz w:val="28"/>
          <w:szCs w:val="32"/>
          <w:highlight w:val="none"/>
        </w:rPr>
        <w:t>第一章  竞争性谈判公告</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_Toc11517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1</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3A2813F">
      <w:pPr>
        <w:pStyle w:val="14"/>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"_Toc3578" </w:instrText>
      </w:r>
      <w:r>
        <w:rPr>
          <w:highlight w:val="none"/>
        </w:rPr>
        <w:fldChar w:fldCharType="separate"/>
      </w:r>
      <w:r>
        <w:rPr>
          <w:rFonts w:hint="eastAsia" w:ascii="宋体" w:hAnsi="宋体" w:cs="宋体"/>
          <w:sz w:val="28"/>
          <w:szCs w:val="44"/>
          <w:highlight w:val="none"/>
        </w:rPr>
        <w:t>第二章  供应商须知</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_Toc3578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6</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31B85F1">
      <w:pPr>
        <w:pStyle w:val="14"/>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"_Toc6133" </w:instrText>
      </w:r>
      <w:r>
        <w:rPr>
          <w:highlight w:val="none"/>
        </w:rPr>
        <w:fldChar w:fldCharType="separate"/>
      </w:r>
      <w:r>
        <w:rPr>
          <w:rFonts w:hint="eastAsia" w:ascii="宋体" w:hAnsi="宋体" w:cs="宋体"/>
          <w:sz w:val="28"/>
          <w:szCs w:val="40"/>
          <w:highlight w:val="none"/>
        </w:rPr>
        <w:t>供应商须知前附表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_Toc6133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6</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423F6D49">
      <w:pPr>
        <w:pStyle w:val="14"/>
        <w:tabs>
          <w:tab w:val="right" w:leader="dot" w:pos="8788"/>
        </w:tabs>
        <w:spacing w:line="360" w:lineRule="auto"/>
        <w:ind w:firstLine="630" w:firstLineChars="300"/>
        <w:rPr>
          <w:rFonts w:ascii="宋体" w:hAnsi="宋体" w:cs="宋体"/>
          <w:sz w:val="28"/>
          <w:szCs w:val="32"/>
          <w:highlight w:val="none"/>
        </w:rPr>
      </w:pPr>
      <w:r>
        <w:rPr>
          <w:highlight w:val="none"/>
        </w:rPr>
        <w:fldChar w:fldCharType="begin"/>
      </w:r>
      <w:r>
        <w:rPr>
          <w:highlight w:val="none"/>
        </w:rPr>
        <w:instrText xml:space="preserve"> HYPERLINK \l "_Toc5789" </w:instrText>
      </w:r>
      <w:r>
        <w:rPr>
          <w:highlight w:val="none"/>
        </w:rPr>
        <w:fldChar w:fldCharType="separate"/>
      </w:r>
      <w:r>
        <w:rPr>
          <w:rFonts w:hint="eastAsia" w:ascii="宋体" w:hAnsi="宋体" w:cs="宋体"/>
          <w:sz w:val="28"/>
          <w:szCs w:val="40"/>
          <w:highlight w:val="none"/>
        </w:rPr>
        <w:t>供应商须知</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_Toc5789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12</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4D3D2E54">
      <w:pPr>
        <w:pStyle w:val="14"/>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"_Toc6792" </w:instrText>
      </w:r>
      <w:r>
        <w:rPr>
          <w:highlight w:val="none"/>
        </w:rPr>
        <w:fldChar w:fldCharType="separate"/>
      </w:r>
      <w:r>
        <w:rPr>
          <w:rFonts w:hint="eastAsia" w:ascii="宋体" w:hAnsi="宋体" w:cs="宋体"/>
          <w:sz w:val="28"/>
          <w:szCs w:val="48"/>
          <w:highlight w:val="none"/>
        </w:rPr>
        <w:t>第三章  竞争性谈判内容及参数</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_Toc6792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22</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12D1CCF3">
      <w:pPr>
        <w:pStyle w:val="14"/>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"_Toc24301" </w:instrText>
      </w:r>
      <w:r>
        <w:rPr>
          <w:highlight w:val="none"/>
        </w:rPr>
        <w:fldChar w:fldCharType="separate"/>
      </w:r>
      <w:r>
        <w:rPr>
          <w:rFonts w:hint="eastAsia" w:ascii="宋体" w:hAnsi="宋体" w:cs="宋体"/>
          <w:sz w:val="28"/>
          <w:szCs w:val="48"/>
          <w:highlight w:val="none"/>
        </w:rPr>
        <w:t xml:space="preserve">第四章  </w:t>
      </w:r>
      <w:r>
        <w:rPr>
          <w:rFonts w:hint="eastAsia" w:ascii="宋体" w:hAnsi="宋体" w:cs="宋体"/>
          <w:bCs/>
          <w:sz w:val="28"/>
          <w:szCs w:val="48"/>
          <w:highlight w:val="none"/>
        </w:rPr>
        <w:t>合同条款及格式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_Toc24301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22</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42EB994">
      <w:pPr>
        <w:pStyle w:val="15"/>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"_Toc5676" </w:instrText>
      </w:r>
      <w:r>
        <w:rPr>
          <w:highlight w:val="none"/>
        </w:rPr>
        <w:fldChar w:fldCharType="separate"/>
      </w:r>
      <w:r>
        <w:rPr>
          <w:rFonts w:hint="eastAsia" w:ascii="宋体" w:hAnsi="宋体" w:cs="宋体"/>
          <w:sz w:val="28"/>
          <w:szCs w:val="32"/>
          <w:highlight w:val="none"/>
        </w:rPr>
        <w:t>合同条款及格式前附表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_Toc5676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31</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E3DF6AF">
      <w:pPr>
        <w:pStyle w:val="14"/>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"_Toc7592" </w:instrText>
      </w:r>
      <w:r>
        <w:rPr>
          <w:highlight w:val="none"/>
        </w:rPr>
        <w:fldChar w:fldCharType="separate"/>
      </w:r>
      <w:r>
        <w:rPr>
          <w:rFonts w:hint="eastAsia" w:ascii="宋体" w:hAnsi="宋体" w:cs="宋体"/>
          <w:bCs/>
          <w:sz w:val="28"/>
          <w:szCs w:val="48"/>
          <w:highlight w:val="none"/>
        </w:rPr>
        <w:t>第五章  谈判响应文件格式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_Toc7592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37</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57CA2B78">
      <w:pPr>
        <w:spacing w:line="420" w:lineRule="exact"/>
        <w:ind w:firstLine="480" w:firstLineChars="200"/>
        <w:rPr>
          <w:rFonts w:ascii="宋体" w:hAnsi="宋体" w:cs="宋体"/>
          <w:sz w:val="24"/>
          <w:szCs w:val="24"/>
          <w:highlight w:val="none"/>
        </w:rPr>
      </w:pPr>
      <w:r>
        <w:rPr>
          <w:rFonts w:hint="eastAsia" w:ascii="宋体" w:hAnsi="宋体" w:cs="宋体"/>
          <w:sz w:val="24"/>
          <w:szCs w:val="32"/>
          <w:highlight w:val="none"/>
        </w:rPr>
        <w:fldChar w:fldCharType="end"/>
      </w:r>
    </w:p>
    <w:p w14:paraId="586FBA04">
      <w:pPr>
        <w:pStyle w:val="2"/>
        <w:jc w:val="center"/>
        <w:rPr>
          <w:rFonts w:ascii="宋体" w:hAnsi="宋体" w:cs="宋体"/>
          <w:highlight w:val="none"/>
        </w:rPr>
        <w:sectPr>
          <w:pgSz w:w="11906" w:h="16838"/>
          <w:pgMar w:top="1304" w:right="1361" w:bottom="1304" w:left="1361" w:header="851" w:footer="992" w:gutter="0"/>
          <w:pgBorders>
            <w:top w:val="none" w:sz="0" w:space="0"/>
            <w:left w:val="none" w:sz="0" w:space="0"/>
            <w:bottom w:val="none" w:sz="0" w:space="0"/>
            <w:right w:val="none" w:sz="0" w:space="0"/>
          </w:pgBorders>
          <w:cols w:space="0" w:num="1"/>
          <w:docGrid w:type="lines" w:linePitch="312" w:charSpace="0"/>
        </w:sectPr>
      </w:pPr>
    </w:p>
    <w:p w14:paraId="3536C0F9">
      <w:pPr>
        <w:pStyle w:val="2"/>
        <w:jc w:val="center"/>
        <w:rPr>
          <w:rFonts w:ascii="宋体" w:hAnsi="宋体" w:cs="宋体"/>
          <w:sz w:val="36"/>
          <w:szCs w:val="20"/>
          <w:highlight w:val="none"/>
        </w:rPr>
      </w:pPr>
      <w:bookmarkStart w:id="1" w:name="_Toc11517"/>
      <w:r>
        <w:rPr>
          <w:rFonts w:hint="eastAsia" w:ascii="宋体" w:hAnsi="宋体" w:cs="宋体"/>
          <w:sz w:val="36"/>
          <w:szCs w:val="20"/>
          <w:highlight w:val="none"/>
        </w:rPr>
        <w:t>第一章  竞争性谈判公告</w:t>
      </w:r>
      <w:bookmarkEnd w:id="1"/>
    </w:p>
    <w:p w14:paraId="4ECD1A2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3142B6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2026年度杨凌示范区农产品质量安全监测项目(二次)采购项目的潜在供应商应在登录陕西省杨凌示范区公共资源交易中心平台（http://yangl.sxggzyjy.cn/）项目确认后获取采购文件，并于 2026年10月15日 09时00分 （北京时间）前提交响应文件。</w:t>
      </w:r>
    </w:p>
    <w:p w14:paraId="5B03A61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26D8ED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项目编号：SXZCZB2026-ZCJT-0919.1B1</w:t>
      </w:r>
    </w:p>
    <w:p w14:paraId="39B96F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项目名称：2026年度杨凌示范区农产品质量安全监测项目(二次)</w:t>
      </w:r>
    </w:p>
    <w:p w14:paraId="30C4A7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34FB99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预算金额：420,000.00元</w:t>
      </w:r>
    </w:p>
    <w:p w14:paraId="4D889F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00064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合同包1(农产品质量安全监测项目):</w:t>
      </w:r>
    </w:p>
    <w:p w14:paraId="296A40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合同包预算金额：420,000.00元</w:t>
      </w:r>
    </w:p>
    <w:p w14:paraId="5D7329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合同包最高限价：420,000.00元</w:t>
      </w:r>
    </w:p>
    <w:tbl>
      <w:tblPr>
        <w:tblStyle w:val="17"/>
        <w:tblW w:w="98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20"/>
        <w:gridCol w:w="1617"/>
        <w:gridCol w:w="1617"/>
        <w:gridCol w:w="1366"/>
        <w:gridCol w:w="2826"/>
        <w:gridCol w:w="1650"/>
      </w:tblGrid>
      <w:tr w14:paraId="1595A3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07" w:hRule="atLeast"/>
          <w:tblHeader/>
          <w:jc w:val="center"/>
        </w:trPr>
        <w:tc>
          <w:tcPr>
            <w:tcW w:w="8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E52F0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品目号</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838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品目名称</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2F8F6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采购标的</w:t>
            </w:r>
          </w:p>
        </w:tc>
        <w:tc>
          <w:tcPr>
            <w:tcW w:w="13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B8968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数量</w:t>
            </w:r>
          </w:p>
          <w:p w14:paraId="1D391D7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（单位）</w:t>
            </w:r>
          </w:p>
        </w:tc>
        <w:tc>
          <w:tcPr>
            <w:tcW w:w="28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8D31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技术规格、参数及要求</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97CA1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品目预算</w:t>
            </w:r>
          </w:p>
          <w:p w14:paraId="579C66A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(元)</w:t>
            </w:r>
          </w:p>
        </w:tc>
      </w:tr>
      <w:tr w14:paraId="2340A8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22" w:hRule="atLeast"/>
          <w:jc w:val="center"/>
        </w:trPr>
        <w:tc>
          <w:tcPr>
            <w:tcW w:w="8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1EF7F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7DAD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农产品质量安全服务</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D8788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农产品质量安全服务</w:t>
            </w:r>
          </w:p>
        </w:tc>
        <w:tc>
          <w:tcPr>
            <w:tcW w:w="13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9566E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420(批次)</w:t>
            </w:r>
          </w:p>
        </w:tc>
        <w:tc>
          <w:tcPr>
            <w:tcW w:w="28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74340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E5129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420,000.00</w:t>
            </w:r>
          </w:p>
        </w:tc>
      </w:tr>
    </w:tbl>
    <w:p w14:paraId="68D76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09A416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合同履行期限：详见谈判文件</w:t>
      </w:r>
    </w:p>
    <w:p w14:paraId="2A41BA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2F3348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E372D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B5921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合同包1(农产品质量安全监测项目)落实政府采购政策需满足的资格要求如下:</w:t>
      </w:r>
    </w:p>
    <w:p w14:paraId="748F24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（1）《政府采购促进中⼩企业发展管理办法》（财库〔2020〕46号）；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（7）财政部发展改⾰委⽣态环境部市场监管总局关于调整优化节能产品、环境标志产品政府采购执⾏机制的通知（财库〔2019〕9号）；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（11）《关于运⽤政府采购政策⽀持乡村产业振兴的通知》（财库〔2021〕19号）；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（12）陕西省财政厅关于印发《陕西省中⼩企业政府采购信⽤融资办法》（陕财办采〔2018〕23号），相关政策、业务流程、办理平台（详⻅http://www.ccgp-shaanxi.gov.cn/zcdservice/zcd/shanxi/）；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（13）《陕西省财政厅关于加快推进我省中⼩企业政府采购信⽤融资⼯作的通知》（陕财办采〔2020〕15号）；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（14）《关于进⼀步加强政府绿⾊采购有关问题的通知》（陕财办采〔2021〕29号）；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(15)《关于进⼀步加⼤政府采购⽀持中⼩企业⼒度的通知》（财库〔2022〕19号）、《关于落实政府采购⽀持中⼩企业政策有关事项的通知》（陕财办采函〔2022〕10号）；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（16）《关于进⼀步加⼤政府采购⽀持中⼩企业⼒度的通知》（财库〔2022〕19号）、《关于落实政府采购⽀持中⼩企业政策有关事项的通知》（陕财办采函〔2022〕10号）；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246A3C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7F46D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合同包1(农产品质量安全监测项目)特定资格要求如下:</w:t>
      </w:r>
    </w:p>
    <w:p w14:paraId="2B4099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(1)具有独⽴承担⺠事责任能⼒的法⼈、其他组织或⾃然⼈，并出具合法有效的统⼀社会信⽤代码的营业执照或事业单位法⼈证书等国家规定的相关证明，⾃然⼈参与的提供其⾝份证明；</w:t>
      </w:r>
      <w:r>
        <w:rPr>
          <w:rFonts w:hint="eastAsia" w:ascii="宋体" w:hAnsi="宋体" w:eastAsia="宋体" w:cs="宋体"/>
          <w:sz w:val="24"/>
          <w:szCs w:val="24"/>
        </w:rPr>
        <w:br w:type="textWrapping"/>
      </w:r>
      <w:r>
        <w:rPr>
          <w:rFonts w:hint="eastAsia" w:ascii="宋体" w:hAnsi="宋体" w:eastAsia="宋体" w:cs="宋体"/>
          <w:sz w:val="24"/>
          <w:szCs w:val="24"/>
        </w:rPr>
        <w:t>(2)提供法定代表⼈授权书(附法定代表⼈、被授权⼈⾝份证复印件及授权代表本单位证明(养⽼保险缴纳证明)，(法定代表⼈直接参加投标，须提供法定代表⼈⾝份证明及⾝份证复印件)；</w:t>
      </w:r>
      <w:r>
        <w:rPr>
          <w:rFonts w:hint="eastAsia" w:ascii="宋体" w:hAnsi="宋体" w:eastAsia="宋体" w:cs="宋体"/>
          <w:sz w:val="24"/>
          <w:szCs w:val="24"/>
        </w:rPr>
        <w:br w:type="textWrapping"/>
      </w:r>
      <w:r>
        <w:rPr>
          <w:rFonts w:hint="eastAsia" w:ascii="宋体" w:hAnsi="宋体" w:eastAsia="宋体" w:cs="宋体"/>
          <w:sz w:val="24"/>
          <w:szCs w:val="24"/>
        </w:rPr>
        <w:t>(3)提供2025年度经审计的财务报告（包括“四表⼀注”，即资产负债表、利润表、现⾦流量表、所有者权益变动表及其附注，符合《中⼩企业划型标准规定》的⼩型企业按照《⼩企业会计准则》执⾏。成⽴时间⾄提交谈判响应⽂件截⽌时间不⾜⼀年的可提供成⽴后任意时段的资产负债表），审计报告须具有注册会计师⾏业统⼀监管平台（http://acc.mof.gov.cn）赋予的验证码；或提供其开标前三个⽉内基本开⼾银⾏出具的资信证明；</w:t>
      </w:r>
      <w:r>
        <w:rPr>
          <w:rFonts w:hint="eastAsia" w:ascii="宋体" w:hAnsi="宋体" w:eastAsia="宋体" w:cs="宋体"/>
          <w:sz w:val="24"/>
          <w:szCs w:val="24"/>
        </w:rPr>
        <w:br w:type="textWrapping"/>
      </w:r>
      <w:r>
        <w:rPr>
          <w:rFonts w:hint="eastAsia" w:ascii="宋体" w:hAnsi="宋体" w:eastAsia="宋体" w:cs="宋体"/>
          <w:sz w:val="24"/>
          <w:szCs w:val="24"/>
        </w:rPr>
        <w:t>(4)提供递交竞争性谈判响应⽂件截⽌⽇前⼀年内已缴纳的⾄少⼀个⽉的纳税证明或完税证明（任意税种），依法免税的单位应提供相关证明材料；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(5)提供递交竞争性谈判响应⽂件截⽌⽇前⼀年内已缴存的⾄少⼀个⽉的社会保障资⾦缴存单据或社保机构开具的社会保险参保缴费情况证明，依法不需要缴纳社会保障资⾦的单位应提供相关证明材料；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(6)提供具有履⾏本合同所必需的设备和专业技术能⼒的说明及承诺书；</w:t>
      </w:r>
      <w:r>
        <w:rPr>
          <w:rFonts w:hint="eastAsia" w:ascii="宋体" w:hAnsi="宋体" w:eastAsia="宋体" w:cs="宋体"/>
          <w:sz w:val="24"/>
          <w:szCs w:val="24"/>
        </w:rPr>
        <w:br w:type="textWrapping"/>
      </w:r>
      <w:r>
        <w:rPr>
          <w:rFonts w:hint="eastAsia" w:ascii="宋体" w:hAnsi="宋体" w:eastAsia="宋体" w:cs="宋体"/>
          <w:sz w:val="24"/>
          <w:szCs w:val="24"/>
        </w:rPr>
        <w:t>(7)供《供应商信⽤记录书⾯声明函》供应商未被列⼊“信⽤中国”⽹站记录的“失信被执⾏⼈”或“重⼤税收违法案件当事⼈”名单；不处于“中国政府采购⽹”记录的“政府采购严重违法失信⾏为信息记录名单”中的禁⽌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(8)参加政府采购活动前3年内，在经营活动中没有重⼤违法记录的书⾯声明；</w:t>
      </w:r>
      <w:r>
        <w:rPr>
          <w:rFonts w:hint="eastAsia" w:ascii="宋体" w:hAnsi="宋体" w:eastAsia="宋体" w:cs="宋体"/>
          <w:sz w:val="24"/>
          <w:szCs w:val="24"/>
        </w:rPr>
        <w:br w:type="textWrapping"/>
      </w:r>
      <w:r>
        <w:rPr>
          <w:rFonts w:hint="eastAsia" w:ascii="宋体" w:hAnsi="宋体" w:eastAsia="宋体" w:cs="宋体"/>
          <w:sz w:val="24"/>
          <w:szCs w:val="24"/>
        </w:rPr>
        <w:t>(9)提供直接控股和管理关系清单。若与其他供应商存在单位负责⼈为同⼀⼈或者存在直接控股、管理关系的，则投标⽆效；</w:t>
      </w:r>
      <w:r>
        <w:rPr>
          <w:rFonts w:hint="eastAsia" w:ascii="宋体" w:hAnsi="宋体" w:eastAsia="宋体" w:cs="宋体"/>
          <w:sz w:val="24"/>
          <w:szCs w:val="24"/>
        </w:rPr>
        <w:br w:type="textWrapping"/>
      </w:r>
      <w:r>
        <w:rPr>
          <w:rFonts w:hint="eastAsia" w:ascii="宋体" w:hAnsi="宋体" w:eastAsia="宋体" w:cs="宋体"/>
          <w:sz w:val="24"/>
          <w:szCs w:val="24"/>
        </w:rPr>
        <w:t>(10)供应商应具备农产品质量安全检测机构考核合格证书(CATL)及检验检测机构资质认定证书(CMA);</w:t>
      </w:r>
      <w:r>
        <w:rPr>
          <w:rFonts w:hint="eastAsia" w:ascii="宋体" w:hAnsi="宋体" w:eastAsia="宋体" w:cs="宋体"/>
          <w:sz w:val="24"/>
          <w:szCs w:val="24"/>
        </w:rPr>
        <w:br w:type="textWrapping"/>
      </w:r>
      <w:r>
        <w:rPr>
          <w:rFonts w:hint="eastAsia" w:ascii="宋体" w:hAnsi="宋体" w:eastAsia="宋体" w:cs="宋体"/>
          <w:sz w:val="24"/>
          <w:szCs w:val="24"/>
        </w:rPr>
        <w:t>(11)本项⽬不接受联合体谈判（需提供承诺书）；</w:t>
      </w:r>
      <w:r>
        <w:rPr>
          <w:rFonts w:hint="eastAsia" w:ascii="宋体" w:hAnsi="宋体" w:eastAsia="宋体" w:cs="宋体"/>
          <w:sz w:val="24"/>
          <w:szCs w:val="24"/>
        </w:rPr>
        <w:br w:type="textWrapping"/>
      </w:r>
      <w:r>
        <w:rPr>
          <w:rFonts w:hint="eastAsia" w:ascii="宋体" w:hAnsi="宋体" w:eastAsia="宋体" w:cs="宋体"/>
          <w:sz w:val="24"/>
          <w:szCs w:val="24"/>
        </w:rPr>
        <w:t>(12)提供中⼩企业声明函或监狱企业的证明⽂件或残疾⼈福利性单位声明函；</w:t>
      </w:r>
    </w:p>
    <w:p w14:paraId="5F6974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39790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2026年10月10日 至 2026年10月13日 ，每天上午 00:00:00 至 12:00:00 ，下午 12:00:00 至 23:59:59 （北京时间）</w:t>
      </w:r>
    </w:p>
    <w:p w14:paraId="0A386C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途径：登录陕西省杨凌示范区公共资源交易中心平台（http://yangl.sxggzyjy.cn/）项目确认后</w:t>
      </w:r>
    </w:p>
    <w:p w14:paraId="134947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2D65E2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2DAFF44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0089CF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 2026年10月15日 09时00分00秒 （北京时间）</w:t>
      </w:r>
    </w:p>
    <w:p w14:paraId="259535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地点：电⼦响应⽂件（*.SXSTF）可于提交⾸次响应⽂件截⽌时间前任意时段登录陕西省杨凌⽰范区公共资源交易中⼼平台（http://yang l.sxggzyjy.cn/）“电⼦交易平台-企业端”进⾏提交，逾期系统将拒绝接收。</w:t>
      </w:r>
    </w:p>
    <w:p w14:paraId="07133E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五、开启</w:t>
      </w:r>
    </w:p>
    <w:p w14:paraId="06D789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2026年10月15日 09时00分00秒 （北京时间）</w:t>
      </w:r>
    </w:p>
    <w:p w14:paraId="4F9F76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地点：陕西省杨凌⽰范区公共资源交易中⼼平台（http://yangl.sxggzyjy.cn/）〖《⾸⻚》不⻅⾯开标〗⼤厅。</w:t>
      </w:r>
    </w:p>
    <w:p w14:paraId="55FC9C6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六、公告期限</w:t>
      </w:r>
    </w:p>
    <w:p w14:paraId="0DE821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4BA767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368EFE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1.备注</w:t>
      </w:r>
    </w:p>
    <w:p w14:paraId="3E9C38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上投标确认流程：登录陕西省杨凌⽰范区公共资源交易中⼼平台（http://yangl.sxggzyjy.cn/），选择“电⼦交易平台-陕西省政府采购交易系统”进⾏登录，登录后选择“交易⼄⽅”选择本项⽬选择“我要投标”填写相关信息后提交确认。</w:t>
      </w:r>
    </w:p>
    <w:p w14:paraId="50480F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获取采购⽂件⽅式：选择本项⽬点击“项⽬流程”进⼊采购⽂件下载⻚⾯，点击“交易⽂件下载”即可下载该项⽬发布的电⼦采购⽂件，供应商须在获取招标⽂件时限内，登录陕西省杨凌⽰范区公共资源交易中⼼平台系统，直接下载采购⽂件。逾期下载通道将关闭，未及时下载采购⽂件将会影响后续开评标活动。</w:t>
      </w:r>
    </w:p>
    <w:p w14:paraId="5DF9C3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办理CA锁⽅式：供应商初次使⽤交易平台，需前往陕西省数字证书认证中⼼股份有限公司办理CA锁，办理地址及咨询电话如下：西安市⾼新三路九号信息岗⼤厦⼀层101室，咨询电话:4006369888；西安市⻓安北路14号省体育公寓B座⼀楼，咨询电话：029-88661241。</w:t>
      </w:r>
    </w:p>
    <w:p w14:paraId="45F96B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（4）杨凌示范区现代农业和乡村发展局(即:杨凌示范区现代农业和乡村振兴局)</w:t>
      </w:r>
    </w:p>
    <w:p w14:paraId="049ABA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2.提交⾸次响应⽂件的⽅式</w:t>
      </w:r>
    </w:p>
    <w:p w14:paraId="32499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（1）电⼦响应⽂件（*.SXSTF）可于提交⾸次响应⽂件截⽌时间前任意时段登录陕西省杨凌⽰范区公共资源交易中⼼平台（http://yangl.sxggzyjy.cn/）“电⼦交易平台-企业端”进⾏提交，逾期系统将拒绝接收。</w:t>
      </w:r>
    </w:p>
    <w:p w14:paraId="24222A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采⽤“不⻅⾯”开标形式，供应商可登录陕西省杨凌⽰范区公共资源交易中⼼平台（http://yangl.sxggzyjy.cn/）〖《⾸⻚》不⻅⾯开标〗在线参与开评标过程，详⻅交易平台〖⾸⻚〉服务指南〉下载专区〗中的《杨凌⽰范区公共资源交易不⻅⾯开标⼤厅供应商操作⼿册》（⽹址：http://yangl.sxggzyjy.cn/fwzn/004003/subPage.html）。</w:t>
      </w:r>
    </w:p>
    <w:p w14:paraId="72B55B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谈判⼆次报价：供应商可登录陕西省政府采购交易系统.企业端（⽹址：http://yangl.sxggzyjy.cn/wblj/009001/jyxtlogin.html）进⾏⼆次报价。详⻅《政府采购⼆次报价操作⼿册》（⽹址：http://yangl.sxggzyjy.cn/fwzn/004003/subPage.html）。</w:t>
      </w:r>
    </w:p>
    <w:p w14:paraId="78E32A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4.本项⽬专⻔⾯向中⼩企业。</w:t>
      </w:r>
    </w:p>
    <w:p w14:paraId="346D83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5.本项⽬不接受联合体。</w:t>
      </w:r>
    </w:p>
    <w:p w14:paraId="18A5130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7EEE6A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7BCBE4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名称：杨凌示范区现代农业和乡村发展局</w:t>
      </w:r>
    </w:p>
    <w:p w14:paraId="55F0A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地址：杨凌示范区政务大厦526室</w:t>
      </w:r>
    </w:p>
    <w:p w14:paraId="58A3A9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联系方式：029-87033510</w:t>
      </w:r>
    </w:p>
    <w:p w14:paraId="572072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6FA6F5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35A1C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 171-1 号银池道拉斯财富中⼼ 21 楼 03号</w:t>
      </w:r>
    </w:p>
    <w:p w14:paraId="3479E6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02EA7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32B1A0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项目联系人：杨豪、倪沛、康乐、王欣玫</w:t>
      </w:r>
    </w:p>
    <w:p w14:paraId="7B85FD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10DC0F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40F19B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2026年10月09日</w:t>
      </w:r>
    </w:p>
    <w:p w14:paraId="7AB4B1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p>
    <w:p w14:paraId="60291BD6">
      <w:pPr>
        <w:widowControl/>
        <w:kinsoku w:val="0"/>
        <w:autoSpaceDE w:val="0"/>
        <w:autoSpaceDN w:val="0"/>
        <w:adjustRightInd w:val="0"/>
        <w:snapToGrid w:val="0"/>
        <w:spacing w:line="240" w:lineRule="auto"/>
        <w:jc w:val="left"/>
        <w:textAlignment w:val="baseline"/>
        <w:rPr>
          <w:rFonts w:ascii="Arial" w:hAnsi="Arial" w:cs="宋体"/>
          <w:snapToGrid w:val="0"/>
          <w:color w:val="000000"/>
          <w:kern w:val="0"/>
          <w:sz w:val="20"/>
          <w:szCs w:val="20"/>
          <w:highlight w:val="none"/>
          <w:lang w:eastAsia="en-US"/>
        </w:rPr>
      </w:pPr>
    </w:p>
    <w:p w14:paraId="4718438B">
      <w:pPr>
        <w:pStyle w:val="16"/>
        <w:wordWrap w:val="0"/>
        <w:spacing w:before="0" w:beforeAutospacing="0" w:after="0" w:afterAutospacing="0" w:line="360" w:lineRule="auto"/>
        <w:ind w:firstLine="480" w:firstLineChars="200"/>
        <w:jc w:val="right"/>
        <w:rPr>
          <w:rFonts w:cs="宋体"/>
          <w:highlight w:val="none"/>
          <w:shd w:val="clear" w:color="auto" w:fill="FFFFFF"/>
        </w:rPr>
      </w:pPr>
    </w:p>
    <w:p w14:paraId="6661F566">
      <w:pPr>
        <w:spacing w:line="360" w:lineRule="auto"/>
        <w:ind w:firstLine="960" w:firstLineChars="400"/>
        <w:jc w:val="center"/>
        <w:rPr>
          <w:rFonts w:ascii="宋体" w:hAnsi="宋体" w:cs="宋体"/>
          <w:kern w:val="0"/>
          <w:sz w:val="24"/>
          <w:szCs w:val="24"/>
          <w:highlight w:val="none"/>
        </w:rPr>
      </w:pPr>
      <w:r>
        <w:rPr>
          <w:rFonts w:hint="eastAsia" w:ascii="宋体" w:hAnsi="宋体" w:cs="宋体"/>
          <w:sz w:val="24"/>
          <w:szCs w:val="24"/>
          <w:highlight w:val="none"/>
        </w:rPr>
        <w:br w:type="page"/>
      </w:r>
    </w:p>
    <w:p w14:paraId="2E6AC0D5">
      <w:pPr>
        <w:pStyle w:val="2"/>
        <w:jc w:val="center"/>
        <w:rPr>
          <w:rFonts w:ascii="宋体" w:hAnsi="宋体" w:cs="宋体"/>
          <w:sz w:val="36"/>
          <w:szCs w:val="20"/>
          <w:highlight w:val="none"/>
        </w:rPr>
      </w:pPr>
      <w:bookmarkStart w:id="2" w:name="_Toc3578"/>
      <w:r>
        <w:rPr>
          <w:rFonts w:hint="eastAsia" w:ascii="宋体" w:hAnsi="宋体" w:cs="宋体"/>
          <w:sz w:val="36"/>
          <w:szCs w:val="20"/>
          <w:highlight w:val="none"/>
        </w:rPr>
        <w:t>第二章  供应商须知</w:t>
      </w:r>
      <w:bookmarkEnd w:id="2"/>
    </w:p>
    <w:p w14:paraId="37923A65">
      <w:pPr>
        <w:pStyle w:val="3"/>
        <w:spacing w:before="0" w:after="0" w:line="360" w:lineRule="auto"/>
        <w:jc w:val="center"/>
        <w:rPr>
          <w:rFonts w:ascii="宋体" w:hAnsi="宋体" w:cs="宋体"/>
          <w:sz w:val="30"/>
          <w:szCs w:val="30"/>
          <w:highlight w:val="none"/>
        </w:rPr>
      </w:pPr>
      <w:bookmarkStart w:id="3" w:name="_Toc6133"/>
      <w:r>
        <w:rPr>
          <w:rFonts w:hint="eastAsia" w:ascii="宋体" w:hAnsi="宋体" w:cs="宋体"/>
          <w:sz w:val="30"/>
          <w:szCs w:val="30"/>
          <w:highlight w:val="none"/>
        </w:rPr>
        <w:t>供应商须知前附表</w:t>
      </w:r>
      <w:bookmarkEnd w:id="3"/>
    </w:p>
    <w:tbl>
      <w:tblPr>
        <w:tblStyle w:val="1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12"/>
        <w:gridCol w:w="6711"/>
      </w:tblGrid>
      <w:tr w14:paraId="1C1E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28C143EB">
            <w:pPr>
              <w:spacing w:line="360" w:lineRule="auto"/>
              <w:jc w:val="center"/>
              <w:rPr>
                <w:rFonts w:ascii="宋体" w:hAnsi="宋体" w:cs="宋体"/>
                <w:b/>
                <w:sz w:val="24"/>
                <w:szCs w:val="24"/>
                <w:highlight w:val="none"/>
              </w:rPr>
            </w:pPr>
            <w:r>
              <w:rPr>
                <w:rFonts w:hint="eastAsia" w:ascii="宋体" w:hAnsi="宋体" w:cs="宋体"/>
                <w:b/>
                <w:sz w:val="24"/>
                <w:szCs w:val="24"/>
                <w:highlight w:val="none"/>
              </w:rPr>
              <w:t>序号</w:t>
            </w:r>
          </w:p>
        </w:tc>
        <w:tc>
          <w:tcPr>
            <w:tcW w:w="964" w:type="pct"/>
            <w:vAlign w:val="center"/>
          </w:tcPr>
          <w:p w14:paraId="10DCAC45">
            <w:pPr>
              <w:spacing w:line="360" w:lineRule="auto"/>
              <w:jc w:val="center"/>
              <w:rPr>
                <w:rFonts w:ascii="宋体" w:hAnsi="宋体" w:cs="宋体"/>
                <w:b/>
                <w:sz w:val="24"/>
                <w:szCs w:val="24"/>
                <w:highlight w:val="none"/>
              </w:rPr>
            </w:pPr>
            <w:r>
              <w:rPr>
                <w:rFonts w:hint="eastAsia" w:ascii="宋体" w:hAnsi="宋体" w:cs="宋体"/>
                <w:b/>
                <w:sz w:val="24"/>
                <w:szCs w:val="24"/>
                <w:highlight w:val="none"/>
              </w:rPr>
              <w:t>条 款 名 称</w:t>
            </w:r>
          </w:p>
        </w:tc>
        <w:tc>
          <w:tcPr>
            <w:tcW w:w="3573" w:type="pct"/>
            <w:vAlign w:val="center"/>
          </w:tcPr>
          <w:p w14:paraId="42D68DB3">
            <w:pPr>
              <w:spacing w:line="360" w:lineRule="auto"/>
              <w:jc w:val="center"/>
              <w:rPr>
                <w:rFonts w:ascii="宋体" w:hAnsi="宋体" w:cs="宋体"/>
                <w:b/>
                <w:sz w:val="24"/>
                <w:szCs w:val="24"/>
                <w:highlight w:val="none"/>
              </w:rPr>
            </w:pPr>
            <w:r>
              <w:rPr>
                <w:rFonts w:hint="eastAsia" w:ascii="宋体" w:hAnsi="宋体" w:cs="宋体"/>
                <w:b/>
                <w:sz w:val="24"/>
                <w:szCs w:val="24"/>
                <w:highlight w:val="none"/>
              </w:rPr>
              <w:t>编 列 内 容</w:t>
            </w:r>
          </w:p>
        </w:tc>
      </w:tr>
      <w:tr w14:paraId="7967E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462" w:type="pct"/>
            <w:vAlign w:val="center"/>
          </w:tcPr>
          <w:p w14:paraId="3AF77A23">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964" w:type="pct"/>
            <w:vAlign w:val="center"/>
          </w:tcPr>
          <w:p w14:paraId="5C66E15A">
            <w:pPr>
              <w:spacing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采购人</w:t>
            </w:r>
          </w:p>
        </w:tc>
        <w:tc>
          <w:tcPr>
            <w:tcW w:w="3573" w:type="pct"/>
            <w:vAlign w:val="center"/>
          </w:tcPr>
          <w:p w14:paraId="2B7BBA37">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名  称：杨凌示范区现代农业和乡村振兴局</w:t>
            </w:r>
          </w:p>
          <w:p w14:paraId="5FD20788">
            <w:pPr>
              <w:spacing w:line="360" w:lineRule="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地  址：</w:t>
            </w:r>
            <w:r>
              <w:rPr>
                <w:rFonts w:hint="eastAsia" w:ascii="宋体" w:hAnsi="宋体" w:cs="宋体"/>
                <w:kern w:val="0"/>
                <w:sz w:val="24"/>
                <w:szCs w:val="24"/>
                <w:highlight w:val="none"/>
                <w:lang w:eastAsia="zh-CN"/>
              </w:rPr>
              <w:t>杨凌示范区政务大厦526室</w:t>
            </w:r>
          </w:p>
          <w:p w14:paraId="2393DCF8">
            <w:pPr>
              <w:spacing w:line="360" w:lineRule="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联系电话：</w:t>
            </w:r>
            <w:r>
              <w:rPr>
                <w:rFonts w:hint="eastAsia" w:ascii="宋体" w:hAnsi="宋体" w:cs="宋体"/>
                <w:kern w:val="0"/>
                <w:sz w:val="24"/>
                <w:szCs w:val="24"/>
                <w:highlight w:val="none"/>
                <w:lang w:eastAsia="zh-CN"/>
              </w:rPr>
              <w:t>029-87033510</w:t>
            </w:r>
          </w:p>
        </w:tc>
      </w:tr>
      <w:tr w14:paraId="1B318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trPr>
        <w:tc>
          <w:tcPr>
            <w:tcW w:w="462" w:type="pct"/>
            <w:vAlign w:val="center"/>
          </w:tcPr>
          <w:p w14:paraId="6DAC6EC6">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964" w:type="pct"/>
            <w:vAlign w:val="center"/>
          </w:tcPr>
          <w:p w14:paraId="58A1804C">
            <w:pPr>
              <w:spacing w:line="360" w:lineRule="auto"/>
              <w:jc w:val="center"/>
              <w:rPr>
                <w:rFonts w:ascii="宋体" w:hAnsi="宋体" w:cs="宋体"/>
                <w:sz w:val="24"/>
                <w:szCs w:val="24"/>
                <w:highlight w:val="none"/>
              </w:rPr>
            </w:pPr>
            <w:r>
              <w:rPr>
                <w:rFonts w:hint="eastAsia" w:ascii="宋体" w:hAnsi="宋体" w:cs="宋体"/>
                <w:sz w:val="24"/>
                <w:szCs w:val="24"/>
                <w:highlight w:val="none"/>
              </w:rPr>
              <w:t>招标代理机构</w:t>
            </w:r>
          </w:p>
        </w:tc>
        <w:tc>
          <w:tcPr>
            <w:tcW w:w="3573" w:type="pct"/>
            <w:vAlign w:val="center"/>
          </w:tcPr>
          <w:p w14:paraId="0B26EB2C">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称：陕西至诚项目管理集团有限公司</w:t>
            </w:r>
          </w:p>
          <w:p w14:paraId="065609D3">
            <w:pPr>
              <w:spacing w:line="360" w:lineRule="auto"/>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rPr>
              <w:t>地  址：陕西省西安市经济技术开发区未央路171-1号银池道拉斯财富中心21楼03</w:t>
            </w:r>
            <w:r>
              <w:rPr>
                <w:rFonts w:hint="eastAsia" w:ascii="宋体" w:hAnsi="宋体" w:cs="宋体"/>
                <w:kern w:val="0"/>
                <w:sz w:val="24"/>
                <w:szCs w:val="24"/>
                <w:highlight w:val="none"/>
                <w:lang w:val="en-US" w:eastAsia="zh-CN"/>
              </w:rPr>
              <w:t>号</w:t>
            </w:r>
          </w:p>
          <w:p w14:paraId="1D177964">
            <w:pPr>
              <w:spacing w:line="360" w:lineRule="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联系人：</w:t>
            </w:r>
            <w:r>
              <w:rPr>
                <w:rFonts w:hint="eastAsia" w:ascii="宋体" w:hAnsi="宋体" w:cs="宋体"/>
                <w:kern w:val="0"/>
                <w:sz w:val="24"/>
                <w:szCs w:val="24"/>
                <w:highlight w:val="none"/>
                <w:lang w:eastAsia="zh-CN"/>
              </w:rPr>
              <w:t>杨豪、倪沛、康乐、王欣玫</w:t>
            </w:r>
          </w:p>
          <w:p w14:paraId="0AB18D67">
            <w:pPr>
              <w:spacing w:line="360" w:lineRule="auto"/>
              <w:rPr>
                <w:rFonts w:ascii="宋体" w:hAnsi="宋体" w:cs="宋体"/>
                <w:sz w:val="24"/>
                <w:szCs w:val="24"/>
                <w:highlight w:val="none"/>
              </w:rPr>
            </w:pPr>
            <w:r>
              <w:rPr>
                <w:rFonts w:hint="eastAsia" w:ascii="宋体" w:hAnsi="宋体" w:cs="宋体"/>
                <w:kern w:val="0"/>
                <w:sz w:val="24"/>
                <w:szCs w:val="24"/>
                <w:highlight w:val="none"/>
              </w:rPr>
              <w:t>电话：029-88219779</w:t>
            </w:r>
          </w:p>
        </w:tc>
      </w:tr>
      <w:tr w14:paraId="1B43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462" w:type="pct"/>
            <w:vAlign w:val="center"/>
          </w:tcPr>
          <w:p w14:paraId="29B068D7">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964" w:type="pct"/>
            <w:vAlign w:val="center"/>
          </w:tcPr>
          <w:p w14:paraId="3C1BA2A0">
            <w:pPr>
              <w:spacing w:line="360" w:lineRule="auto"/>
              <w:jc w:val="center"/>
              <w:rPr>
                <w:rFonts w:ascii="宋体" w:hAnsi="宋体" w:cs="宋体"/>
                <w:sz w:val="24"/>
                <w:szCs w:val="24"/>
                <w:highlight w:val="none"/>
              </w:rPr>
            </w:pPr>
            <w:r>
              <w:rPr>
                <w:rFonts w:hint="eastAsia" w:ascii="宋体" w:hAnsi="宋体" w:cs="宋体"/>
                <w:sz w:val="24"/>
                <w:szCs w:val="24"/>
                <w:highlight w:val="none"/>
              </w:rPr>
              <w:t>项目名称</w:t>
            </w:r>
          </w:p>
        </w:tc>
        <w:tc>
          <w:tcPr>
            <w:tcW w:w="3573" w:type="pct"/>
            <w:vAlign w:val="center"/>
          </w:tcPr>
          <w:p w14:paraId="609CD35F">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2026年度杨凌示范区农产品质量安全监测项目(二次)</w:t>
            </w:r>
          </w:p>
        </w:tc>
      </w:tr>
      <w:tr w14:paraId="11E7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62" w:type="pct"/>
            <w:vAlign w:val="center"/>
          </w:tcPr>
          <w:p w14:paraId="24979505">
            <w:pPr>
              <w:spacing w:line="360"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964" w:type="pct"/>
            <w:vAlign w:val="center"/>
          </w:tcPr>
          <w:p w14:paraId="031E52C8">
            <w:pPr>
              <w:spacing w:line="360" w:lineRule="auto"/>
              <w:jc w:val="center"/>
              <w:rPr>
                <w:rFonts w:ascii="宋体" w:hAnsi="宋体" w:cs="宋体"/>
                <w:sz w:val="24"/>
                <w:szCs w:val="24"/>
                <w:highlight w:val="none"/>
              </w:rPr>
            </w:pPr>
            <w:r>
              <w:rPr>
                <w:rFonts w:hint="eastAsia" w:ascii="宋体" w:hAnsi="宋体" w:cs="宋体"/>
                <w:sz w:val="24"/>
                <w:szCs w:val="24"/>
                <w:highlight w:val="none"/>
              </w:rPr>
              <w:t>项目编号</w:t>
            </w:r>
          </w:p>
        </w:tc>
        <w:tc>
          <w:tcPr>
            <w:tcW w:w="3573" w:type="pct"/>
            <w:vAlign w:val="center"/>
          </w:tcPr>
          <w:p w14:paraId="3C3B7170">
            <w:pPr>
              <w:spacing w:line="360" w:lineRule="auto"/>
              <w:rPr>
                <w:rFonts w:hint="eastAsia" w:ascii="宋体" w:hAnsi="宋体" w:eastAsia="宋体" w:cs="宋体"/>
                <w:sz w:val="24"/>
                <w:szCs w:val="24"/>
                <w:highlight w:val="none"/>
                <w:lang w:eastAsia="zh-CN"/>
              </w:rPr>
            </w:pPr>
            <w:r>
              <w:rPr>
                <w:rFonts w:hint="eastAsia" w:ascii="宋体" w:hAnsi="宋体" w:cs="宋体"/>
                <w:kern w:val="0"/>
                <w:sz w:val="24"/>
                <w:szCs w:val="24"/>
                <w:highlight w:val="none"/>
                <w:lang w:eastAsia="zh-CN"/>
              </w:rPr>
              <w:t>SXZCZB2026-ZCJT-0919.1B1</w:t>
            </w:r>
          </w:p>
        </w:tc>
      </w:tr>
      <w:tr w14:paraId="6756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462" w:type="pct"/>
            <w:vAlign w:val="center"/>
          </w:tcPr>
          <w:p w14:paraId="154F269E">
            <w:pPr>
              <w:overflowPunct w:val="0"/>
              <w:jc w:val="center"/>
              <w:rPr>
                <w:rFonts w:ascii="宋体" w:hAnsi="宋体" w:cs="宋体"/>
                <w:sz w:val="24"/>
                <w:szCs w:val="24"/>
                <w:highlight w:val="none"/>
              </w:rPr>
            </w:pPr>
            <w:r>
              <w:rPr>
                <w:rFonts w:hint="eastAsia" w:ascii="宋体" w:hAnsi="宋体" w:cs="宋体"/>
                <w:sz w:val="24"/>
                <w:szCs w:val="24"/>
                <w:highlight w:val="none"/>
              </w:rPr>
              <w:t>5</w:t>
            </w:r>
          </w:p>
        </w:tc>
        <w:tc>
          <w:tcPr>
            <w:tcW w:w="964" w:type="pct"/>
            <w:vAlign w:val="center"/>
          </w:tcPr>
          <w:p w14:paraId="28FFCEB5">
            <w:pPr>
              <w:overflowPunct w:val="0"/>
              <w:jc w:val="center"/>
              <w:rPr>
                <w:rFonts w:ascii="宋体" w:hAnsi="宋体" w:cs="宋体"/>
                <w:sz w:val="24"/>
                <w:szCs w:val="24"/>
                <w:highlight w:val="none"/>
              </w:rPr>
            </w:pPr>
            <w:r>
              <w:rPr>
                <w:rFonts w:hint="eastAsia" w:ascii="宋体" w:hAnsi="宋体" w:cs="宋体"/>
                <w:sz w:val="24"/>
                <w:szCs w:val="24"/>
                <w:highlight w:val="none"/>
              </w:rPr>
              <w:t>资金来源</w:t>
            </w:r>
          </w:p>
        </w:tc>
        <w:tc>
          <w:tcPr>
            <w:tcW w:w="3573" w:type="pct"/>
            <w:vAlign w:val="center"/>
          </w:tcPr>
          <w:p w14:paraId="0EC44540">
            <w:pPr>
              <w:overflowPunct w:val="0"/>
              <w:rPr>
                <w:rFonts w:ascii="宋体" w:hAnsi="宋体" w:cs="宋体"/>
                <w:sz w:val="24"/>
                <w:szCs w:val="24"/>
                <w:highlight w:val="none"/>
              </w:rPr>
            </w:pPr>
            <w:r>
              <w:rPr>
                <w:rFonts w:hint="eastAsia" w:ascii="宋体" w:hAnsi="宋体" w:cs="宋体"/>
                <w:sz w:val="24"/>
                <w:szCs w:val="24"/>
                <w:highlight w:val="none"/>
              </w:rPr>
              <w:t>财政资金</w:t>
            </w:r>
          </w:p>
        </w:tc>
      </w:tr>
      <w:tr w14:paraId="36CB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5F63583F">
            <w:pPr>
              <w:spacing w:line="360" w:lineRule="auto"/>
              <w:jc w:val="center"/>
              <w:rPr>
                <w:rFonts w:ascii="宋体" w:hAnsi="宋体" w:cs="宋体"/>
                <w:sz w:val="24"/>
                <w:szCs w:val="24"/>
                <w:highlight w:val="none"/>
              </w:rPr>
            </w:pPr>
            <w:r>
              <w:rPr>
                <w:rFonts w:hint="eastAsia" w:ascii="宋体" w:hAnsi="宋体" w:cs="宋体"/>
                <w:sz w:val="24"/>
                <w:szCs w:val="24"/>
                <w:highlight w:val="none"/>
              </w:rPr>
              <w:t>7</w:t>
            </w:r>
          </w:p>
        </w:tc>
        <w:tc>
          <w:tcPr>
            <w:tcW w:w="964" w:type="pct"/>
            <w:vAlign w:val="center"/>
          </w:tcPr>
          <w:p w14:paraId="50F98FB3">
            <w:pPr>
              <w:overflowPunct w:val="0"/>
              <w:spacing w:line="360" w:lineRule="auto"/>
              <w:jc w:val="center"/>
              <w:rPr>
                <w:rFonts w:ascii="宋体" w:hAnsi="宋体" w:cs="宋体"/>
                <w:spacing w:val="-4"/>
                <w:sz w:val="24"/>
                <w:szCs w:val="24"/>
                <w:highlight w:val="none"/>
              </w:rPr>
            </w:pPr>
            <w:r>
              <w:rPr>
                <w:rFonts w:hint="eastAsia" w:ascii="宋体" w:hAnsi="宋体" w:cs="宋体"/>
                <w:spacing w:val="-4"/>
                <w:sz w:val="24"/>
                <w:szCs w:val="24"/>
                <w:highlight w:val="none"/>
              </w:rPr>
              <w:t>采购内容</w:t>
            </w:r>
          </w:p>
        </w:tc>
        <w:tc>
          <w:tcPr>
            <w:tcW w:w="3573" w:type="pct"/>
            <w:vAlign w:val="center"/>
          </w:tcPr>
          <w:p w14:paraId="050A2653">
            <w:pPr>
              <w:overflowPunct w:val="0"/>
              <w:spacing w:line="360" w:lineRule="auto"/>
              <w:rPr>
                <w:rFonts w:ascii="宋体" w:hAnsi="宋体" w:cs="宋体"/>
                <w:spacing w:val="-4"/>
                <w:sz w:val="24"/>
                <w:szCs w:val="24"/>
                <w:highlight w:val="none"/>
              </w:rPr>
            </w:pPr>
            <w:r>
              <w:rPr>
                <w:rFonts w:hint="eastAsia" w:ascii="宋体" w:hAnsi="宋体" w:cs="宋体"/>
                <w:sz w:val="24"/>
                <w:szCs w:val="24"/>
                <w:highlight w:val="none"/>
              </w:rPr>
              <w:t>详见第三章</w:t>
            </w:r>
          </w:p>
        </w:tc>
      </w:tr>
      <w:tr w14:paraId="5B6A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70BB86DE">
            <w:pPr>
              <w:spacing w:line="360" w:lineRule="auto"/>
              <w:jc w:val="center"/>
              <w:rPr>
                <w:rFonts w:ascii="宋体" w:hAnsi="宋体" w:cs="宋体"/>
                <w:sz w:val="24"/>
                <w:szCs w:val="24"/>
                <w:highlight w:val="none"/>
              </w:rPr>
            </w:pPr>
            <w:r>
              <w:rPr>
                <w:rFonts w:hint="eastAsia" w:ascii="宋体" w:hAnsi="宋体" w:cs="宋体"/>
                <w:sz w:val="24"/>
                <w:szCs w:val="24"/>
                <w:highlight w:val="none"/>
              </w:rPr>
              <w:t>8</w:t>
            </w:r>
          </w:p>
        </w:tc>
        <w:tc>
          <w:tcPr>
            <w:tcW w:w="964" w:type="pct"/>
            <w:vAlign w:val="center"/>
          </w:tcPr>
          <w:p w14:paraId="48F2C8DF">
            <w:pPr>
              <w:overflowPunct w:val="0"/>
              <w:spacing w:line="360" w:lineRule="auto"/>
              <w:jc w:val="center"/>
              <w:rPr>
                <w:rFonts w:ascii="宋体" w:hAnsi="宋体" w:cs="宋体"/>
                <w:spacing w:val="-4"/>
                <w:sz w:val="24"/>
                <w:szCs w:val="24"/>
                <w:highlight w:val="none"/>
              </w:rPr>
            </w:pPr>
            <w:r>
              <w:rPr>
                <w:rFonts w:hint="eastAsia" w:ascii="宋体" w:hAnsi="宋体" w:cs="宋体"/>
                <w:spacing w:val="-4"/>
                <w:sz w:val="24"/>
                <w:szCs w:val="24"/>
                <w:highlight w:val="none"/>
              </w:rPr>
              <w:t>服务期</w:t>
            </w:r>
          </w:p>
        </w:tc>
        <w:tc>
          <w:tcPr>
            <w:tcW w:w="3573" w:type="pct"/>
            <w:vAlign w:val="center"/>
          </w:tcPr>
          <w:p w14:paraId="784A8D1C">
            <w:pPr>
              <w:overflowPunct w:val="0"/>
              <w:spacing w:line="360" w:lineRule="auto"/>
              <w:rPr>
                <w:rFonts w:ascii="宋体" w:hAnsi="宋体" w:cs="宋体"/>
                <w:sz w:val="24"/>
                <w:szCs w:val="24"/>
                <w:highlight w:val="none"/>
              </w:rPr>
            </w:pPr>
            <w:r>
              <w:rPr>
                <w:rFonts w:hint="eastAsia" w:ascii="宋体" w:hAnsi="宋体" w:cs="宋体"/>
                <w:sz w:val="24"/>
                <w:szCs w:val="24"/>
                <w:highlight w:val="none"/>
              </w:rPr>
              <w:t>自合同签订生效之日起 9 个月</w:t>
            </w:r>
          </w:p>
        </w:tc>
      </w:tr>
      <w:tr w14:paraId="7814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62" w:type="pct"/>
            <w:vAlign w:val="center"/>
          </w:tcPr>
          <w:p w14:paraId="0CF80580">
            <w:pPr>
              <w:spacing w:line="360" w:lineRule="auto"/>
              <w:jc w:val="center"/>
              <w:rPr>
                <w:rFonts w:ascii="宋体" w:hAnsi="宋体" w:cs="宋体"/>
                <w:sz w:val="24"/>
                <w:szCs w:val="24"/>
                <w:highlight w:val="none"/>
              </w:rPr>
            </w:pPr>
            <w:r>
              <w:rPr>
                <w:rFonts w:hint="eastAsia" w:ascii="宋体" w:hAnsi="宋体" w:cs="宋体"/>
                <w:sz w:val="24"/>
                <w:szCs w:val="24"/>
                <w:highlight w:val="none"/>
              </w:rPr>
              <w:t>9</w:t>
            </w:r>
          </w:p>
        </w:tc>
        <w:tc>
          <w:tcPr>
            <w:tcW w:w="964" w:type="pct"/>
            <w:vAlign w:val="center"/>
          </w:tcPr>
          <w:p w14:paraId="7A510B27">
            <w:pPr>
              <w:spacing w:line="360" w:lineRule="auto"/>
              <w:jc w:val="center"/>
              <w:rPr>
                <w:rFonts w:ascii="宋体" w:hAnsi="宋体" w:cs="宋体"/>
                <w:spacing w:val="-4"/>
                <w:sz w:val="24"/>
                <w:szCs w:val="24"/>
                <w:highlight w:val="none"/>
              </w:rPr>
            </w:pPr>
            <w:r>
              <w:rPr>
                <w:rFonts w:hint="eastAsia" w:ascii="宋体" w:hAnsi="宋体" w:cs="宋体"/>
                <w:sz w:val="24"/>
                <w:szCs w:val="24"/>
                <w:highlight w:val="none"/>
              </w:rPr>
              <w:t>谈判有效期</w:t>
            </w:r>
          </w:p>
        </w:tc>
        <w:tc>
          <w:tcPr>
            <w:tcW w:w="3573" w:type="pct"/>
            <w:vAlign w:val="center"/>
          </w:tcPr>
          <w:p w14:paraId="6F75C6BC">
            <w:pPr>
              <w:spacing w:line="360" w:lineRule="auto"/>
              <w:rPr>
                <w:rFonts w:ascii="宋体" w:hAnsi="宋体" w:cs="宋体"/>
                <w:kern w:val="0"/>
                <w:sz w:val="24"/>
                <w:szCs w:val="24"/>
                <w:highlight w:val="none"/>
              </w:rPr>
            </w:pPr>
            <w:r>
              <w:rPr>
                <w:rFonts w:hint="eastAsia" w:ascii="宋体" w:hAnsi="宋体" w:cs="宋体"/>
                <w:sz w:val="24"/>
                <w:szCs w:val="24"/>
                <w:highlight w:val="none"/>
              </w:rPr>
              <w:t>90日历天（从</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截止之日算起）</w:t>
            </w:r>
          </w:p>
        </w:tc>
      </w:tr>
      <w:tr w14:paraId="49FC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462" w:type="pct"/>
            <w:vAlign w:val="center"/>
          </w:tcPr>
          <w:p w14:paraId="115266D2">
            <w:pPr>
              <w:spacing w:line="360" w:lineRule="auto"/>
              <w:jc w:val="center"/>
              <w:rPr>
                <w:rFonts w:ascii="宋体" w:hAnsi="宋体" w:cs="宋体"/>
                <w:sz w:val="24"/>
                <w:szCs w:val="24"/>
                <w:highlight w:val="none"/>
              </w:rPr>
            </w:pPr>
            <w:r>
              <w:rPr>
                <w:rFonts w:hint="eastAsia" w:ascii="宋体" w:hAnsi="宋体" w:cs="宋体"/>
                <w:sz w:val="24"/>
                <w:szCs w:val="24"/>
                <w:highlight w:val="none"/>
              </w:rPr>
              <w:t>10</w:t>
            </w:r>
          </w:p>
        </w:tc>
        <w:tc>
          <w:tcPr>
            <w:tcW w:w="964" w:type="pct"/>
            <w:vAlign w:val="center"/>
          </w:tcPr>
          <w:p w14:paraId="754F89D6">
            <w:pPr>
              <w:spacing w:line="360" w:lineRule="auto"/>
              <w:jc w:val="center"/>
              <w:rPr>
                <w:rFonts w:ascii="宋体" w:hAnsi="宋体" w:cs="宋体"/>
                <w:sz w:val="24"/>
                <w:szCs w:val="24"/>
                <w:highlight w:val="none"/>
              </w:rPr>
            </w:pPr>
            <w:r>
              <w:rPr>
                <w:rFonts w:hint="eastAsia" w:ascii="宋体" w:hAnsi="宋体" w:cs="宋体"/>
                <w:sz w:val="24"/>
                <w:szCs w:val="24"/>
                <w:highlight w:val="none"/>
              </w:rPr>
              <w:t>供应商资质条件</w:t>
            </w:r>
          </w:p>
        </w:tc>
        <w:tc>
          <w:tcPr>
            <w:tcW w:w="3573" w:type="pct"/>
            <w:vAlign w:val="center"/>
          </w:tcPr>
          <w:p w14:paraId="6610149A">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(1)具有独⽴承担⺠事责任能⼒的法⼈、其他组织或⾃然⼈，并出具合法有效的统⼀社会信⽤代码的营业执照或事业单位法⼈证书等国家规定的相关证明，⾃然⼈参与的提供其⾝份证明；</w:t>
            </w:r>
          </w:p>
          <w:p w14:paraId="3D80BE34">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(2)提供法定代表⼈授权书(附法定代表⼈、被授权⼈⾝份证复印件及授权代表本单位证明(养⽼保险缴纳证明)，(法定代表⼈直接参加投标，须提供法定代表⼈⾝份证明及⾝份证复印件)；</w:t>
            </w:r>
          </w:p>
          <w:p w14:paraId="6415D2FC">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(3)提供2025年度经审计的财务报告（包括“四表⼀注”，即资产负债表、利润表、现⾦流量表、所有者权益变动表及其附注，符合《中⼩企业划型标准规定》的⼩型企业按照《⼩企业会计准则》执⾏。成⽴时间⾄提交谈判响应⽂件截⽌时间不⾜⼀年的可提供成⽴后任意时段的资产负债表），审计报告须具有注册会计师⾏业统⼀监管平台（http://acc.mof.gov.cn）赋予的验证码；或提供其开标前三个⽉内基本开⼾银⾏出具的资信证明；</w:t>
            </w:r>
          </w:p>
          <w:p w14:paraId="5F536574">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(4)提供递交竞争性谈判响应⽂件截⽌⽇前⼀年内已缴纳的⾄少⼀个⽉的纳税证明或完税证明（任意税种），依法免税的单位应提供相关证明材料；</w:t>
            </w:r>
          </w:p>
          <w:p w14:paraId="4F498D34">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(5)提供递交竞争性谈判响应⽂件截⽌⽇前⼀年内已缴存的⾄少⼀个⽉的社会保障资⾦缴存单据或社保机构开具的社会保险参保缴费情况证明，依法不需要缴纳社会保障资⾦的单位应提供相关证明材料；</w:t>
            </w:r>
          </w:p>
          <w:p w14:paraId="2F201B4C">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(6)提供具有履⾏本合同所必需的设备和专业技术能⼒的说明及承诺书；</w:t>
            </w:r>
          </w:p>
          <w:p w14:paraId="16D4DE73">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(7)提供《供应商信⽤记录书⾯声明函》供应商未被列⼊“信⽤中国”⽹站记录的“失信被执⾏⼈”或“重⼤税收违法案件当事⼈”名单；不处于“中国政府采购⽹”记录的“政府采购严重违法失信⾏为信息记录名单”中的禁⽌参加政府采购活动期间；</w:t>
            </w:r>
          </w:p>
          <w:p w14:paraId="14BA9434">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(8)参加政府采购活动前3年内，在经营活动中没有重⼤违法记录的书⾯声明；</w:t>
            </w:r>
          </w:p>
          <w:p w14:paraId="49DD6543">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(9)提供直接控股和管理关系清单。若与其他供应商存在单位负责⼈为同⼀⼈或者存在直接控股、管理关系的，则投标⽆效；</w:t>
            </w:r>
          </w:p>
          <w:p w14:paraId="1300B4A8">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(10)供应商应具备农产品质量安全检测机构考核合格证书(CATL)及检验检测机构资质认定证书(CMA);</w:t>
            </w:r>
          </w:p>
          <w:p w14:paraId="51F23CB8">
            <w:pPr>
              <w:widowControl/>
              <w:tabs>
                <w:tab w:val="left" w:pos="1620"/>
              </w:tabs>
              <w:spacing w:line="360" w:lineRule="auto"/>
              <w:ind w:firstLine="482" w:firstLineChars="200"/>
              <w:jc w:val="left"/>
              <w:rPr>
                <w:rFonts w:hint="eastAsia" w:ascii="宋体" w:hAnsi="宋体" w:cs="宋体"/>
                <w:b/>
                <w:bCs/>
                <w:kern w:val="0"/>
                <w:sz w:val="24"/>
                <w:szCs w:val="24"/>
                <w:highlight w:val="none"/>
              </w:rPr>
            </w:pPr>
            <w:r>
              <w:rPr>
                <w:rFonts w:hint="eastAsia" w:ascii="宋体" w:hAnsi="宋体" w:cs="宋体"/>
                <w:b/>
                <w:bCs/>
                <w:kern w:val="0"/>
                <w:sz w:val="24"/>
                <w:szCs w:val="24"/>
                <w:highlight w:val="none"/>
              </w:rPr>
              <w:t>(11)本项⽬不接受联合体谈判（需提供承诺书）；</w:t>
            </w:r>
          </w:p>
          <w:p w14:paraId="096C87AD">
            <w:pPr>
              <w:widowControl/>
              <w:tabs>
                <w:tab w:val="left" w:pos="1620"/>
              </w:tabs>
              <w:spacing w:line="360" w:lineRule="auto"/>
              <w:ind w:firstLine="482" w:firstLineChars="200"/>
              <w:jc w:val="left"/>
              <w:rPr>
                <w:rFonts w:ascii="宋体" w:hAnsi="宋体" w:cs="宋体"/>
                <w:b/>
                <w:bCs/>
                <w:sz w:val="24"/>
                <w:szCs w:val="24"/>
                <w:highlight w:val="none"/>
              </w:rPr>
            </w:pPr>
            <w:r>
              <w:rPr>
                <w:rFonts w:hint="eastAsia" w:ascii="宋体" w:hAnsi="宋体" w:cs="宋体"/>
                <w:b/>
                <w:bCs/>
                <w:kern w:val="0"/>
                <w:sz w:val="24"/>
                <w:szCs w:val="24"/>
                <w:highlight w:val="none"/>
              </w:rPr>
              <w:t>(12)提供中⼩企业声明函或监狱企业的证明⽂件或残疾⼈福利性单位声明函；上述资格证明文件为必备资格，缺项或者符合性、有效性、合法性审核不合格的，按无效响应处理。</w:t>
            </w:r>
          </w:p>
        </w:tc>
      </w:tr>
      <w:tr w14:paraId="27ED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28DA3E22">
            <w:pPr>
              <w:spacing w:line="360" w:lineRule="auto"/>
              <w:jc w:val="center"/>
              <w:rPr>
                <w:rFonts w:ascii="宋体" w:hAnsi="宋体" w:cs="宋体"/>
                <w:sz w:val="24"/>
                <w:szCs w:val="24"/>
                <w:highlight w:val="none"/>
              </w:rPr>
            </w:pPr>
            <w:r>
              <w:rPr>
                <w:rFonts w:hint="eastAsia" w:ascii="宋体" w:hAnsi="宋体" w:cs="宋体"/>
                <w:sz w:val="24"/>
                <w:szCs w:val="24"/>
                <w:highlight w:val="none"/>
              </w:rPr>
              <w:t>11</w:t>
            </w:r>
          </w:p>
        </w:tc>
        <w:tc>
          <w:tcPr>
            <w:tcW w:w="964" w:type="pct"/>
            <w:vAlign w:val="center"/>
          </w:tcPr>
          <w:p w14:paraId="4FE71980">
            <w:pPr>
              <w:spacing w:line="360" w:lineRule="auto"/>
              <w:jc w:val="center"/>
              <w:rPr>
                <w:rFonts w:ascii="宋体" w:hAnsi="宋体" w:cs="宋体"/>
                <w:sz w:val="24"/>
                <w:szCs w:val="24"/>
                <w:highlight w:val="none"/>
              </w:rPr>
            </w:pPr>
            <w:r>
              <w:rPr>
                <w:rFonts w:hint="eastAsia" w:ascii="宋体" w:hAnsi="宋体" w:cs="宋体"/>
                <w:sz w:val="24"/>
                <w:szCs w:val="24"/>
                <w:highlight w:val="none"/>
              </w:rPr>
              <w:t>谈判保证金</w:t>
            </w:r>
          </w:p>
        </w:tc>
        <w:tc>
          <w:tcPr>
            <w:tcW w:w="3573" w:type="pct"/>
            <w:vAlign w:val="center"/>
          </w:tcPr>
          <w:p w14:paraId="6116CA1C">
            <w:pPr>
              <w:spacing w:line="360" w:lineRule="auto"/>
              <w:rPr>
                <w:rFonts w:ascii="宋体" w:hAnsi="宋体" w:cs="宋体"/>
                <w:sz w:val="24"/>
                <w:szCs w:val="24"/>
                <w:highlight w:val="none"/>
              </w:rPr>
            </w:pPr>
            <w:r>
              <w:rPr>
                <w:rFonts w:hint="eastAsia" w:ascii="宋体" w:hAnsi="宋体" w:cs="宋体"/>
                <w:b/>
                <w:bCs/>
                <w:sz w:val="24"/>
                <w:szCs w:val="24"/>
                <w:highlight w:val="none"/>
              </w:rPr>
              <w:t>谈判保证金：（本项目不缴纳保证金）</w:t>
            </w:r>
          </w:p>
        </w:tc>
      </w:tr>
      <w:tr w14:paraId="721D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0BCF01B1">
            <w:pPr>
              <w:spacing w:line="360" w:lineRule="auto"/>
              <w:jc w:val="center"/>
              <w:rPr>
                <w:rFonts w:ascii="宋体" w:hAnsi="宋体" w:cs="宋体"/>
                <w:sz w:val="24"/>
                <w:szCs w:val="24"/>
                <w:highlight w:val="none"/>
              </w:rPr>
            </w:pPr>
            <w:r>
              <w:rPr>
                <w:rFonts w:hint="eastAsia" w:ascii="宋体" w:hAnsi="宋体" w:cs="宋体"/>
                <w:sz w:val="24"/>
                <w:szCs w:val="24"/>
                <w:highlight w:val="none"/>
              </w:rPr>
              <w:t>12</w:t>
            </w:r>
          </w:p>
        </w:tc>
        <w:tc>
          <w:tcPr>
            <w:tcW w:w="964" w:type="pct"/>
            <w:vAlign w:val="center"/>
          </w:tcPr>
          <w:p w14:paraId="3FE81B29">
            <w:pPr>
              <w:spacing w:line="360" w:lineRule="auto"/>
              <w:jc w:val="center"/>
              <w:rPr>
                <w:rFonts w:ascii="宋体" w:hAnsi="宋体" w:cs="宋体"/>
                <w:sz w:val="24"/>
                <w:szCs w:val="24"/>
                <w:highlight w:val="none"/>
              </w:rPr>
            </w:pPr>
            <w:r>
              <w:rPr>
                <w:rFonts w:hint="eastAsia" w:ascii="宋体" w:hAnsi="宋体" w:cs="宋体"/>
                <w:sz w:val="24"/>
                <w:szCs w:val="24"/>
                <w:highlight w:val="none"/>
              </w:rPr>
              <w:t>谈判替代方案</w:t>
            </w:r>
          </w:p>
        </w:tc>
        <w:tc>
          <w:tcPr>
            <w:tcW w:w="3573" w:type="pct"/>
            <w:vAlign w:val="center"/>
          </w:tcPr>
          <w:p w14:paraId="4D6C36BC">
            <w:pPr>
              <w:pStyle w:val="7"/>
              <w:widowControl/>
              <w:spacing w:line="360" w:lineRule="auto"/>
              <w:rPr>
                <w:rFonts w:ascii="宋体" w:hAnsi="宋体" w:cs="宋体"/>
                <w:sz w:val="24"/>
                <w:szCs w:val="24"/>
                <w:highlight w:val="none"/>
              </w:rPr>
            </w:pPr>
            <w:r>
              <w:rPr>
                <w:rFonts w:hint="eastAsia" w:ascii="宋体" w:hAnsi="宋体" w:cs="宋体"/>
                <w:sz w:val="24"/>
                <w:szCs w:val="24"/>
                <w:highlight w:val="none"/>
              </w:rPr>
              <w:t>本项目不允许提交替代方案</w:t>
            </w:r>
          </w:p>
        </w:tc>
      </w:tr>
      <w:tr w14:paraId="2ACBE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462" w:type="pct"/>
            <w:vAlign w:val="center"/>
          </w:tcPr>
          <w:p w14:paraId="6468CB7A">
            <w:pPr>
              <w:spacing w:line="360" w:lineRule="auto"/>
              <w:jc w:val="center"/>
              <w:rPr>
                <w:rFonts w:ascii="宋体" w:hAnsi="宋体" w:cs="宋体"/>
                <w:sz w:val="24"/>
                <w:szCs w:val="24"/>
                <w:highlight w:val="none"/>
              </w:rPr>
            </w:pPr>
            <w:r>
              <w:rPr>
                <w:rFonts w:hint="eastAsia" w:ascii="宋体" w:hAnsi="宋体" w:cs="宋体"/>
                <w:sz w:val="24"/>
                <w:szCs w:val="24"/>
                <w:highlight w:val="none"/>
              </w:rPr>
              <w:t>13</w:t>
            </w:r>
          </w:p>
        </w:tc>
        <w:tc>
          <w:tcPr>
            <w:tcW w:w="964" w:type="pct"/>
            <w:vAlign w:val="center"/>
          </w:tcPr>
          <w:p w14:paraId="2496EE3A">
            <w:pPr>
              <w:spacing w:line="360" w:lineRule="auto"/>
              <w:jc w:val="center"/>
              <w:rPr>
                <w:rFonts w:ascii="宋体" w:hAnsi="宋体" w:cs="宋体"/>
                <w:sz w:val="24"/>
                <w:szCs w:val="24"/>
                <w:highlight w:val="none"/>
              </w:rPr>
            </w:pPr>
            <w:r>
              <w:rPr>
                <w:rFonts w:hint="eastAsia" w:ascii="宋体" w:hAnsi="宋体" w:cs="宋体"/>
                <w:sz w:val="24"/>
                <w:szCs w:val="24"/>
                <w:highlight w:val="none"/>
              </w:rPr>
              <w:t>响应资料份数</w:t>
            </w:r>
          </w:p>
        </w:tc>
        <w:tc>
          <w:tcPr>
            <w:tcW w:w="3573" w:type="pct"/>
            <w:vAlign w:val="center"/>
          </w:tcPr>
          <w:p w14:paraId="6C075FC1">
            <w:pP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正本的份数：壹份；副本的份数：贰份；电子版（U盘）：壹份（需在盘面上标注供应商全称、项目名称、编号）。</w:t>
            </w:r>
            <w:r>
              <w:rPr>
                <w:rFonts w:hint="eastAsia" w:ascii="宋体" w:hAnsi="宋体" w:cs="宋体"/>
                <w:sz w:val="24"/>
                <w:szCs w:val="24"/>
                <w:highlight w:val="none"/>
                <w:lang w:val="en-US" w:eastAsia="zh-CN"/>
              </w:rPr>
              <w:t>成交结果发布后，由成交供应商提供提供。</w:t>
            </w:r>
          </w:p>
        </w:tc>
      </w:tr>
      <w:tr w14:paraId="4BC3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trPr>
        <w:tc>
          <w:tcPr>
            <w:tcW w:w="462" w:type="pct"/>
            <w:vAlign w:val="center"/>
          </w:tcPr>
          <w:p w14:paraId="15447A76">
            <w:pPr>
              <w:spacing w:line="360" w:lineRule="auto"/>
              <w:jc w:val="center"/>
              <w:rPr>
                <w:rFonts w:ascii="宋体" w:hAnsi="宋体" w:cs="宋体"/>
                <w:sz w:val="24"/>
                <w:szCs w:val="24"/>
                <w:highlight w:val="none"/>
              </w:rPr>
            </w:pPr>
            <w:r>
              <w:rPr>
                <w:rFonts w:hint="eastAsia" w:ascii="宋体" w:hAnsi="宋体" w:cs="宋体"/>
                <w:sz w:val="24"/>
                <w:szCs w:val="24"/>
                <w:highlight w:val="none"/>
              </w:rPr>
              <w:t>14</w:t>
            </w:r>
          </w:p>
        </w:tc>
        <w:tc>
          <w:tcPr>
            <w:tcW w:w="964" w:type="pct"/>
            <w:vAlign w:val="center"/>
          </w:tcPr>
          <w:p w14:paraId="48C52BDB">
            <w:pPr>
              <w:spacing w:line="360" w:lineRule="auto"/>
              <w:jc w:val="center"/>
              <w:rPr>
                <w:rFonts w:ascii="宋体" w:hAnsi="宋体" w:cs="宋体"/>
                <w:sz w:val="24"/>
                <w:szCs w:val="24"/>
                <w:highlight w:val="none"/>
              </w:rPr>
            </w:pPr>
            <w:r>
              <w:rPr>
                <w:rFonts w:hint="eastAsia" w:ascii="宋体" w:hAnsi="宋体" w:cs="宋体"/>
                <w:sz w:val="24"/>
                <w:szCs w:val="24"/>
                <w:highlight w:val="none"/>
              </w:rPr>
              <w:t>谈判响应文件递交地点及截止时间</w:t>
            </w:r>
          </w:p>
        </w:tc>
        <w:tc>
          <w:tcPr>
            <w:tcW w:w="3573" w:type="pct"/>
            <w:vAlign w:val="center"/>
          </w:tcPr>
          <w:p w14:paraId="75EB3470">
            <w:pPr>
              <w:spacing w:line="360" w:lineRule="auto"/>
              <w:rPr>
                <w:rFonts w:ascii="宋体" w:hAnsi="宋体" w:cs="宋体"/>
                <w:sz w:val="24"/>
                <w:szCs w:val="24"/>
                <w:highlight w:val="none"/>
              </w:rPr>
            </w:pPr>
            <w:r>
              <w:rPr>
                <w:rFonts w:hint="eastAsia" w:ascii="宋体" w:hAnsi="宋体" w:cs="宋体"/>
                <w:sz w:val="24"/>
                <w:szCs w:val="24"/>
                <w:highlight w:val="none"/>
              </w:rPr>
              <w:t>谈判响应文递交地点：详见谈判公告</w:t>
            </w:r>
          </w:p>
          <w:p w14:paraId="6BBE8E38">
            <w:pPr>
              <w:spacing w:line="360" w:lineRule="auto"/>
              <w:rPr>
                <w:rFonts w:ascii="宋体" w:hAnsi="宋体" w:cs="宋体"/>
                <w:sz w:val="24"/>
                <w:szCs w:val="24"/>
                <w:highlight w:val="none"/>
              </w:rPr>
            </w:pPr>
            <w:r>
              <w:rPr>
                <w:rFonts w:hint="eastAsia" w:ascii="宋体" w:hAnsi="宋体" w:cs="宋体"/>
                <w:sz w:val="24"/>
                <w:szCs w:val="24"/>
                <w:highlight w:val="none"/>
              </w:rPr>
              <w:t>谈判响应文件递交截止时间：详见谈判公告</w:t>
            </w:r>
          </w:p>
        </w:tc>
      </w:tr>
      <w:tr w14:paraId="3A6A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7BE217B0">
            <w:pPr>
              <w:spacing w:line="360" w:lineRule="auto"/>
              <w:jc w:val="center"/>
              <w:rPr>
                <w:rFonts w:ascii="宋体" w:hAnsi="宋体" w:cs="宋体"/>
                <w:sz w:val="24"/>
                <w:szCs w:val="24"/>
                <w:highlight w:val="none"/>
              </w:rPr>
            </w:pPr>
            <w:r>
              <w:rPr>
                <w:rFonts w:hint="eastAsia" w:ascii="宋体" w:hAnsi="宋体" w:cs="宋体"/>
                <w:sz w:val="24"/>
                <w:szCs w:val="24"/>
                <w:highlight w:val="none"/>
              </w:rPr>
              <w:t>15</w:t>
            </w:r>
          </w:p>
        </w:tc>
        <w:tc>
          <w:tcPr>
            <w:tcW w:w="964" w:type="pct"/>
            <w:vAlign w:val="center"/>
          </w:tcPr>
          <w:p w14:paraId="08FDA9F3">
            <w:pPr>
              <w:spacing w:line="360" w:lineRule="auto"/>
              <w:jc w:val="center"/>
              <w:rPr>
                <w:rFonts w:ascii="宋体" w:hAnsi="宋体" w:cs="宋体"/>
                <w:sz w:val="24"/>
                <w:szCs w:val="24"/>
                <w:highlight w:val="none"/>
              </w:rPr>
            </w:pPr>
            <w:r>
              <w:rPr>
                <w:rFonts w:hint="eastAsia" w:ascii="宋体" w:hAnsi="宋体" w:cs="宋体"/>
                <w:sz w:val="24"/>
                <w:szCs w:val="24"/>
                <w:highlight w:val="none"/>
              </w:rPr>
              <w:t>谈判</w:t>
            </w:r>
          </w:p>
        </w:tc>
        <w:tc>
          <w:tcPr>
            <w:tcW w:w="3573" w:type="pct"/>
            <w:vAlign w:val="center"/>
          </w:tcPr>
          <w:p w14:paraId="03834E62">
            <w:pPr>
              <w:spacing w:line="360" w:lineRule="auto"/>
              <w:rPr>
                <w:rFonts w:ascii="宋体" w:hAnsi="宋体" w:cs="宋体"/>
                <w:sz w:val="24"/>
                <w:szCs w:val="24"/>
                <w:highlight w:val="none"/>
              </w:rPr>
            </w:pPr>
            <w:r>
              <w:rPr>
                <w:rFonts w:hint="eastAsia" w:ascii="宋体" w:hAnsi="宋体" w:cs="宋体"/>
                <w:sz w:val="24"/>
                <w:szCs w:val="24"/>
                <w:highlight w:val="none"/>
              </w:rPr>
              <w:t>谈判时间：详见谈判公告</w:t>
            </w:r>
          </w:p>
          <w:p w14:paraId="00DF0AC5">
            <w:pPr>
              <w:spacing w:line="360" w:lineRule="auto"/>
              <w:rPr>
                <w:rFonts w:ascii="宋体" w:hAnsi="宋体" w:cs="宋体"/>
                <w:sz w:val="24"/>
                <w:szCs w:val="24"/>
                <w:highlight w:val="none"/>
              </w:rPr>
            </w:pPr>
            <w:r>
              <w:rPr>
                <w:rFonts w:hint="eastAsia" w:ascii="宋体" w:hAnsi="宋体" w:cs="宋体"/>
                <w:sz w:val="24"/>
                <w:szCs w:val="24"/>
                <w:highlight w:val="none"/>
              </w:rPr>
              <w:t>地    点：详见谈判公告</w:t>
            </w:r>
          </w:p>
        </w:tc>
      </w:tr>
      <w:tr w14:paraId="255C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62" w:type="pct"/>
            <w:vAlign w:val="center"/>
          </w:tcPr>
          <w:p w14:paraId="79EE7DDD">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16</w:t>
            </w:r>
          </w:p>
        </w:tc>
        <w:tc>
          <w:tcPr>
            <w:tcW w:w="964" w:type="pct"/>
            <w:vAlign w:val="center"/>
          </w:tcPr>
          <w:p w14:paraId="1550DE66">
            <w:pPr>
              <w:tabs>
                <w:tab w:val="center" w:pos="4153"/>
                <w:tab w:val="right" w:pos="8306"/>
              </w:tabs>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签字和（或）盖章要求</w:t>
            </w:r>
          </w:p>
        </w:tc>
        <w:tc>
          <w:tcPr>
            <w:tcW w:w="3573" w:type="pct"/>
            <w:vAlign w:val="center"/>
          </w:tcPr>
          <w:p w14:paraId="0C1ED2A0">
            <w:pPr>
              <w:tabs>
                <w:tab w:val="center" w:pos="4153"/>
                <w:tab w:val="right" w:pos="8306"/>
              </w:tabs>
              <w:snapToGrid w:val="0"/>
              <w:spacing w:line="360" w:lineRule="auto"/>
              <w:rPr>
                <w:rFonts w:ascii="宋体" w:hAnsi="宋体" w:cs="宋体"/>
                <w:sz w:val="24"/>
                <w:szCs w:val="24"/>
                <w:highlight w:val="none"/>
              </w:rPr>
            </w:pPr>
            <w:r>
              <w:rPr>
                <w:rFonts w:hint="eastAsia" w:ascii="宋体" w:hAnsi="宋体" w:cs="宋体"/>
                <w:sz w:val="24"/>
                <w:szCs w:val="24"/>
                <w:highlight w:val="none"/>
              </w:rPr>
              <w:t>谈判响应文件封面及其它有要求盖章的部位应加盖供应商公章，要求法定代表人或授权委托代理人签章的部位须签字及盖章。</w:t>
            </w:r>
          </w:p>
        </w:tc>
      </w:tr>
      <w:tr w14:paraId="3732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4FF409EF">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7</w:t>
            </w:r>
          </w:p>
        </w:tc>
        <w:tc>
          <w:tcPr>
            <w:tcW w:w="964" w:type="pct"/>
            <w:vAlign w:val="center"/>
          </w:tcPr>
          <w:p w14:paraId="3DE27CD6">
            <w:pPr>
              <w:spacing w:line="360" w:lineRule="auto"/>
              <w:jc w:val="center"/>
              <w:rPr>
                <w:rFonts w:ascii="宋体" w:hAnsi="宋体" w:cs="宋体"/>
                <w:sz w:val="24"/>
                <w:szCs w:val="24"/>
                <w:highlight w:val="none"/>
              </w:rPr>
            </w:pPr>
            <w:r>
              <w:rPr>
                <w:rFonts w:hint="eastAsia" w:ascii="宋体" w:hAnsi="宋体" w:cs="宋体"/>
                <w:sz w:val="24"/>
                <w:szCs w:val="24"/>
                <w:highlight w:val="none"/>
              </w:rPr>
              <w:t>是否退还谈判响应资料</w:t>
            </w:r>
          </w:p>
        </w:tc>
        <w:tc>
          <w:tcPr>
            <w:tcW w:w="3573" w:type="pct"/>
            <w:vAlign w:val="center"/>
          </w:tcPr>
          <w:p w14:paraId="41DB2F18">
            <w:pPr>
              <w:spacing w:line="360" w:lineRule="auto"/>
              <w:rPr>
                <w:rFonts w:ascii="宋体" w:hAnsi="宋体" w:cs="宋体"/>
                <w:sz w:val="24"/>
                <w:szCs w:val="24"/>
                <w:highlight w:val="none"/>
              </w:rPr>
            </w:pPr>
            <w:r>
              <w:rPr>
                <w:rFonts w:hint="eastAsia" w:ascii="宋体" w:hAnsi="宋体" w:cs="宋体"/>
                <w:sz w:val="24"/>
                <w:szCs w:val="24"/>
                <w:highlight w:val="none"/>
              </w:rPr>
              <w:t>否</w:t>
            </w:r>
          </w:p>
        </w:tc>
      </w:tr>
      <w:tr w14:paraId="671A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62" w:type="pct"/>
            <w:vAlign w:val="center"/>
          </w:tcPr>
          <w:p w14:paraId="22129EE9">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8</w:t>
            </w:r>
          </w:p>
        </w:tc>
        <w:tc>
          <w:tcPr>
            <w:tcW w:w="964" w:type="pct"/>
            <w:vAlign w:val="center"/>
          </w:tcPr>
          <w:p w14:paraId="6DB13740">
            <w:pPr>
              <w:spacing w:line="360" w:lineRule="auto"/>
              <w:jc w:val="center"/>
              <w:rPr>
                <w:rFonts w:ascii="宋体" w:hAnsi="宋体" w:cs="宋体"/>
                <w:sz w:val="24"/>
                <w:szCs w:val="24"/>
                <w:highlight w:val="none"/>
              </w:rPr>
            </w:pPr>
            <w:r>
              <w:rPr>
                <w:rFonts w:hint="eastAsia" w:ascii="宋体" w:hAnsi="宋体" w:cs="宋体"/>
                <w:sz w:val="24"/>
                <w:szCs w:val="24"/>
                <w:highlight w:val="none"/>
              </w:rPr>
              <w:t>特殊情况处理</w:t>
            </w:r>
          </w:p>
        </w:tc>
        <w:tc>
          <w:tcPr>
            <w:tcW w:w="3573" w:type="pct"/>
            <w:vAlign w:val="center"/>
          </w:tcPr>
          <w:p w14:paraId="4F3EC3CA">
            <w:pPr>
              <w:spacing w:line="360" w:lineRule="auto"/>
              <w:rPr>
                <w:rFonts w:ascii="宋体" w:hAnsi="宋体" w:cs="宋体"/>
                <w:sz w:val="24"/>
                <w:szCs w:val="24"/>
                <w:highlight w:val="none"/>
              </w:rPr>
            </w:pPr>
            <w:r>
              <w:rPr>
                <w:rFonts w:hint="eastAsia" w:ascii="宋体" w:hAnsi="宋体" w:cs="宋体"/>
                <w:sz w:val="24"/>
                <w:szCs w:val="24"/>
                <w:highlight w:val="none"/>
              </w:rPr>
              <w:t>在谈判文件及程序符合法律规定的前提下，递交谈判响应文件或对谈判文件做出实质响应的供应商如果少于3家，应终止谈判，重新组织采购。</w:t>
            </w:r>
          </w:p>
        </w:tc>
      </w:tr>
      <w:tr w14:paraId="7553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2" w:hRule="atLeast"/>
        </w:trPr>
        <w:tc>
          <w:tcPr>
            <w:tcW w:w="462" w:type="pct"/>
            <w:vAlign w:val="center"/>
          </w:tcPr>
          <w:p w14:paraId="2CC2FA1C">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19</w:t>
            </w:r>
          </w:p>
        </w:tc>
        <w:tc>
          <w:tcPr>
            <w:tcW w:w="964" w:type="pct"/>
            <w:vAlign w:val="center"/>
          </w:tcPr>
          <w:p w14:paraId="4B313348">
            <w:pPr>
              <w:spacing w:line="360" w:lineRule="auto"/>
              <w:jc w:val="center"/>
              <w:rPr>
                <w:rFonts w:ascii="宋体" w:hAnsi="宋体" w:cs="宋体"/>
                <w:sz w:val="24"/>
                <w:szCs w:val="24"/>
                <w:highlight w:val="none"/>
              </w:rPr>
            </w:pPr>
            <w:r>
              <w:rPr>
                <w:rFonts w:hint="eastAsia" w:ascii="宋体" w:hAnsi="宋体" w:cs="宋体"/>
                <w:sz w:val="24"/>
                <w:szCs w:val="24"/>
                <w:highlight w:val="none"/>
              </w:rPr>
              <w:t>谈判报价次数、谈判程序和最终报价的产生原则</w:t>
            </w:r>
          </w:p>
        </w:tc>
        <w:tc>
          <w:tcPr>
            <w:tcW w:w="3573" w:type="pct"/>
            <w:vAlign w:val="center"/>
          </w:tcPr>
          <w:p w14:paraId="02330981">
            <w:pPr>
              <w:spacing w:line="360" w:lineRule="auto"/>
              <w:rPr>
                <w:rFonts w:ascii="宋体" w:hAnsi="宋体" w:cs="宋体"/>
                <w:sz w:val="24"/>
                <w:szCs w:val="24"/>
                <w:highlight w:val="none"/>
              </w:rPr>
            </w:pPr>
            <w:r>
              <w:rPr>
                <w:rFonts w:hint="eastAsia" w:ascii="宋体" w:hAnsi="宋体" w:cs="宋体"/>
                <w:sz w:val="24"/>
                <w:szCs w:val="24"/>
                <w:highlight w:val="none"/>
              </w:rPr>
              <w:t>本次谈判采用二次报价</w:t>
            </w:r>
          </w:p>
          <w:p w14:paraId="44E0F037">
            <w:pPr>
              <w:spacing w:line="360" w:lineRule="auto"/>
              <w:rPr>
                <w:rFonts w:ascii="宋体" w:hAnsi="宋体" w:cs="宋体"/>
                <w:sz w:val="24"/>
                <w:szCs w:val="24"/>
                <w:highlight w:val="none"/>
              </w:rPr>
            </w:pPr>
            <w:r>
              <w:rPr>
                <w:rFonts w:hint="eastAsia" w:ascii="宋体" w:hAnsi="宋体" w:cs="宋体"/>
                <w:sz w:val="24"/>
                <w:szCs w:val="24"/>
                <w:highlight w:val="none"/>
              </w:rPr>
              <w:t>谈判程序为：</w:t>
            </w:r>
          </w:p>
          <w:p w14:paraId="057D23B4">
            <w:pPr>
              <w:spacing w:line="360" w:lineRule="auto"/>
              <w:rPr>
                <w:rFonts w:ascii="宋体" w:hAnsi="宋体" w:cs="宋体"/>
                <w:sz w:val="24"/>
                <w:szCs w:val="24"/>
                <w:highlight w:val="none"/>
              </w:rPr>
            </w:pPr>
            <w:r>
              <w:rPr>
                <w:rFonts w:hint="eastAsia" w:ascii="宋体" w:hAnsi="宋体" w:cs="宋体"/>
                <w:sz w:val="24"/>
                <w:szCs w:val="24"/>
                <w:highlight w:val="none"/>
              </w:rPr>
              <w:t>1、谈判小组对所有提交的谈判响应文件进行审查；</w:t>
            </w:r>
          </w:p>
          <w:p w14:paraId="3A64E44F">
            <w:pPr>
              <w:spacing w:line="360" w:lineRule="auto"/>
              <w:rPr>
                <w:rFonts w:ascii="宋体" w:hAnsi="宋体" w:cs="宋体"/>
                <w:sz w:val="24"/>
                <w:szCs w:val="24"/>
                <w:highlight w:val="none"/>
              </w:rPr>
            </w:pPr>
            <w:r>
              <w:rPr>
                <w:rFonts w:hint="eastAsia" w:ascii="宋体" w:hAnsi="宋体" w:cs="宋体"/>
                <w:sz w:val="24"/>
                <w:szCs w:val="24"/>
                <w:highlight w:val="none"/>
              </w:rPr>
              <w:t>2、谈判小组所有成员集中与单一供应商分别进行谈判；</w:t>
            </w:r>
          </w:p>
          <w:p w14:paraId="7355A812">
            <w:pPr>
              <w:spacing w:line="360" w:lineRule="auto"/>
              <w:rPr>
                <w:rFonts w:ascii="宋体" w:hAnsi="宋体" w:cs="宋体"/>
                <w:sz w:val="24"/>
                <w:szCs w:val="24"/>
                <w:highlight w:val="none"/>
              </w:rPr>
            </w:pPr>
            <w:r>
              <w:rPr>
                <w:rFonts w:hint="eastAsia" w:ascii="宋体" w:hAnsi="宋体" w:cs="宋体"/>
                <w:sz w:val="24"/>
                <w:szCs w:val="24"/>
                <w:highlight w:val="none"/>
              </w:rPr>
              <w:t>3、供应商按照要求在规定的时间内填写并提交二次报价表；</w:t>
            </w:r>
          </w:p>
          <w:p w14:paraId="05302A0B">
            <w:pPr>
              <w:spacing w:line="360" w:lineRule="auto"/>
              <w:rPr>
                <w:rFonts w:ascii="宋体" w:hAnsi="宋体" w:cs="宋体"/>
                <w:sz w:val="24"/>
                <w:szCs w:val="24"/>
                <w:highlight w:val="none"/>
              </w:rPr>
            </w:pPr>
            <w:r>
              <w:rPr>
                <w:rFonts w:hint="eastAsia" w:ascii="宋体" w:hAnsi="宋体" w:cs="宋体"/>
                <w:sz w:val="24"/>
                <w:szCs w:val="24"/>
                <w:highlight w:val="none"/>
              </w:rPr>
              <w:t>4、谈判小组评审、推荐成交候选人。</w:t>
            </w:r>
          </w:p>
          <w:p w14:paraId="27A2445A">
            <w:pPr>
              <w:spacing w:line="360" w:lineRule="auto"/>
              <w:rPr>
                <w:rFonts w:ascii="宋体" w:hAnsi="宋体" w:cs="宋体"/>
                <w:sz w:val="24"/>
                <w:szCs w:val="24"/>
                <w:highlight w:val="none"/>
              </w:rPr>
            </w:pPr>
            <w:r>
              <w:rPr>
                <w:rFonts w:hint="eastAsia" w:ascii="宋体" w:hAnsi="宋体" w:cs="宋体"/>
                <w:sz w:val="24"/>
                <w:szCs w:val="24"/>
                <w:highlight w:val="none"/>
              </w:rPr>
              <w:t>在谈判过程中，谈判小组可以根据竞争性谈判文件和谈判情况实质性变动采购需求中的技术、服务要求以及合同草案条款。二次报价为最终报价。</w:t>
            </w:r>
          </w:p>
        </w:tc>
      </w:tr>
      <w:tr w14:paraId="4CF6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2" w:type="pct"/>
            <w:vAlign w:val="center"/>
          </w:tcPr>
          <w:p w14:paraId="1C4C7DEF">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0</w:t>
            </w:r>
          </w:p>
        </w:tc>
        <w:tc>
          <w:tcPr>
            <w:tcW w:w="964" w:type="pct"/>
            <w:vAlign w:val="center"/>
          </w:tcPr>
          <w:p w14:paraId="0D67CD26">
            <w:pPr>
              <w:spacing w:line="360" w:lineRule="auto"/>
              <w:jc w:val="center"/>
              <w:rPr>
                <w:rFonts w:ascii="宋体" w:hAnsi="宋体" w:cs="宋体"/>
                <w:sz w:val="24"/>
                <w:szCs w:val="24"/>
                <w:highlight w:val="none"/>
              </w:rPr>
            </w:pPr>
            <w:r>
              <w:rPr>
                <w:rFonts w:hint="eastAsia" w:ascii="宋体" w:hAnsi="宋体" w:cs="宋体"/>
                <w:sz w:val="24"/>
                <w:szCs w:val="24"/>
                <w:highlight w:val="none"/>
              </w:rPr>
              <w:t>竞争性谈判文件的澄清、修改及质疑答复</w:t>
            </w:r>
          </w:p>
        </w:tc>
        <w:tc>
          <w:tcPr>
            <w:tcW w:w="3573" w:type="pct"/>
            <w:vAlign w:val="center"/>
          </w:tcPr>
          <w:p w14:paraId="404C06C0">
            <w:pPr>
              <w:spacing w:line="360" w:lineRule="auto"/>
              <w:rPr>
                <w:highlight w:val="none"/>
              </w:rPr>
            </w:pPr>
            <w:r>
              <w:rPr>
                <w:rFonts w:hint="eastAsia" w:ascii="宋体" w:hAnsi="宋体" w:cs="宋体"/>
                <w:sz w:val="24"/>
                <w:szCs w:val="24"/>
                <w:highlight w:val="none"/>
              </w:rPr>
              <w:t>1、</w:t>
            </w:r>
            <w:r>
              <w:rPr>
                <w:rFonts w:ascii="宋体" w:hAnsi="宋体" w:cs="宋体"/>
                <w:sz w:val="24"/>
                <w:szCs w:val="24"/>
                <w:highlight w:val="none"/>
              </w:rPr>
              <w:t>采购代理机构可对已发出的谈判文件进行必要的澄清或者修改，澄清或者修改的内容作为谈判文件的组成部分。澄清和修改的内容可能影响响应文件编制的，采购代理机构应当在提交首次响应文件截止时间至少三个工作日前，以书面形式通知所有获取谈判文件的供应商，并对供应商具有约束力。供应商在收到上述通知后，应当立即以书面形式向采购代理机构确认；不足三个工作日的，采购代理机构应当顺延提交首次响应文件截止时间。</w:t>
            </w:r>
          </w:p>
          <w:p w14:paraId="7ACA1823">
            <w:pPr>
              <w:spacing w:line="360" w:lineRule="auto"/>
              <w:rPr>
                <w:rFonts w:ascii="宋体" w:hAnsi="宋体" w:cs="宋体"/>
                <w:sz w:val="24"/>
                <w:szCs w:val="24"/>
                <w:highlight w:val="none"/>
              </w:rPr>
            </w:pPr>
            <w:r>
              <w:rPr>
                <w:rFonts w:hint="eastAsia" w:ascii="宋体" w:hAnsi="宋体" w:cs="宋体"/>
                <w:sz w:val="24"/>
                <w:szCs w:val="24"/>
                <w:highlight w:val="none"/>
              </w:rPr>
              <w:t>2、供应商</w:t>
            </w:r>
            <w:r>
              <w:rPr>
                <w:rFonts w:ascii="宋体" w:hAnsi="宋体" w:cs="宋体"/>
                <w:sz w:val="24"/>
                <w:szCs w:val="24"/>
                <w:highlight w:val="none"/>
              </w:rPr>
              <w:t>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w:t>
            </w:r>
            <w:r>
              <w:rPr>
                <w:rFonts w:hint="eastAsia" w:ascii="宋体" w:hAnsi="宋体" w:cs="宋体"/>
                <w:sz w:val="24"/>
                <w:szCs w:val="24"/>
                <w:highlight w:val="none"/>
              </w:rPr>
              <w:t>采购代理机构将按质疑程序在法定时间内作出答复，若对竞争性谈判文件做出实质性变动，则按照相关规定延长谈判报价截止时间。</w:t>
            </w:r>
          </w:p>
          <w:p w14:paraId="454FF51E">
            <w:pPr>
              <w:spacing w:line="360" w:lineRule="auto"/>
              <w:rPr>
                <w:rFonts w:ascii="宋体" w:hAnsi="宋体" w:cs="宋体"/>
                <w:sz w:val="24"/>
                <w:szCs w:val="24"/>
                <w:highlight w:val="none"/>
              </w:rPr>
            </w:pPr>
            <w:r>
              <w:rPr>
                <w:rFonts w:hint="eastAsia" w:ascii="宋体" w:hAnsi="宋体" w:cs="宋体"/>
                <w:sz w:val="24"/>
                <w:szCs w:val="24"/>
                <w:highlight w:val="none"/>
              </w:rPr>
              <w:t>3、竞争性谈判文件、澄清（答疑）纪要、修改补充通知内容均以书面明确的内容为准。当竞争性谈判文件、修改补充通知、澄清（答疑）纪要内容相互矛盾时，以最后发出的通知（或纪要）或修改文件为准。</w:t>
            </w:r>
          </w:p>
        </w:tc>
      </w:tr>
      <w:tr w14:paraId="1F27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1DDAFA1">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1</w:t>
            </w:r>
          </w:p>
        </w:tc>
        <w:tc>
          <w:tcPr>
            <w:tcW w:w="964" w:type="pct"/>
            <w:vAlign w:val="center"/>
          </w:tcPr>
          <w:p w14:paraId="58F58AC0">
            <w:pPr>
              <w:spacing w:after="156" w:afterLines="50" w:line="360" w:lineRule="auto"/>
              <w:jc w:val="center"/>
              <w:rPr>
                <w:rFonts w:ascii="宋体" w:hAnsi="宋体" w:cs="宋体"/>
                <w:b/>
                <w:bCs/>
                <w:sz w:val="24"/>
                <w:szCs w:val="24"/>
                <w:highlight w:val="none"/>
              </w:rPr>
            </w:pPr>
            <w:r>
              <w:rPr>
                <w:rFonts w:hint="eastAsia" w:ascii="宋体" w:hAnsi="宋体" w:cs="宋体"/>
                <w:kern w:val="0"/>
                <w:sz w:val="24"/>
                <w:szCs w:val="24"/>
                <w:highlight w:val="none"/>
              </w:rPr>
              <w:t>代理服务费</w:t>
            </w:r>
          </w:p>
        </w:tc>
        <w:tc>
          <w:tcPr>
            <w:tcW w:w="3573" w:type="pct"/>
            <w:vAlign w:val="center"/>
          </w:tcPr>
          <w:p w14:paraId="7B8A789A">
            <w:pPr>
              <w:spacing w:line="360" w:lineRule="auto"/>
              <w:jc w:val="left"/>
              <w:rPr>
                <w:rFonts w:ascii="宋体" w:hAnsi="宋体" w:cs="宋体"/>
                <w:sz w:val="24"/>
                <w:szCs w:val="24"/>
                <w:highlight w:val="none"/>
              </w:rPr>
            </w:pPr>
            <w:r>
              <w:rPr>
                <w:rFonts w:hint="eastAsia" w:ascii="宋体" w:hAnsi="宋体" w:cs="宋体"/>
                <w:b/>
                <w:bCs/>
                <w:sz w:val="24"/>
                <w:szCs w:val="24"/>
                <w:highlight w:val="none"/>
              </w:rPr>
              <w:t>代理服务费：</w:t>
            </w:r>
            <w:r>
              <w:rPr>
                <w:rFonts w:hint="eastAsia" w:ascii="宋体" w:hAnsi="宋体" w:cs="宋体"/>
                <w:sz w:val="24"/>
                <w:szCs w:val="24"/>
                <w:highlight w:val="none"/>
              </w:rPr>
              <w:t xml:space="preserve"> </w:t>
            </w:r>
          </w:p>
          <w:p w14:paraId="38E0EF2A">
            <w:pPr>
              <w:spacing w:line="360" w:lineRule="auto"/>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1、收费标准：按照“国家计委关于印发《招标代理服务收费管理暂行办法的通知》（计价格〔2002〕1980号）”、“《国家发展和改革委办公厅关于招标代理服务收费有关问题的通知》（发改价格〔2003〕857号）”、“国家发展和改革委《关于降低部分建设项目收费标准规范收费行为等有关问题的通知》（发改价格〔2011〕534号）”的规定</w:t>
            </w:r>
            <w:r>
              <w:rPr>
                <w:rFonts w:hint="eastAsia" w:ascii="宋体" w:hAnsi="宋体" w:cs="宋体"/>
                <w:sz w:val="24"/>
                <w:szCs w:val="24"/>
                <w:highlight w:val="none"/>
                <w:lang w:val="en-US" w:eastAsia="zh-CN"/>
              </w:rPr>
              <w:t>收取。</w:t>
            </w:r>
          </w:p>
          <w:p w14:paraId="1797E556">
            <w:pPr>
              <w:spacing w:line="360" w:lineRule="auto"/>
              <w:jc w:val="left"/>
              <w:rPr>
                <w:rFonts w:ascii="宋体" w:hAnsi="宋体" w:cs="宋体"/>
                <w:sz w:val="24"/>
                <w:szCs w:val="24"/>
                <w:highlight w:val="none"/>
              </w:rPr>
            </w:pPr>
            <w:r>
              <w:rPr>
                <w:rFonts w:hint="eastAsia" w:ascii="宋体" w:hAnsi="宋体" w:cs="宋体"/>
                <w:sz w:val="24"/>
                <w:szCs w:val="24"/>
                <w:highlight w:val="none"/>
              </w:rPr>
              <w:t>2、成交供应商在领取中标通知书前，须向采购代理机构一次性支付招标代理服务费。</w:t>
            </w:r>
          </w:p>
          <w:p w14:paraId="73C1B4AC">
            <w:pPr>
              <w:spacing w:line="520" w:lineRule="exact"/>
              <w:rPr>
                <w:rFonts w:ascii="宋体" w:hAnsi="宋体" w:cs="宋体"/>
                <w:b/>
                <w:bCs/>
                <w:sz w:val="24"/>
                <w:szCs w:val="24"/>
                <w:highlight w:val="none"/>
              </w:rPr>
            </w:pPr>
            <w:r>
              <w:rPr>
                <w:rFonts w:hint="eastAsia" w:ascii="宋体" w:hAnsi="宋体" w:cs="宋体"/>
                <w:b/>
                <w:bCs/>
                <w:sz w:val="24"/>
                <w:szCs w:val="24"/>
                <w:highlight w:val="none"/>
              </w:rPr>
              <w:t>3、代理服务费账户：</w:t>
            </w:r>
          </w:p>
          <w:p w14:paraId="674C9DEB">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①采购代理机构开户名称: 陕西至诚项目管理集团有限公司</w:t>
            </w:r>
          </w:p>
          <w:p w14:paraId="1D8E6C6F">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②开户行名称：中国建设银行股份有限公司西安高新技术产业开发区支行</w:t>
            </w:r>
          </w:p>
          <w:p w14:paraId="7D0692FB">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③账号：61050192090000002152。</w:t>
            </w:r>
          </w:p>
          <w:p w14:paraId="202C7BFB">
            <w:pPr>
              <w:spacing w:line="360" w:lineRule="auto"/>
              <w:jc w:val="left"/>
              <w:rPr>
                <w:rFonts w:ascii="宋体" w:hAnsi="宋体" w:cs="宋体"/>
                <w:sz w:val="24"/>
                <w:szCs w:val="24"/>
                <w:highlight w:val="none"/>
              </w:rPr>
            </w:pPr>
            <w:r>
              <w:rPr>
                <w:rFonts w:hint="eastAsia" w:ascii="宋体" w:hAnsi="宋体" w:cs="宋体"/>
                <w:sz w:val="24"/>
                <w:szCs w:val="24"/>
                <w:highlight w:val="none"/>
              </w:rPr>
              <w:t>请各供应商按照要求将服务费汇入以上指定账户，如因自身原因发生错误，产生的不利后果均由供应商自行承担。</w:t>
            </w:r>
          </w:p>
        </w:tc>
      </w:tr>
      <w:tr w14:paraId="7931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604D2E51">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2</w:t>
            </w:r>
          </w:p>
        </w:tc>
        <w:tc>
          <w:tcPr>
            <w:tcW w:w="964" w:type="pct"/>
            <w:vAlign w:val="center"/>
          </w:tcPr>
          <w:p w14:paraId="510FFA4F">
            <w:pPr>
              <w:spacing w:after="156" w:afterLines="50"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项目</w:t>
            </w:r>
          </w:p>
          <w:p w14:paraId="0261935E">
            <w:pPr>
              <w:spacing w:after="156" w:afterLines="50"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性质</w:t>
            </w:r>
          </w:p>
        </w:tc>
        <w:tc>
          <w:tcPr>
            <w:tcW w:w="3573" w:type="pct"/>
            <w:vAlign w:val="center"/>
          </w:tcPr>
          <w:p w14:paraId="6F681BD0">
            <w:pPr>
              <w:spacing w:line="360" w:lineRule="auto"/>
              <w:jc w:val="left"/>
              <w:rPr>
                <w:rFonts w:ascii="宋体" w:hAnsi="宋体" w:cs="宋体"/>
                <w:sz w:val="24"/>
                <w:szCs w:val="24"/>
                <w:highlight w:val="none"/>
              </w:rPr>
            </w:pPr>
            <w:r>
              <w:rPr>
                <w:rFonts w:hint="eastAsia" w:ascii="宋体" w:hAnsi="宋体" w:cs="宋体"/>
                <w:b/>
                <w:bCs/>
                <w:sz w:val="24"/>
                <w:szCs w:val="24"/>
                <w:highlight w:val="none"/>
              </w:rPr>
              <w:t>本项目专门面向中小企业</w:t>
            </w:r>
          </w:p>
        </w:tc>
      </w:tr>
      <w:tr w14:paraId="45FC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7213F6C3">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3</w:t>
            </w:r>
          </w:p>
        </w:tc>
        <w:tc>
          <w:tcPr>
            <w:tcW w:w="964" w:type="pct"/>
            <w:vAlign w:val="center"/>
          </w:tcPr>
          <w:p w14:paraId="59C05DD0">
            <w:pPr>
              <w:spacing w:after="156" w:afterLines="50"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采购文件所属行业</w:t>
            </w:r>
          </w:p>
        </w:tc>
        <w:tc>
          <w:tcPr>
            <w:tcW w:w="3573" w:type="pct"/>
            <w:vAlign w:val="center"/>
          </w:tcPr>
          <w:p w14:paraId="5110F641">
            <w:pPr>
              <w:spacing w:line="360" w:lineRule="auto"/>
              <w:jc w:val="left"/>
              <w:rPr>
                <w:rFonts w:ascii="宋体" w:hAnsi="宋体" w:cs="宋体"/>
                <w:sz w:val="24"/>
                <w:szCs w:val="24"/>
                <w:highlight w:val="none"/>
              </w:rPr>
            </w:pPr>
            <w:r>
              <w:rPr>
                <w:rFonts w:hint="eastAsia" w:ascii="宋体" w:hAnsi="宋体" w:cs="宋体"/>
                <w:sz w:val="24"/>
                <w:szCs w:val="24"/>
                <w:highlight w:val="none"/>
              </w:rPr>
              <w:t>其他未列明行业</w:t>
            </w:r>
          </w:p>
        </w:tc>
      </w:tr>
      <w:tr w14:paraId="02DB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32E919E9">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4</w:t>
            </w:r>
          </w:p>
        </w:tc>
        <w:tc>
          <w:tcPr>
            <w:tcW w:w="964" w:type="pct"/>
            <w:vAlign w:val="center"/>
          </w:tcPr>
          <w:p w14:paraId="103F934B">
            <w:pPr>
              <w:spacing w:after="156" w:afterLines="50"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政策性扣减</w:t>
            </w:r>
          </w:p>
        </w:tc>
        <w:tc>
          <w:tcPr>
            <w:tcW w:w="3573" w:type="pct"/>
            <w:vAlign w:val="center"/>
          </w:tcPr>
          <w:p w14:paraId="0B0E2D68">
            <w:pPr>
              <w:spacing w:line="360" w:lineRule="auto"/>
              <w:jc w:val="left"/>
              <w:rPr>
                <w:rFonts w:ascii="宋体" w:hAnsi="宋体" w:cs="宋体"/>
                <w:sz w:val="24"/>
                <w:szCs w:val="24"/>
                <w:highlight w:val="none"/>
              </w:rPr>
            </w:pPr>
            <w:r>
              <w:rPr>
                <w:rFonts w:hint="eastAsia" w:ascii="宋体" w:hAnsi="宋体" w:cs="宋体"/>
                <w:sz w:val="24"/>
                <w:szCs w:val="24"/>
                <w:highlight w:val="none"/>
              </w:rPr>
              <w:t>对符合《政府采购促进中小企业发展管理办法》(财库〔2020〕46号)规定的小微企业(监狱企业视同小型、微型企业)的报价给予10%的扣除,用扣除后的价格参加评审。本项目专门面向中小企业，不</w:t>
            </w:r>
            <w:r>
              <w:rPr>
                <w:rFonts w:hint="eastAsia" w:ascii="宋体" w:hAnsi="宋体" w:cs="宋体"/>
                <w:sz w:val="24"/>
                <w:szCs w:val="24"/>
                <w:highlight w:val="none"/>
                <w:lang w:val="en-US" w:eastAsia="zh-CN"/>
              </w:rPr>
              <w:t>再</w:t>
            </w:r>
            <w:r>
              <w:rPr>
                <w:rFonts w:hint="eastAsia" w:ascii="宋体" w:hAnsi="宋体" w:cs="宋体"/>
                <w:sz w:val="24"/>
                <w:szCs w:val="24"/>
                <w:highlight w:val="none"/>
              </w:rPr>
              <w:t>进行价格扣减。</w:t>
            </w:r>
          </w:p>
        </w:tc>
      </w:tr>
      <w:tr w14:paraId="19DF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985A401">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5</w:t>
            </w:r>
          </w:p>
        </w:tc>
        <w:tc>
          <w:tcPr>
            <w:tcW w:w="964" w:type="pct"/>
            <w:vAlign w:val="center"/>
          </w:tcPr>
          <w:p w14:paraId="63FF9262">
            <w:pPr>
              <w:spacing w:line="500" w:lineRule="exact"/>
              <w:jc w:val="center"/>
              <w:rPr>
                <w:rFonts w:ascii="宋体" w:hAnsi="宋体" w:cs="宋体"/>
                <w:b/>
                <w:sz w:val="24"/>
                <w:szCs w:val="24"/>
                <w:highlight w:val="none"/>
              </w:rPr>
            </w:pPr>
            <w:r>
              <w:rPr>
                <w:rFonts w:hint="eastAsia" w:ascii="宋体" w:hAnsi="宋体" w:cs="宋体"/>
                <w:b/>
                <w:bCs/>
                <w:sz w:val="24"/>
                <w:szCs w:val="24"/>
                <w:highlight w:val="none"/>
              </w:rPr>
              <w:t>供应商注册登记提醒</w:t>
            </w:r>
          </w:p>
        </w:tc>
        <w:tc>
          <w:tcPr>
            <w:tcW w:w="3573" w:type="pct"/>
            <w:vAlign w:val="center"/>
          </w:tcPr>
          <w:p w14:paraId="1DABA40B">
            <w:pPr>
              <w:spacing w:line="50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供应商注册登记提醒：</w:t>
            </w:r>
          </w:p>
          <w:p w14:paraId="27AE8870">
            <w:pPr>
              <w:spacing w:line="50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根据陕西省财政厅关于政府采购供应商注册登记有关事项的通知，如所投本项目的供应商未在陕西省政府采购网（http://www.ccgp-shaanxi.gov.cn/information/informationDetail.do?informationguid=8a85be3567ed23460167ed36804d0009）注册登记加入陕西省政府采购供应商库的，应按要求及时办理注册登记，并接受财政部门监督管理。</w:t>
            </w:r>
          </w:p>
        </w:tc>
      </w:tr>
      <w:tr w14:paraId="3639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62" w:type="pct"/>
            <w:vAlign w:val="center"/>
          </w:tcPr>
          <w:p w14:paraId="4346DA74">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6</w:t>
            </w:r>
          </w:p>
        </w:tc>
        <w:tc>
          <w:tcPr>
            <w:tcW w:w="964" w:type="pct"/>
            <w:vAlign w:val="center"/>
          </w:tcPr>
          <w:p w14:paraId="1F02C476">
            <w:pPr>
              <w:spacing w:line="360" w:lineRule="auto"/>
              <w:jc w:val="center"/>
              <w:rPr>
                <w:rFonts w:ascii="宋体" w:hAnsi="宋体" w:cs="宋体"/>
                <w:sz w:val="24"/>
                <w:szCs w:val="24"/>
                <w:highlight w:val="none"/>
              </w:rPr>
            </w:pPr>
            <w:r>
              <w:rPr>
                <w:rFonts w:hint="eastAsia" w:ascii="宋体" w:hAnsi="宋体" w:cs="宋体"/>
                <w:sz w:val="24"/>
                <w:szCs w:val="24"/>
                <w:highlight w:val="none"/>
              </w:rPr>
              <w:t>是否授权谈判小组有确定成交人</w:t>
            </w:r>
          </w:p>
        </w:tc>
        <w:tc>
          <w:tcPr>
            <w:tcW w:w="3573" w:type="pct"/>
            <w:vAlign w:val="center"/>
          </w:tcPr>
          <w:p w14:paraId="222AD3C1">
            <w:pPr>
              <w:spacing w:line="360" w:lineRule="auto"/>
              <w:rPr>
                <w:rFonts w:ascii="宋体" w:hAnsi="宋体" w:cs="宋体"/>
                <w:sz w:val="24"/>
                <w:szCs w:val="24"/>
                <w:highlight w:val="none"/>
              </w:rPr>
            </w:pPr>
            <w:r>
              <w:rPr>
                <w:rFonts w:hint="eastAsia" w:ascii="宋体" w:hAnsi="宋体" w:cs="宋体"/>
                <w:sz w:val="24"/>
                <w:szCs w:val="24"/>
                <w:highlight w:val="none"/>
              </w:rPr>
              <w:t>否,推荐3名成交候选人</w:t>
            </w:r>
          </w:p>
        </w:tc>
      </w:tr>
      <w:tr w14:paraId="20F7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gridSpan w:val="3"/>
            <w:vAlign w:val="center"/>
          </w:tcPr>
          <w:p w14:paraId="2BD7B30B">
            <w:pPr>
              <w:spacing w:line="360" w:lineRule="auto"/>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7</w:t>
            </w:r>
            <w:r>
              <w:rPr>
                <w:rFonts w:hint="eastAsia" w:ascii="宋体" w:hAnsi="宋体" w:cs="宋体"/>
                <w:sz w:val="24"/>
                <w:szCs w:val="24"/>
                <w:highlight w:val="none"/>
              </w:rPr>
              <w:t xml:space="preserve">  同义词语</w:t>
            </w:r>
          </w:p>
        </w:tc>
      </w:tr>
      <w:tr w14:paraId="7A4D2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gridSpan w:val="3"/>
            <w:vAlign w:val="center"/>
          </w:tcPr>
          <w:p w14:paraId="695EA100">
            <w:pPr>
              <w:spacing w:line="360" w:lineRule="auto"/>
              <w:rPr>
                <w:rFonts w:ascii="宋体" w:hAnsi="宋体" w:cs="宋体"/>
                <w:sz w:val="24"/>
                <w:szCs w:val="24"/>
                <w:highlight w:val="none"/>
              </w:rPr>
            </w:pPr>
            <w:r>
              <w:rPr>
                <w:rFonts w:hint="eastAsia" w:ascii="宋体" w:hAnsi="宋体" w:cs="宋体"/>
                <w:sz w:val="24"/>
                <w:szCs w:val="24"/>
                <w:highlight w:val="none"/>
              </w:rPr>
              <w:t>构成谈判文件组成部分的“通用合同条款”、“专用合同条款”、“技术标准和要求”等章节中出现的措辞“发包人”和“承包人”，在招标投标阶段应当分别按“采购人”和“供应商”进行理解。</w:t>
            </w:r>
          </w:p>
        </w:tc>
      </w:tr>
      <w:tr w14:paraId="1839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5000" w:type="pct"/>
            <w:gridSpan w:val="3"/>
            <w:vAlign w:val="center"/>
          </w:tcPr>
          <w:p w14:paraId="4270266E">
            <w:pPr>
              <w:spacing w:line="360" w:lineRule="auto"/>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8</w:t>
            </w:r>
            <w:r>
              <w:rPr>
                <w:rFonts w:hint="eastAsia" w:ascii="宋体" w:hAnsi="宋体" w:cs="宋体"/>
                <w:sz w:val="24"/>
                <w:szCs w:val="24"/>
                <w:highlight w:val="none"/>
              </w:rPr>
              <w:t xml:space="preserve">  解释权</w:t>
            </w:r>
          </w:p>
        </w:tc>
      </w:tr>
      <w:tr w14:paraId="3312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gridSpan w:val="3"/>
            <w:vAlign w:val="center"/>
          </w:tcPr>
          <w:p w14:paraId="4DCF5C75">
            <w:pPr>
              <w:spacing w:line="360" w:lineRule="auto"/>
              <w:rPr>
                <w:rFonts w:ascii="宋体" w:hAnsi="宋体" w:cs="宋体"/>
                <w:sz w:val="24"/>
                <w:szCs w:val="24"/>
                <w:highlight w:val="none"/>
              </w:rPr>
            </w:pPr>
            <w:r>
              <w:rPr>
                <w:rFonts w:hint="eastAsia" w:ascii="宋体" w:hAnsi="宋体" w:cs="宋体"/>
                <w:sz w:val="24"/>
                <w:szCs w:val="24"/>
                <w:highlight w:val="none"/>
              </w:rPr>
              <w:t>本招标文件由采购人和招标代理机构负责解释。</w:t>
            </w:r>
          </w:p>
        </w:tc>
      </w:tr>
    </w:tbl>
    <w:p w14:paraId="41376813">
      <w:pPr>
        <w:spacing w:line="360" w:lineRule="auto"/>
        <w:rPr>
          <w:rFonts w:ascii="宋体" w:hAnsi="宋体" w:cs="宋体"/>
          <w:sz w:val="24"/>
          <w:szCs w:val="24"/>
          <w:highlight w:val="none"/>
        </w:rPr>
      </w:pPr>
      <w:r>
        <w:rPr>
          <w:rFonts w:hint="eastAsia" w:ascii="宋体" w:hAnsi="宋体" w:cs="宋体"/>
          <w:sz w:val="24"/>
          <w:szCs w:val="24"/>
          <w:highlight w:val="none"/>
        </w:rPr>
        <w:br w:type="page"/>
      </w:r>
    </w:p>
    <w:p w14:paraId="15899FAF">
      <w:pPr>
        <w:spacing w:line="360" w:lineRule="auto"/>
        <w:jc w:val="center"/>
        <w:rPr>
          <w:rFonts w:ascii="宋体" w:hAnsi="宋体" w:cs="宋体"/>
          <w:b/>
          <w:bCs/>
          <w:highlight w:val="none"/>
        </w:rPr>
      </w:pPr>
      <w:bookmarkStart w:id="4" w:name="_Toc8072"/>
      <w:bookmarkStart w:id="5" w:name="_Toc5789"/>
      <w:r>
        <w:rPr>
          <w:rFonts w:hint="eastAsia" w:ascii="宋体" w:hAnsi="宋体" w:cs="宋体"/>
          <w:b/>
          <w:bCs/>
          <w:sz w:val="30"/>
          <w:szCs w:val="30"/>
          <w:highlight w:val="none"/>
        </w:rPr>
        <w:t>供应商须知</w:t>
      </w:r>
      <w:bookmarkEnd w:id="4"/>
      <w:bookmarkEnd w:id="5"/>
    </w:p>
    <w:p w14:paraId="14AD084C">
      <w:pPr>
        <w:spacing w:before="156" w:beforeLines="50" w:after="156" w:afterLines="50" w:line="360" w:lineRule="auto"/>
        <w:rPr>
          <w:rFonts w:ascii="宋体" w:hAnsi="宋体" w:cs="宋体"/>
          <w:b/>
          <w:bCs/>
          <w:sz w:val="24"/>
          <w:szCs w:val="24"/>
          <w:highlight w:val="none"/>
        </w:rPr>
      </w:pPr>
      <w:bookmarkStart w:id="6" w:name="_Toc421778365"/>
      <w:bookmarkStart w:id="7" w:name="_Toc425240464"/>
      <w:bookmarkStart w:id="8" w:name="_Toc420591643"/>
      <w:r>
        <w:rPr>
          <w:rFonts w:hint="eastAsia" w:ascii="宋体" w:hAnsi="宋体" w:cs="宋体"/>
          <w:b/>
          <w:bCs/>
          <w:sz w:val="24"/>
          <w:szCs w:val="24"/>
          <w:highlight w:val="none"/>
        </w:rPr>
        <w:t>1．总则</w:t>
      </w:r>
      <w:bookmarkEnd w:id="6"/>
      <w:bookmarkEnd w:id="7"/>
      <w:bookmarkEnd w:id="8"/>
    </w:p>
    <w:p w14:paraId="6062DB45">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 项目概况</w:t>
      </w:r>
    </w:p>
    <w:p w14:paraId="6FD5CF3C">
      <w:pPr>
        <w:pStyle w:val="7"/>
        <w:spacing w:line="360" w:lineRule="auto"/>
        <w:ind w:left="420" w:leftChars="200"/>
        <w:rPr>
          <w:rFonts w:ascii="宋体" w:hAnsi="宋体" w:cs="宋体"/>
          <w:sz w:val="24"/>
          <w:szCs w:val="24"/>
          <w:highlight w:val="none"/>
        </w:rPr>
      </w:pPr>
      <w:r>
        <w:rPr>
          <w:rFonts w:hint="eastAsia" w:ascii="宋体" w:hAnsi="宋体" w:cs="宋体"/>
          <w:sz w:val="24"/>
          <w:szCs w:val="24"/>
          <w:highlight w:val="none"/>
        </w:rPr>
        <w:t>1.1.1 根据《中华人民共和国政府采购法》、《中华人民共和国招标投标法》等有关法律、法规和规章的规定，本谈判项目已具备招标条件，现对本谈判项目设计进行招标。</w:t>
      </w:r>
    </w:p>
    <w:p w14:paraId="501DA53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1.1.2 项目招标人：</w:t>
      </w:r>
      <w:r>
        <w:rPr>
          <w:rFonts w:hint="eastAsia" w:ascii="宋体" w:hAnsi="宋体" w:cs="宋体"/>
          <w:sz w:val="24"/>
          <w:szCs w:val="24"/>
          <w:highlight w:val="none"/>
          <w:lang w:eastAsia="zh-CN"/>
        </w:rPr>
        <w:t>杨凌示范区现代农业和乡村振兴局</w:t>
      </w:r>
      <w:r>
        <w:rPr>
          <w:rFonts w:hint="eastAsia" w:ascii="宋体" w:hAnsi="宋体" w:cs="宋体"/>
          <w:sz w:val="24"/>
          <w:szCs w:val="24"/>
          <w:highlight w:val="none"/>
        </w:rPr>
        <w:t>。</w:t>
      </w:r>
    </w:p>
    <w:p w14:paraId="6AAEF12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 项目招标代理机构：陕西至诚项目管理集团有限公司。</w:t>
      </w:r>
    </w:p>
    <w:p w14:paraId="2CC21E8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1.1.4 项目名称：见供应商须知前附表。</w:t>
      </w:r>
    </w:p>
    <w:p w14:paraId="07A44F97">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1.2 资金来源和落实情况</w:t>
      </w:r>
    </w:p>
    <w:p w14:paraId="65DB9E6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1.2.1 本项目的资金来源：见供应商须知前附表。</w:t>
      </w:r>
    </w:p>
    <w:p w14:paraId="2837582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1.2.2 本项目的资金落实情况：见供应商须知前附表。</w:t>
      </w:r>
    </w:p>
    <w:p w14:paraId="3A4679CF">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1.3 谈判范围、服务期</w:t>
      </w:r>
    </w:p>
    <w:p w14:paraId="6E7187B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1.3.1 本项目谈判范围：见供应商须知前附表。</w:t>
      </w:r>
    </w:p>
    <w:p w14:paraId="30E78E1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1.3.2 本项目的</w:t>
      </w:r>
      <w:r>
        <w:rPr>
          <w:rFonts w:hint="eastAsia" w:ascii="宋体" w:hAnsi="宋体" w:cs="宋体"/>
          <w:b/>
          <w:bCs/>
          <w:sz w:val="24"/>
          <w:szCs w:val="24"/>
          <w:highlight w:val="none"/>
        </w:rPr>
        <w:t>服务期</w:t>
      </w:r>
      <w:r>
        <w:rPr>
          <w:rFonts w:hint="eastAsia" w:ascii="宋体" w:hAnsi="宋体" w:cs="宋体"/>
          <w:sz w:val="24"/>
          <w:szCs w:val="24"/>
          <w:highlight w:val="none"/>
        </w:rPr>
        <w:t>：</w:t>
      </w:r>
      <w:bookmarkStart w:id="9" w:name="OLE_LINK8"/>
      <w:r>
        <w:rPr>
          <w:rFonts w:hint="eastAsia" w:ascii="宋体" w:hAnsi="宋体" w:cs="宋体"/>
          <w:sz w:val="24"/>
          <w:szCs w:val="24"/>
          <w:highlight w:val="none"/>
        </w:rPr>
        <w:t>见供应商须知前附表。</w:t>
      </w:r>
      <w:bookmarkEnd w:id="9"/>
    </w:p>
    <w:p w14:paraId="5F0C17E9">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1.4 供应商资格要求及招标文件发售时间</w:t>
      </w:r>
    </w:p>
    <w:p w14:paraId="4C7A1006">
      <w:pPr>
        <w:pStyle w:val="7"/>
        <w:spacing w:line="360" w:lineRule="auto"/>
        <w:rPr>
          <w:rFonts w:ascii="宋体" w:hAnsi="宋体" w:cs="宋体"/>
          <w:sz w:val="24"/>
          <w:szCs w:val="24"/>
          <w:highlight w:val="none"/>
        </w:rPr>
      </w:pPr>
      <w:r>
        <w:rPr>
          <w:rFonts w:hint="eastAsia" w:ascii="宋体" w:hAnsi="宋体" w:cs="宋体"/>
          <w:sz w:val="24"/>
          <w:szCs w:val="24"/>
          <w:highlight w:val="none"/>
        </w:rPr>
        <w:t xml:space="preserve">    1.4.1资格审查条件：见供应商须知前附表。</w:t>
      </w:r>
    </w:p>
    <w:p w14:paraId="0C12759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1.4.2谈判文件发售时间：见供应商须知前附表。</w:t>
      </w:r>
    </w:p>
    <w:p w14:paraId="43F3619A">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1.5 费用承担</w:t>
      </w:r>
    </w:p>
    <w:p w14:paraId="6AC5FA8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供应商准备和参加投标活动发生的费用自理。</w:t>
      </w:r>
    </w:p>
    <w:p w14:paraId="02D78316">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1.6 保密</w:t>
      </w:r>
    </w:p>
    <w:p w14:paraId="49B6D09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参与谈判活动的各方应对谈判文件和谈判响应文件中的商业和技术等秘密保密，违者应对由此造成的后果承担法律责任。</w:t>
      </w:r>
    </w:p>
    <w:p w14:paraId="645FDA81">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1.7 语言文字</w:t>
      </w:r>
    </w:p>
    <w:p w14:paraId="74BB3DF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除专用术语外，与谈判有关的语言均使用中文。必要时专用术语应附有中文注释。</w:t>
      </w:r>
    </w:p>
    <w:p w14:paraId="3F019FA7">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1.8 计量单位</w:t>
      </w:r>
    </w:p>
    <w:p w14:paraId="3992999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05E9EC5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1.9 谈判答疑会</w:t>
      </w:r>
    </w:p>
    <w:p w14:paraId="4354595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不召开；若有疑问，均应在谈判响应文件递交截止时间前3日内以书面形式向采购代理机构提出。</w:t>
      </w:r>
    </w:p>
    <w:p w14:paraId="53ED3D99">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1.10 分包</w:t>
      </w:r>
    </w:p>
    <w:p w14:paraId="7B54D09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不允许。</w:t>
      </w:r>
    </w:p>
    <w:p w14:paraId="494DFE81">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1.11 偏离</w:t>
      </w:r>
    </w:p>
    <w:p w14:paraId="29CC2285">
      <w:pPr>
        <w:spacing w:before="156" w:beforeLines="50" w:after="156" w:afterLines="50" w:line="360" w:lineRule="auto"/>
        <w:ind w:firstLine="480" w:firstLineChars="200"/>
        <w:rPr>
          <w:rFonts w:ascii="宋体" w:hAnsi="宋体" w:cs="宋体"/>
          <w:sz w:val="24"/>
          <w:szCs w:val="24"/>
          <w:highlight w:val="none"/>
        </w:rPr>
      </w:pPr>
      <w:bookmarkStart w:id="10" w:name="_Toc425240465"/>
      <w:bookmarkStart w:id="11" w:name="_Toc421778366"/>
      <w:bookmarkStart w:id="12" w:name="_Toc420591644"/>
      <w:r>
        <w:rPr>
          <w:rFonts w:hint="eastAsia" w:ascii="宋体" w:hAnsi="宋体" w:cs="宋体"/>
          <w:sz w:val="24"/>
          <w:szCs w:val="24"/>
          <w:highlight w:val="none"/>
        </w:rPr>
        <w:t>不满足评标办法中初步评审标准的，视为发生重大偏离，其谈判被否决。其余偏离视为细微偏离，谈判小组将通过澄清方式要求供应商对细微偏离进行澄清或修改。</w:t>
      </w:r>
    </w:p>
    <w:p w14:paraId="48FAE0F5">
      <w:pPr>
        <w:spacing w:before="156" w:beforeLines="50" w:after="156" w:afterLines="50" w:line="360" w:lineRule="auto"/>
        <w:rPr>
          <w:rFonts w:ascii="宋体" w:hAnsi="宋体" w:cs="宋体"/>
          <w:b/>
          <w:bCs/>
          <w:sz w:val="24"/>
          <w:szCs w:val="24"/>
          <w:highlight w:val="none"/>
        </w:rPr>
      </w:pPr>
      <w:r>
        <w:rPr>
          <w:rFonts w:hint="eastAsia" w:ascii="宋体" w:hAnsi="宋体" w:cs="宋体"/>
          <w:b/>
          <w:bCs/>
          <w:sz w:val="24"/>
          <w:szCs w:val="24"/>
          <w:highlight w:val="none"/>
        </w:rPr>
        <w:t>2．谈判文件</w:t>
      </w:r>
      <w:bookmarkEnd w:id="10"/>
      <w:bookmarkEnd w:id="11"/>
      <w:bookmarkEnd w:id="12"/>
    </w:p>
    <w:p w14:paraId="367A5326">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2.1 谈判文件的组成</w:t>
      </w:r>
    </w:p>
    <w:p w14:paraId="3D00BCB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本谈判文件包括：</w:t>
      </w:r>
    </w:p>
    <w:p w14:paraId="07D4D57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(1）竞争性谈判公告；</w:t>
      </w:r>
    </w:p>
    <w:p w14:paraId="61ADB0E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(2）供应商须知前附表及供应商须知；</w:t>
      </w:r>
    </w:p>
    <w:p w14:paraId="0156FE7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(3）项目概况及技术要求；</w:t>
      </w:r>
    </w:p>
    <w:p w14:paraId="7B753F7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(4）合同条款及格式；</w:t>
      </w:r>
    </w:p>
    <w:p w14:paraId="74FDB95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(5）谈判响应文件格式。</w:t>
      </w:r>
    </w:p>
    <w:p w14:paraId="0A7CFD0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根据本章第第2.2 款对谈判文件所作的澄清、修改，构成谈判文件的组成部分。</w:t>
      </w:r>
    </w:p>
    <w:p w14:paraId="66E4D99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2.2 谈判文件的澄清及修改</w:t>
      </w:r>
    </w:p>
    <w:p w14:paraId="58BF09A8">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2.2.1采购代理机构可对已发出的谈判文件进行必要的澄清或者修改，澄清或者修改的 内容作为谈判文件的组成部分。澄清和修改的内容可能影响响应文件编制的，采购代理机构应当在提交首次响应文件截止时间至少三个工作日前，以书面形式通知所有获取谈判文件的供应商，并对供应商具有约束力。供应商在收到上述通知后，应当立即以书面形式向采购代理机构确认；不足三个工作日的，采购代理机构应当顺延提交首次响应文件截止时间。</w:t>
      </w:r>
      <w:r>
        <w:rPr>
          <w:rFonts w:hint="eastAsia" w:ascii="宋体" w:hAnsi="宋体" w:cs="宋体"/>
          <w:sz w:val="24"/>
          <w:szCs w:val="24"/>
          <w:highlight w:val="none"/>
        </w:rPr>
        <w:t>采购代理机构可以视采购具体情况，延长投标截止时间和开标时间并在财政部门指定的媒体上发布变更公告，同时将变更时间书面通知所有谈判文件收受人。</w:t>
      </w:r>
    </w:p>
    <w:p w14:paraId="29C4825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w:t>
      </w:r>
      <w:r>
        <w:rPr>
          <w:rFonts w:ascii="宋体" w:hAnsi="宋体" w:cs="宋体"/>
          <w:sz w:val="24"/>
          <w:szCs w:val="24"/>
          <w:highlight w:val="none"/>
        </w:rPr>
        <w:t>2.2</w:t>
      </w:r>
      <w:r>
        <w:rPr>
          <w:rFonts w:hint="eastAsia" w:ascii="宋体" w:hAnsi="宋体" w:cs="宋体"/>
          <w:sz w:val="24"/>
          <w:szCs w:val="24"/>
          <w:highlight w:val="none"/>
        </w:rPr>
        <w:t>供应商</w:t>
      </w:r>
      <w:r>
        <w:rPr>
          <w:rFonts w:ascii="宋体" w:hAnsi="宋体" w:cs="宋体"/>
          <w:sz w:val="24"/>
          <w:szCs w:val="24"/>
          <w:highlight w:val="none"/>
        </w:rPr>
        <w:t>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w:t>
      </w:r>
      <w:r>
        <w:rPr>
          <w:rFonts w:hint="eastAsia" w:ascii="宋体" w:hAnsi="宋体" w:cs="宋体"/>
          <w:sz w:val="24"/>
          <w:szCs w:val="24"/>
          <w:highlight w:val="none"/>
        </w:rPr>
        <w:t>采购代理机构将按质疑程序在法定时间内作出答复，若对竞争性谈判文件做出实质性变动，则按照相关规定延长谈判报价截止时间。</w:t>
      </w:r>
    </w:p>
    <w:p w14:paraId="0453322B">
      <w:pPr>
        <w:spacing w:line="360" w:lineRule="auto"/>
        <w:ind w:firstLine="480" w:firstLineChars="200"/>
        <w:rPr>
          <w:rFonts w:ascii="宋体" w:hAnsi="宋体" w:cs="宋体"/>
          <w:b/>
          <w:bCs/>
          <w:sz w:val="24"/>
          <w:szCs w:val="24"/>
          <w:highlight w:val="none"/>
        </w:rPr>
      </w:pPr>
      <w:r>
        <w:rPr>
          <w:rFonts w:ascii="宋体" w:hAnsi="宋体" w:cs="宋体"/>
          <w:sz w:val="24"/>
          <w:szCs w:val="24"/>
          <w:highlight w:val="none"/>
        </w:rPr>
        <w:t>2.2.</w:t>
      </w:r>
      <w:r>
        <w:rPr>
          <w:rFonts w:hint="eastAsia" w:ascii="宋体" w:hAnsi="宋体" w:cs="宋体"/>
          <w:sz w:val="24"/>
          <w:szCs w:val="24"/>
          <w:highlight w:val="none"/>
        </w:rPr>
        <w:t>3竞争性谈判文件、澄清（答疑）纪要、修改补充通知内容均以书面明确的内容为准。当竞争性谈判文件、修改补充通知、澄清（答疑）纪要内容相互矛盾时，以最后发出的通知（或纪要）或修改文件为准。采购代理机构视情况必要时将书面答复传送给所有谈判文件收受人。</w:t>
      </w:r>
    </w:p>
    <w:p w14:paraId="3CACA100">
      <w:pPr>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2.2.4供应商在收到上述通知后，应立即向采购代理机构回函确认。</w:t>
      </w:r>
    </w:p>
    <w:p w14:paraId="0B35A35B">
      <w:pPr>
        <w:spacing w:before="156" w:beforeLines="50" w:after="156" w:afterLines="50" w:line="360" w:lineRule="auto"/>
        <w:rPr>
          <w:rFonts w:ascii="宋体" w:hAnsi="宋体" w:cs="宋体"/>
          <w:b/>
          <w:bCs/>
          <w:sz w:val="24"/>
          <w:szCs w:val="24"/>
          <w:highlight w:val="none"/>
        </w:rPr>
      </w:pPr>
      <w:bookmarkStart w:id="13" w:name="_Toc425240466"/>
      <w:bookmarkStart w:id="14" w:name="_Toc421778367"/>
      <w:bookmarkStart w:id="15" w:name="_Toc420591645"/>
      <w:r>
        <w:rPr>
          <w:rFonts w:hint="eastAsia" w:ascii="宋体" w:hAnsi="宋体" w:cs="宋体"/>
          <w:b/>
          <w:bCs/>
          <w:sz w:val="24"/>
          <w:szCs w:val="24"/>
          <w:highlight w:val="none"/>
        </w:rPr>
        <w:t>3．谈判响应文件</w:t>
      </w:r>
      <w:bookmarkEnd w:id="13"/>
      <w:bookmarkEnd w:id="14"/>
      <w:bookmarkEnd w:id="15"/>
    </w:p>
    <w:p w14:paraId="04A08A5C">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.1电子响应文件</w:t>
      </w:r>
    </w:p>
    <w:p w14:paraId="6FE1E74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编制电子响应文件时，应使用最新发布的电子谈判文件及专用制作工具进行编制。并使用 CA（数字认证证书）对电子响应文件进行签署、加密、递交及开标时解密等相关操作。</w:t>
      </w:r>
    </w:p>
    <w:p w14:paraId="1AEC5C1F">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1.1电子谈判文件获取方式：供应商登录〘全国公共资源交易平台（陕西省.杨凌示范区）〙网站〖首页“电子交易平台”企业端〗后，在〖谈判公告/出让公告〗模块中选择有意向的项目点击“我要投标”，成功后即可在〖我的项目〗中点击“项目流程“交易文件下载”免费下载电子谈判文件（*.SXSZF）。</w:t>
      </w:r>
    </w:p>
    <w:p w14:paraId="18BD977E">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注意：供应商应随时留意可能发布的变更公告，公告中如注明本项目有变更文件，则应从“项目流程“答疑文件下载”下载更新后的电子谈判文件（*.SXSCF），使用旧版电子谈判文件制作的电子响应文件（*.SXSTF），系统将拒绝接收。</w:t>
      </w:r>
    </w:p>
    <w:p w14:paraId="3CA547FC">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1.2电子谈判文件需要使用专用软件打开、浏览。软件下载地址及操作手册详见全国公共资源交易平台（陕西省·杨凌示范区）网站〖首页·“服务指南”下载专区〗中的《政府采购项目响应文件制作软件及操作手册》。</w:t>
      </w:r>
    </w:p>
    <w:p w14:paraId="517D5DFD">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.1.3电子响应文件中需要法定代表人签字或盖章的地方，请使用“法人CA”进行签章；需要加盖供应商公章的地方，请使用“企业 CA”进行盖章。加密和解密应当使用同一 CA，否则将会导致解密失败。</w:t>
      </w:r>
    </w:p>
    <w:p w14:paraId="2E2C03B9">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.1.4电子响应文件同样需要使用上述专用软件进行编制。若电子响应文件签章后，导出的 PDF 文件里看不到签章，请尝试使用查看响应文件工具打开未加密的电子响应文件重新导出。在编制过程中，如有其他技术性问题，请先翻阅操作手册，或致电软件开发商：技术支持热线400-998-0000。</w:t>
      </w:r>
    </w:p>
    <w:p w14:paraId="747BE625">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.2谈判响应文件的编制</w:t>
      </w:r>
    </w:p>
    <w:p w14:paraId="4353005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.2.1谈判响应文件使用的语言和计量标准</w:t>
      </w:r>
    </w:p>
    <w:p w14:paraId="6B9C5C3F">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a．谈判响应文件的所有文件、资料、函电文字均须使用中文（通用缩写、代号、名称除外）；</w:t>
      </w:r>
    </w:p>
    <w:p w14:paraId="41D3D5F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b．谈判响应文件使用的计量单位须使用公制单位（另有规定的除外）。</w:t>
      </w:r>
    </w:p>
    <w:p w14:paraId="4F2AED49">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.2.2谈判响应文件格式见第五章。未按要求格式要求编制谈判响应文件带来的不利后果，谈判供应商自行承担。</w:t>
      </w:r>
    </w:p>
    <w:p w14:paraId="019A4608">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a．谈判内容设置若干包的，谈判供应商须以该包的完整内容为单位，选择一个或若干个包进行响应。</w:t>
      </w:r>
    </w:p>
    <w:p w14:paraId="5D68D64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b．谈判供应商须依据谈判文件的内容要求编制谈判响应文件，明确表达其意愿，对谈判文件作出实质性响应。</w:t>
      </w:r>
    </w:p>
    <w:p w14:paraId="24D5407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c．谈判供应商必须保证其编制、递交的谈判响应文件内容真实、合法、有效，否则承担相应的法律责任。</w:t>
      </w:r>
    </w:p>
    <w:p w14:paraId="3EFCB84C">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.2.3谈判响应文件有效期</w:t>
      </w:r>
    </w:p>
    <w:p w14:paraId="7B672347">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a.谈判响应文件有效期自谈判大会之日起计算不得少于90天，否则将被视为无效文件。</w:t>
      </w:r>
    </w:p>
    <w:p w14:paraId="5FC10E65">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b.在特殊情况下，在谈判响应文件有效期满之前，采购代理机构可向谈判供应商提出延长谈判响应文件有效期的书面要求。谈判供应商书面同意延长谈判响应文件有效期的，其谈判供应商资格、保证金有效期相应延长。谈判供应商也可书面拒绝延长有效期（在规定时限内无应答的视为拒绝），其谈判供应商资格则自动丧失。</w:t>
      </w:r>
    </w:p>
    <w:p w14:paraId="5EDD987A">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.3谈判响应文件的递交</w:t>
      </w:r>
    </w:p>
    <w:p w14:paraId="07F0ACC3">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.3.1电子响应文件可于提交首次响应文件截止时间前任意时段登录全国公共资源交易平台（陕西省·杨凌示范区）网站“电子交易平台&gt;企业端”进行提交， 逾期系统将拒绝接收。提交时，供应商应登录全国公共资源交易中心平台（陕西省·杨凌示范区），选择“首页&gt;电子交易平台&gt;企业端&gt;我的项目”，点击“项目流程”，在打开的“项目管理”对话框中选择“上传响应文件”，上传加密的电子响应文件（*.SXSTF）。上传成功后，电子化平台将予以记录。</w:t>
      </w:r>
    </w:p>
    <w:p w14:paraId="4A8217D1">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.3.2纸质响应文件，待采购结果公告后，由成交供应商补交一正二副纸质响应文件（备案用）。</w:t>
      </w:r>
    </w:p>
    <w:p w14:paraId="101664A7">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.4响应文件的撤回、补充和修改</w:t>
      </w:r>
    </w:p>
    <w:p w14:paraId="606B59EC">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rPr>
        <w:t>供应商在递交响应文件后，且在提交响应文件截止时间前，可以对所提交的响应文件进行撤回、补充或修改。</w:t>
      </w:r>
    </w:p>
    <w:p w14:paraId="2A4FE16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.4.1供应商在响应文件递交截止时间后不可撤回响应文件。</w:t>
      </w:r>
    </w:p>
    <w:p w14:paraId="02C0C8D2">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.4.2对电子响应文件进行补充、修改的，应先从电子交易平台上撤回旧版，再重新提交新版。</w:t>
      </w:r>
    </w:p>
    <w:p w14:paraId="5A857775">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.5供应商提交响应文件时，出现下列情况之一的，其响应文件将被拒绝接收：</w:t>
      </w:r>
    </w:p>
    <w:p w14:paraId="4EB57CF6">
      <w:pPr>
        <w:spacing w:line="360" w:lineRule="auto"/>
        <w:ind w:firstLine="480" w:firstLineChars="200"/>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.5.1误投的；</w:t>
      </w:r>
    </w:p>
    <w:p w14:paraId="35D22326">
      <w:pPr>
        <w:spacing w:line="360" w:lineRule="auto"/>
        <w:ind w:firstLine="480" w:firstLineChars="200"/>
        <w:rPr>
          <w:rFonts w:ascii="宋体" w:hAnsi="宋体" w:cs="宋体"/>
          <w:sz w:val="24"/>
          <w:szCs w:val="24"/>
          <w:highlight w:val="none"/>
        </w:rPr>
      </w:pP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rPr>
        <w:t>.5.2逾期提交电子响应文件的。</w:t>
      </w:r>
    </w:p>
    <w:p w14:paraId="6EE1E911">
      <w:pPr>
        <w:spacing w:before="156" w:beforeLines="50" w:after="156" w:afterLines="50" w:line="360" w:lineRule="auto"/>
        <w:rPr>
          <w:rFonts w:ascii="宋体" w:hAnsi="宋体" w:cs="宋体"/>
          <w:b/>
          <w:bCs/>
          <w:sz w:val="24"/>
          <w:szCs w:val="24"/>
          <w:highlight w:val="none"/>
        </w:rPr>
      </w:pPr>
      <w:bookmarkStart w:id="16" w:name="_Toc421778369"/>
      <w:bookmarkStart w:id="17" w:name="_Toc425240468"/>
      <w:bookmarkStart w:id="18" w:name="_Toc420591647"/>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w:t>
      </w:r>
      <w:bookmarkEnd w:id="16"/>
      <w:bookmarkEnd w:id="17"/>
      <w:bookmarkEnd w:id="18"/>
      <w:r>
        <w:rPr>
          <w:rFonts w:hint="eastAsia" w:ascii="宋体" w:hAnsi="宋体" w:cs="宋体"/>
          <w:b/>
          <w:bCs/>
          <w:sz w:val="24"/>
          <w:szCs w:val="24"/>
          <w:highlight w:val="none"/>
        </w:rPr>
        <w:t>迟交的竞争性谈判响应文件</w:t>
      </w:r>
    </w:p>
    <w:p w14:paraId="29950FA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按照供应商须知的规定，采购代理机构将拒绝接受在规定的谈判截止时间后递交的任何竞争性谈判响应文件。</w:t>
      </w:r>
    </w:p>
    <w:p w14:paraId="733A3BA4">
      <w:pPr>
        <w:spacing w:before="156" w:beforeLines="50" w:after="156" w:afterLines="50" w:line="360" w:lineRule="auto"/>
        <w:rPr>
          <w:rFonts w:ascii="宋体" w:hAnsi="宋体" w:cs="宋体"/>
          <w:b/>
          <w:sz w:val="24"/>
          <w:szCs w:val="24"/>
          <w:highlight w:val="none"/>
        </w:rPr>
      </w:pPr>
      <w:bookmarkStart w:id="19" w:name="_Toc363474021"/>
      <w:bookmarkStart w:id="20" w:name="_Toc403077643"/>
      <w:bookmarkStart w:id="21" w:name="_Toc363473976"/>
      <w:bookmarkStart w:id="22" w:name="_Toc420591648"/>
      <w:bookmarkStart w:id="23" w:name="_Toc425240469"/>
      <w:bookmarkStart w:id="24" w:name="_Toc421778370"/>
      <w:r>
        <w:rPr>
          <w:rFonts w:hint="eastAsia" w:ascii="宋体" w:hAnsi="宋体" w:cs="宋体"/>
          <w:b/>
          <w:sz w:val="24"/>
          <w:szCs w:val="24"/>
          <w:highlight w:val="none"/>
          <w:lang w:val="en-US" w:eastAsia="zh-CN"/>
        </w:rPr>
        <w:t>5</w:t>
      </w:r>
      <w:r>
        <w:rPr>
          <w:rFonts w:hint="eastAsia" w:ascii="宋体" w:hAnsi="宋体" w:cs="宋体"/>
          <w:b/>
          <w:sz w:val="24"/>
          <w:szCs w:val="24"/>
          <w:highlight w:val="none"/>
        </w:rPr>
        <w:t>、谈判与评标</w:t>
      </w:r>
      <w:bookmarkEnd w:id="19"/>
      <w:bookmarkEnd w:id="20"/>
      <w:bookmarkEnd w:id="21"/>
    </w:p>
    <w:p w14:paraId="4520CFE3">
      <w:pPr>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5</w:t>
      </w:r>
      <w:r>
        <w:rPr>
          <w:rFonts w:hint="eastAsia" w:ascii="宋体" w:hAnsi="宋体" w:cs="宋体"/>
          <w:b/>
          <w:sz w:val="24"/>
          <w:szCs w:val="24"/>
          <w:highlight w:val="none"/>
        </w:rPr>
        <w:t>.1.谈判</w:t>
      </w:r>
    </w:p>
    <w:p w14:paraId="2D67623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.1.1 采购代理机构在规定的时间和地点组织竞争性谈判。谈判时所有供应商代表自愿参加，参加谈判的代表应签名报到以证明其出席。</w:t>
      </w:r>
    </w:p>
    <w:p w14:paraId="431A8C3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.1.1.2采购代理机构将做谈判记录，存档备查。</w:t>
      </w:r>
    </w:p>
    <w:p w14:paraId="65DC158B">
      <w:pPr>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5</w:t>
      </w:r>
      <w:r>
        <w:rPr>
          <w:rFonts w:hint="eastAsia" w:ascii="宋体" w:hAnsi="宋体" w:cs="宋体"/>
          <w:b/>
          <w:sz w:val="24"/>
          <w:szCs w:val="24"/>
          <w:highlight w:val="none"/>
        </w:rPr>
        <w:t>.2．评审组织及评审原则</w:t>
      </w:r>
    </w:p>
    <w:p w14:paraId="09C8791C">
      <w:pPr>
        <w:spacing w:line="360" w:lineRule="auto"/>
        <w:ind w:firstLine="720" w:firstLineChars="3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2.1按照《中华人民共和国政府采购法》、中华人民共和国财政部2017年第87号部长令--《政府采购货物和服务招标投标管理办法》的规定和关于印发《政府采购非招标采购方式管理办法》中华人民共和国财政部令第74号等，依法组建谈判小组。谈判小组由采购人代表和有关技术、经济等方面的专家组成，谈判小组按照竞争性谈判文件规定的评审方法独立进行评审工作。</w:t>
      </w:r>
    </w:p>
    <w:p w14:paraId="7255BD8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.2.2竞争性谈判文件和竞争性谈判响应文件是评审的依据。在评审中，不得改变竞争性谈判文件中规定的评审标准、方法和成交条件。</w:t>
      </w:r>
    </w:p>
    <w:p w14:paraId="055AF26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2.3在评审期间，对竞争性谈判响应文件中含义不明确、同类问题表述不一致或者有明显文字和计算错误的内容，谈判小组可以（由谈判小组专家签字）要求供应商作出必要的澄清、说明或者纠正，并不得超出竞争性谈判响应文件的范围或者改变竞争性谈判响应文件的实质性内容。</w:t>
      </w:r>
    </w:p>
    <w:p w14:paraId="01CD89B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.2.4如果供应商在澄清规定期限内，未能答复或拒绝答复谈判小组提出的澄清要求，将由谈判小组根据其竞争性谈判响应文件按最大风险进行评审。</w:t>
      </w:r>
    </w:p>
    <w:p w14:paraId="5A2CB53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.2.5谈判过程中的实质性变动：</w:t>
      </w:r>
    </w:p>
    <w:p w14:paraId="7625A3D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2.5.1在谈判过程中，谈判小组可以根据谈判文件和谈判情况在最终报价之前实质性变动采购需求中的技术、服务要求以及合同草案条款，但不得变动竞争性谈判文件中的其他内容。实质性变动的内容，须经采购人代表确认。</w:t>
      </w:r>
    </w:p>
    <w:p w14:paraId="611AC5D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.2.5.2对竞争性谈判文件做出的实质性变动是谈判文件的有效组成部分，谈判小组应当及时以书面形式通知所有参加谈判的供应商。</w:t>
      </w:r>
    </w:p>
    <w:p w14:paraId="1A2D9A8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.2.6竞争性谈判响应文件的初审（含资格性检查和符合性检查）</w:t>
      </w:r>
    </w:p>
    <w:p w14:paraId="01BECD2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.2.6.1初审将审查竞争性谈判响应文件是否完整、资格证明是否齐全等。</w:t>
      </w:r>
    </w:p>
    <w:p w14:paraId="3D81E29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2.6.2计算错误将按以下方法更正：若单价计算的结果与总价不一致，以单价为准修改总价；若用文字表示的数值与用数字表示的数值不一致，以文字表示的数值为准。如果“报价一览表”中的总价与谈判的其他文件中的总价不一致，以“报价一览表”中的总价为准。如果供应商不接受对其错误的更正，其谈判将被拒绝。</w:t>
      </w:r>
    </w:p>
    <w:p w14:paraId="7C12B73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.2.6.3对于竞争性谈判响应文件中明显的标点符号错误或不构成实质性偏差的不正规、不一致或不规则，采购方可以接受。</w:t>
      </w:r>
    </w:p>
    <w:p w14:paraId="6CC08FA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.2.6.4在详细评审之前，根据本须知第</w:t>
      </w:r>
      <w:r>
        <w:rPr>
          <w:rFonts w:hint="eastAsia" w:ascii="宋体" w:hAnsi="宋体" w:cs="宋体"/>
          <w:sz w:val="24"/>
          <w:szCs w:val="24"/>
          <w:highlight w:val="none"/>
          <w:lang w:val="en-US" w:eastAsia="zh-CN"/>
        </w:rPr>
        <w:t>5</w:t>
      </w:r>
      <w:r>
        <w:rPr>
          <w:rFonts w:hint="eastAsia" w:ascii="宋体" w:hAnsi="宋体" w:cs="宋体"/>
          <w:sz w:val="24"/>
          <w:szCs w:val="24"/>
          <w:highlight w:val="none"/>
        </w:rPr>
        <w:t>.2.6.5条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499778B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2.6.5实质上没有响应竞争性谈判文件要求的谈判将被拒绝。供应商不得通过修正或撤销不符合要求的偏离从而使其谈判成为实质性响应的谈判。如发现下列情况之一的，其谈判将构成非实质性响应，按无效谈判处理：</w:t>
      </w:r>
    </w:p>
    <w:p w14:paraId="4B4131E2">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1）没有按照竞争性谈判文件要求提供的竞争性谈判响应文件或竞争性谈判响应文件构成有重大缺项；</w:t>
      </w:r>
    </w:p>
    <w:p w14:paraId="40C1C438">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2）竞争性谈判响应文件未按竞争性谈判文件要求签署、盖章的；</w:t>
      </w:r>
    </w:p>
    <w:p w14:paraId="59738EB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3）资格证明不全的或无效的，或不符合国家规定的；</w:t>
      </w:r>
    </w:p>
    <w:p w14:paraId="6FFC91FC">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4）竞争性谈判响应文件无供应商公章、无法定代表人签字（盖章）或签字（盖章）人无法定代表人有效委托书的；</w:t>
      </w:r>
    </w:p>
    <w:p w14:paraId="76098A73">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5）</w:t>
      </w:r>
      <w:r>
        <w:rPr>
          <w:rFonts w:hint="eastAsia" w:ascii="宋体" w:hAnsi="宋体" w:cs="宋体"/>
          <w:b/>
          <w:bCs/>
          <w:spacing w:val="-6"/>
          <w:sz w:val="24"/>
          <w:szCs w:val="24"/>
          <w:highlight w:val="none"/>
        </w:rPr>
        <w:t>无谈判有效期或有效期达不到竞争性谈判文件要求的</w:t>
      </w:r>
      <w:r>
        <w:rPr>
          <w:rFonts w:hint="eastAsia" w:ascii="宋体" w:hAnsi="宋体" w:cs="宋体"/>
          <w:b/>
          <w:bCs/>
          <w:sz w:val="24"/>
          <w:szCs w:val="24"/>
          <w:highlight w:val="none"/>
        </w:rPr>
        <w:t>；</w:t>
      </w:r>
    </w:p>
    <w:p w14:paraId="29E4CFC2">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6）供应商在同一份竞争性谈判响应文件中，有两个或多个报价的；</w:t>
      </w:r>
    </w:p>
    <w:p w14:paraId="1E7BD66C">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7）存在有重大缺漏项和重大偏离的；</w:t>
      </w:r>
    </w:p>
    <w:p w14:paraId="65520BA8">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8）供应商有串通谈判、以他人名义谈判、行贿、提供虚假证明（包括第三方提供的虚假证明），开具虚假资质，出现虚假应答的，除按无效文件处理外，还将按照政府采购的有关规定进行处罚；</w:t>
      </w:r>
    </w:p>
    <w:p w14:paraId="3C762484">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9）谈判总报价高于竞争性谈判文件公布的采购预算或最高限价的。</w:t>
      </w:r>
    </w:p>
    <w:p w14:paraId="39C999FA">
      <w:pPr>
        <w:tabs>
          <w:tab w:val="left" w:pos="1260"/>
        </w:tabs>
        <w:spacing w:line="360" w:lineRule="auto"/>
        <w:ind w:firstLine="498" w:firstLineChars="200"/>
        <w:rPr>
          <w:rFonts w:ascii="宋体" w:hAnsi="宋体" w:cs="宋体"/>
          <w:b/>
          <w:spacing w:val="4"/>
          <w:sz w:val="24"/>
          <w:szCs w:val="24"/>
          <w:highlight w:val="none"/>
        </w:rPr>
      </w:pPr>
      <w:r>
        <w:rPr>
          <w:rFonts w:hint="eastAsia" w:ascii="宋体" w:hAnsi="宋体" w:cs="宋体"/>
          <w:b/>
          <w:spacing w:val="4"/>
          <w:sz w:val="24"/>
          <w:szCs w:val="24"/>
          <w:highlight w:val="none"/>
        </w:rPr>
        <w:t>10）供应商有下列情形之一的，视为投标人串通投标，其投标无效：</w:t>
      </w:r>
    </w:p>
    <w:p w14:paraId="6273461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（一）不同投标人的投标文件由同一单位或者个人编制；</w:t>
      </w:r>
    </w:p>
    <w:p w14:paraId="1C5671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（二）不同投标人委托同一单位或者个人办理投标事宜；</w:t>
      </w:r>
    </w:p>
    <w:p w14:paraId="6D61703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（三）不同投标人的投标文件载明的项目管理成员或者联系人员为同一人；</w:t>
      </w:r>
    </w:p>
    <w:p w14:paraId="6245E79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（四）不同投标人的投标文件异常一致或者投标报价呈规律性差异；</w:t>
      </w:r>
    </w:p>
    <w:p w14:paraId="5F98977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（五）不同投标人的投标文件相互混装；</w:t>
      </w:r>
    </w:p>
    <w:p w14:paraId="22E02E6E">
      <w:pPr>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5</w:t>
      </w:r>
      <w:r>
        <w:rPr>
          <w:rFonts w:hint="eastAsia" w:ascii="宋体" w:hAnsi="宋体" w:cs="宋体"/>
          <w:b/>
          <w:sz w:val="24"/>
          <w:szCs w:val="24"/>
          <w:highlight w:val="none"/>
        </w:rPr>
        <w:t>.3．评审过程的保密</w:t>
      </w:r>
    </w:p>
    <w:p w14:paraId="1941AEA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谈判小组成员和与评审活动有关的工作人员不得泄露有关竞争性谈判响应文件的评审和比较、成交候选人的推荐以及与评审有关的其他情况。</w:t>
      </w:r>
    </w:p>
    <w:p w14:paraId="5165218A">
      <w:pPr>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5</w:t>
      </w:r>
      <w:r>
        <w:rPr>
          <w:rFonts w:hint="eastAsia" w:ascii="宋体" w:hAnsi="宋体" w:cs="宋体"/>
          <w:b/>
          <w:sz w:val="24"/>
          <w:szCs w:val="24"/>
          <w:highlight w:val="none"/>
        </w:rPr>
        <w:t>.4．评审方法</w:t>
      </w:r>
    </w:p>
    <w:p w14:paraId="77FAB1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中华人民共和国政府采购法》、《中华人民共和国政府采购法实施条例》、中华人民共和国财政部2017年第87号部长令--《政府采购货物和服务招标投标管理办法》的规定和中华人民共和国财政部令第74号--《政府采购非招标采购方式管理办法》的规定，依法组建谈判小组。本次评审采用最低评标价法，谈判小组由采购人代表和有关技术、经济等方面的专家组成，谈判小组按照竞争性谈判文件规定的评审方法独立进行评审工作。根据排名先后确定成交候选供应商。</w:t>
      </w:r>
    </w:p>
    <w:p w14:paraId="2BAF25E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最低评标价法，即在全部满足竞争性谈判文件实质性要求前提下，依据统一的价格要素评定最低报价，以提出最低报价的谈判供应商作为成交候选供应商并依次排序。</w:t>
      </w:r>
    </w:p>
    <w:p w14:paraId="021A3F07">
      <w:pPr>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5</w:t>
      </w:r>
      <w:r>
        <w:rPr>
          <w:rFonts w:hint="eastAsia" w:ascii="宋体" w:hAnsi="宋体" w:cs="宋体"/>
          <w:b/>
          <w:sz w:val="24"/>
          <w:szCs w:val="24"/>
          <w:highlight w:val="none"/>
        </w:rPr>
        <w:t>.5评审程序</w:t>
      </w:r>
    </w:p>
    <w:p w14:paraId="3671FE8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按照竞争性谈判响应文件初审、澄清有关问题、比较与评价、推荐成交候选供应商名单的工作程序进行评审。在上一步评审中被废标者，不进入下一步的评审。</w:t>
      </w:r>
    </w:p>
    <w:p w14:paraId="19DB5BD1">
      <w:pPr>
        <w:spacing w:line="360" w:lineRule="auto"/>
        <w:ind w:firstLine="496" w:firstLineChars="200"/>
        <w:rPr>
          <w:rFonts w:ascii="宋体" w:hAnsi="宋体" w:cs="宋体"/>
          <w:spacing w:val="4"/>
          <w:sz w:val="24"/>
          <w:szCs w:val="24"/>
          <w:highlight w:val="none"/>
        </w:rPr>
      </w:pPr>
      <w:r>
        <w:rPr>
          <w:rFonts w:hint="eastAsia" w:ascii="宋体" w:hAnsi="宋体" w:cs="宋体"/>
          <w:spacing w:val="4"/>
          <w:sz w:val="24"/>
          <w:szCs w:val="24"/>
          <w:highlight w:val="none"/>
        </w:rPr>
        <w:t>按照以下内容对谈判响应文件初审，一项不合格即为无效谈判</w:t>
      </w:r>
    </w:p>
    <w:p w14:paraId="6B56DB21">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1、谈判响应文件的资格性检查</w:t>
      </w:r>
    </w:p>
    <w:p w14:paraId="6CC7A910">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lang w:val="en-US" w:eastAsia="zh-CN"/>
        </w:rPr>
        <w:t>谈判小组对</w:t>
      </w:r>
      <w:r>
        <w:rPr>
          <w:rFonts w:hint="eastAsia" w:ascii="宋体" w:hAnsi="宋体" w:cs="宋体"/>
          <w:sz w:val="24"/>
          <w:szCs w:val="24"/>
          <w:highlight w:val="none"/>
        </w:rPr>
        <w:t>资格部分进行资格性审查，以确定其是否符合谈判文件要求。</w:t>
      </w:r>
    </w:p>
    <w:p w14:paraId="11AFB734">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2、谈判响应文件的符合性审查：</w:t>
      </w:r>
    </w:p>
    <w:p w14:paraId="3B3E09E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谈判小组对符合资格的供应商的谈判响应文件进行符合性审查，以确定其是否满足谈判响应文件的商务、技术等实质性要求。</w:t>
      </w:r>
    </w:p>
    <w:p w14:paraId="057C4B77">
      <w:pPr>
        <w:pStyle w:val="9"/>
        <w:spacing w:before="156" w:beforeLines="50" w:line="360" w:lineRule="auto"/>
        <w:ind w:firstLine="561"/>
        <w:jc w:val="center"/>
        <w:rPr>
          <w:rFonts w:ascii="宋体" w:hAnsi="宋体" w:cs="宋体"/>
          <w:b/>
          <w:sz w:val="24"/>
          <w:szCs w:val="24"/>
          <w:highlight w:val="none"/>
        </w:rPr>
      </w:pPr>
      <w:r>
        <w:rPr>
          <w:rFonts w:hint="eastAsia" w:ascii="宋体" w:hAnsi="宋体" w:cs="宋体"/>
          <w:b/>
          <w:sz w:val="24"/>
          <w:szCs w:val="24"/>
          <w:highlight w:val="none"/>
        </w:rPr>
        <w:t>符合性审查因素</w:t>
      </w:r>
    </w:p>
    <w:tbl>
      <w:tblPr>
        <w:tblStyle w:val="1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2108"/>
        <w:gridCol w:w="6207"/>
      </w:tblGrid>
      <w:tr w14:paraId="5F70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6" w:hRule="atLeast"/>
        </w:trPr>
        <w:tc>
          <w:tcPr>
            <w:tcW w:w="574" w:type="pct"/>
            <w:vAlign w:val="center"/>
          </w:tcPr>
          <w:p w14:paraId="59AC8646">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122" w:type="pct"/>
            <w:vAlign w:val="center"/>
          </w:tcPr>
          <w:p w14:paraId="793D87C0">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符合性审查类别</w:t>
            </w:r>
          </w:p>
        </w:tc>
        <w:tc>
          <w:tcPr>
            <w:tcW w:w="3303" w:type="pct"/>
            <w:vAlign w:val="center"/>
          </w:tcPr>
          <w:p w14:paraId="578AED4C">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审查内容</w:t>
            </w:r>
          </w:p>
        </w:tc>
      </w:tr>
      <w:tr w14:paraId="3C0A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exact"/>
        </w:trPr>
        <w:tc>
          <w:tcPr>
            <w:tcW w:w="574" w:type="pct"/>
            <w:vAlign w:val="center"/>
          </w:tcPr>
          <w:p w14:paraId="2882000B">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1</w:t>
            </w:r>
          </w:p>
        </w:tc>
        <w:tc>
          <w:tcPr>
            <w:tcW w:w="1122" w:type="pct"/>
            <w:vAlign w:val="center"/>
          </w:tcPr>
          <w:p w14:paraId="5E8A61BE">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谈判响应文件的完整性审查</w:t>
            </w:r>
          </w:p>
        </w:tc>
        <w:tc>
          <w:tcPr>
            <w:tcW w:w="3303" w:type="pct"/>
            <w:vAlign w:val="center"/>
          </w:tcPr>
          <w:p w14:paraId="2179CCDD">
            <w:pPr>
              <w:spacing w:line="360" w:lineRule="exact"/>
              <w:rPr>
                <w:rFonts w:ascii="宋体" w:hAnsi="宋体" w:cs="宋体"/>
                <w:sz w:val="24"/>
                <w:szCs w:val="24"/>
                <w:highlight w:val="none"/>
              </w:rPr>
            </w:pPr>
            <w:r>
              <w:rPr>
                <w:rFonts w:hint="eastAsia" w:ascii="宋体" w:hAnsi="宋体" w:cs="宋体"/>
                <w:sz w:val="24"/>
                <w:szCs w:val="24"/>
                <w:highlight w:val="none"/>
              </w:rPr>
              <w:t>1、谈判响应文件是否按照谈判文件要求的格式编写；</w:t>
            </w:r>
          </w:p>
          <w:p w14:paraId="06A1A15A">
            <w:pPr>
              <w:spacing w:line="360" w:lineRule="exact"/>
              <w:ind w:left="12" w:hanging="12" w:hangingChars="5"/>
              <w:jc w:val="left"/>
              <w:rPr>
                <w:rFonts w:ascii="宋体" w:hAnsi="宋体" w:cs="宋体"/>
                <w:sz w:val="24"/>
                <w:szCs w:val="24"/>
                <w:highlight w:val="none"/>
              </w:rPr>
            </w:pPr>
            <w:r>
              <w:rPr>
                <w:rFonts w:hint="eastAsia" w:ascii="宋体" w:hAnsi="宋体" w:cs="宋体"/>
                <w:sz w:val="24"/>
                <w:szCs w:val="24"/>
                <w:highlight w:val="none"/>
              </w:rPr>
              <w:t>2、谈判响应内容是否有重大缺漏项。</w:t>
            </w:r>
          </w:p>
        </w:tc>
      </w:tr>
      <w:tr w14:paraId="2E9E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exact"/>
        </w:trPr>
        <w:tc>
          <w:tcPr>
            <w:tcW w:w="574" w:type="pct"/>
            <w:vAlign w:val="center"/>
          </w:tcPr>
          <w:p w14:paraId="293C26D9">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2</w:t>
            </w:r>
          </w:p>
        </w:tc>
        <w:tc>
          <w:tcPr>
            <w:tcW w:w="1122" w:type="pct"/>
            <w:vAlign w:val="center"/>
          </w:tcPr>
          <w:p w14:paraId="3F07614C">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谈判响应文件的有效性审查</w:t>
            </w:r>
          </w:p>
        </w:tc>
        <w:tc>
          <w:tcPr>
            <w:tcW w:w="3303" w:type="pct"/>
            <w:vAlign w:val="center"/>
          </w:tcPr>
          <w:p w14:paraId="26A61429">
            <w:pPr>
              <w:spacing w:line="360" w:lineRule="exact"/>
              <w:rPr>
                <w:rFonts w:ascii="宋体" w:hAnsi="宋体" w:cs="宋体"/>
                <w:sz w:val="24"/>
                <w:szCs w:val="24"/>
                <w:highlight w:val="none"/>
              </w:rPr>
            </w:pPr>
            <w:r>
              <w:rPr>
                <w:rFonts w:hint="eastAsia" w:ascii="宋体" w:hAnsi="宋体" w:cs="宋体"/>
                <w:sz w:val="24"/>
                <w:szCs w:val="24"/>
                <w:highlight w:val="none"/>
              </w:rPr>
              <w:t>谈判响应文件的签署、加盖印章是否合格、有效；提供的各种证明文件、数据、资料是否真实、有效。</w:t>
            </w:r>
          </w:p>
        </w:tc>
      </w:tr>
      <w:tr w14:paraId="2269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23" w:hRule="atLeast"/>
        </w:trPr>
        <w:tc>
          <w:tcPr>
            <w:tcW w:w="574" w:type="pct"/>
            <w:vAlign w:val="center"/>
          </w:tcPr>
          <w:p w14:paraId="0F7EC447">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3</w:t>
            </w:r>
          </w:p>
        </w:tc>
        <w:tc>
          <w:tcPr>
            <w:tcW w:w="1122" w:type="pct"/>
            <w:vAlign w:val="center"/>
          </w:tcPr>
          <w:p w14:paraId="37ADC01E">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谈判响应文件的响应性审查</w:t>
            </w:r>
          </w:p>
        </w:tc>
        <w:tc>
          <w:tcPr>
            <w:tcW w:w="3303" w:type="pct"/>
            <w:vAlign w:val="center"/>
          </w:tcPr>
          <w:p w14:paraId="3769EBFF">
            <w:pPr>
              <w:spacing w:line="360" w:lineRule="exact"/>
              <w:rPr>
                <w:rFonts w:ascii="宋体" w:hAnsi="宋体" w:cs="宋体"/>
                <w:sz w:val="24"/>
                <w:szCs w:val="24"/>
                <w:highlight w:val="none"/>
              </w:rPr>
            </w:pPr>
            <w:r>
              <w:rPr>
                <w:rFonts w:hint="eastAsia" w:ascii="宋体" w:hAnsi="宋体" w:cs="宋体"/>
                <w:sz w:val="24"/>
                <w:szCs w:val="24"/>
                <w:highlight w:val="none"/>
              </w:rPr>
              <w:t>1、谈判响应报价是否超过预算；</w:t>
            </w:r>
          </w:p>
          <w:p w14:paraId="612E922A">
            <w:pPr>
              <w:spacing w:line="360" w:lineRule="exact"/>
              <w:rPr>
                <w:rFonts w:ascii="宋体" w:hAnsi="宋体" w:cs="宋体"/>
                <w:sz w:val="24"/>
                <w:szCs w:val="24"/>
                <w:highlight w:val="none"/>
              </w:rPr>
            </w:pPr>
            <w:r>
              <w:rPr>
                <w:rFonts w:hint="eastAsia" w:ascii="宋体" w:hAnsi="宋体" w:cs="宋体"/>
                <w:sz w:val="24"/>
                <w:szCs w:val="24"/>
                <w:highlight w:val="none"/>
              </w:rPr>
              <w:t>2、谈判有效期是否符合谈判文件的要求；</w:t>
            </w:r>
          </w:p>
          <w:p w14:paraId="6B6942F4">
            <w:pPr>
              <w:spacing w:line="360" w:lineRule="exact"/>
              <w:rPr>
                <w:rFonts w:ascii="宋体" w:hAnsi="宋体" w:cs="宋体"/>
                <w:sz w:val="24"/>
                <w:szCs w:val="24"/>
                <w:highlight w:val="none"/>
              </w:rPr>
            </w:pPr>
            <w:r>
              <w:rPr>
                <w:rFonts w:hint="eastAsia" w:ascii="宋体" w:hAnsi="宋体" w:cs="宋体"/>
                <w:sz w:val="24"/>
                <w:szCs w:val="24"/>
                <w:highlight w:val="none"/>
              </w:rPr>
              <w:t>3、服务期是否符合谈判文件的要求；</w:t>
            </w:r>
          </w:p>
          <w:p w14:paraId="255793D9">
            <w:pPr>
              <w:spacing w:line="360" w:lineRule="exact"/>
              <w:rPr>
                <w:rFonts w:ascii="宋体" w:hAnsi="宋体" w:cs="宋体"/>
                <w:sz w:val="24"/>
                <w:szCs w:val="24"/>
                <w:highlight w:val="none"/>
              </w:rPr>
            </w:pPr>
            <w:r>
              <w:rPr>
                <w:rFonts w:hint="eastAsia" w:ascii="宋体" w:hAnsi="宋体" w:cs="宋体"/>
                <w:sz w:val="24"/>
                <w:szCs w:val="24"/>
                <w:highlight w:val="none"/>
              </w:rPr>
              <w:t>4、谈判响应文件是否实质性响应了谈判文件要求的全部条款、条件和要求；</w:t>
            </w:r>
          </w:p>
          <w:p w14:paraId="2B08ADB9">
            <w:pPr>
              <w:spacing w:line="360" w:lineRule="exact"/>
              <w:rPr>
                <w:rFonts w:ascii="宋体" w:hAnsi="宋体" w:cs="宋体"/>
                <w:b/>
                <w:bCs/>
                <w:sz w:val="24"/>
                <w:szCs w:val="24"/>
                <w:highlight w:val="none"/>
              </w:rPr>
            </w:pPr>
            <w:r>
              <w:rPr>
                <w:rFonts w:hint="eastAsia" w:ascii="宋体" w:hAnsi="宋体" w:cs="宋体"/>
                <w:b/>
                <w:bCs/>
                <w:sz w:val="24"/>
                <w:szCs w:val="24"/>
                <w:highlight w:val="none"/>
              </w:rPr>
              <w:t>注：</w:t>
            </w:r>
            <w:r>
              <w:rPr>
                <w:rFonts w:hint="eastAsia" w:ascii="宋体" w:hAnsi="宋体" w:cs="宋体"/>
                <w:b/>
                <w:bCs/>
                <w:sz w:val="24"/>
                <w:szCs w:val="24"/>
                <w:highlight w:val="none"/>
                <w:lang w:val="en-US" w:eastAsia="zh-CN"/>
              </w:rPr>
              <w:t>服务要求</w:t>
            </w:r>
            <w:r>
              <w:rPr>
                <w:rFonts w:hint="eastAsia" w:ascii="宋体" w:hAnsi="宋体" w:cs="宋体"/>
                <w:b/>
                <w:bCs/>
                <w:sz w:val="24"/>
                <w:szCs w:val="24"/>
                <w:highlight w:val="none"/>
              </w:rPr>
              <w:t>不允许负偏离，任意一项负偏离按无效响应处理。</w:t>
            </w:r>
          </w:p>
          <w:p w14:paraId="044FF9F1">
            <w:pPr>
              <w:spacing w:line="360" w:lineRule="exact"/>
              <w:rPr>
                <w:rFonts w:ascii="宋体" w:hAnsi="宋体" w:cs="宋体"/>
                <w:sz w:val="24"/>
                <w:szCs w:val="24"/>
                <w:highlight w:val="none"/>
              </w:rPr>
            </w:pPr>
            <w:r>
              <w:rPr>
                <w:rFonts w:hint="eastAsia" w:ascii="宋体" w:hAnsi="宋体" w:cs="宋体"/>
                <w:sz w:val="24"/>
                <w:szCs w:val="24"/>
                <w:highlight w:val="none"/>
              </w:rPr>
              <w:t>5、无其他谈判文件或法规明确规定响应无效的事项。</w:t>
            </w:r>
          </w:p>
        </w:tc>
      </w:tr>
      <w:tr w14:paraId="6BCF7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696" w:type="pct"/>
            <w:gridSpan w:val="2"/>
            <w:vAlign w:val="center"/>
          </w:tcPr>
          <w:p w14:paraId="72E994F7">
            <w:pPr>
              <w:spacing w:line="360" w:lineRule="exact"/>
              <w:jc w:val="center"/>
              <w:rPr>
                <w:rFonts w:ascii="宋体" w:hAnsi="宋体" w:cs="宋体"/>
                <w:b/>
                <w:sz w:val="24"/>
                <w:szCs w:val="24"/>
                <w:highlight w:val="none"/>
              </w:rPr>
            </w:pPr>
            <w:r>
              <w:rPr>
                <w:rFonts w:hint="eastAsia" w:ascii="宋体" w:hAnsi="宋体" w:cs="宋体"/>
                <w:b/>
                <w:sz w:val="24"/>
                <w:szCs w:val="24"/>
                <w:highlight w:val="none"/>
              </w:rPr>
              <w:t>说明</w:t>
            </w:r>
          </w:p>
        </w:tc>
        <w:tc>
          <w:tcPr>
            <w:tcW w:w="3303" w:type="pct"/>
            <w:vAlign w:val="center"/>
          </w:tcPr>
          <w:p w14:paraId="5166EB16">
            <w:pPr>
              <w:spacing w:line="360" w:lineRule="exact"/>
              <w:rPr>
                <w:rFonts w:ascii="宋体" w:hAnsi="宋体" w:cs="宋体"/>
                <w:sz w:val="24"/>
                <w:szCs w:val="24"/>
                <w:highlight w:val="none"/>
              </w:rPr>
            </w:pPr>
            <w:r>
              <w:rPr>
                <w:rFonts w:hint="eastAsia" w:ascii="宋体" w:hAnsi="宋体" w:cs="宋体"/>
                <w:sz w:val="24"/>
                <w:szCs w:val="24"/>
                <w:highlight w:val="none"/>
              </w:rPr>
              <w:t>以上审查内容有一项不合格即按照无效谈判响应处理</w:t>
            </w:r>
          </w:p>
        </w:tc>
      </w:tr>
    </w:tbl>
    <w:p w14:paraId="1B539944">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评委会对报价明显偏低的审查：</w:t>
      </w:r>
    </w:p>
    <w:p w14:paraId="11BD758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与各供应商谈判结束后，供应商提交二次报价，谈判小组认为供应商的二次报价明显低于其他通过符合性审查供应商的报价，有可能影响服务质量或者不能诚信履约的，应当要求其在谈判现场合理的时间内提供书面说明，必要时提交相关证明材料；供应商不能证明其报价合理性的，谈判小组应当将其作为无效谈判响应处理。</w:t>
      </w:r>
    </w:p>
    <w:p w14:paraId="4954EC1E">
      <w:pPr>
        <w:keepNext/>
        <w:keepLines/>
        <w:spacing w:before="312" w:beforeLines="100" w:after="156" w:afterLines="50" w:line="360" w:lineRule="auto"/>
        <w:rPr>
          <w:rFonts w:ascii="宋体" w:hAnsi="宋体" w:cs="宋体"/>
          <w:b/>
          <w:sz w:val="24"/>
          <w:szCs w:val="24"/>
          <w:highlight w:val="none"/>
        </w:rPr>
      </w:pPr>
      <w:r>
        <w:rPr>
          <w:rFonts w:hint="eastAsia" w:ascii="宋体" w:hAnsi="宋体" w:cs="宋体"/>
          <w:b/>
          <w:sz w:val="24"/>
          <w:szCs w:val="24"/>
          <w:highlight w:val="none"/>
          <w:lang w:val="en-US" w:eastAsia="zh-CN"/>
        </w:rPr>
        <w:t>6</w:t>
      </w:r>
      <w:r>
        <w:rPr>
          <w:rFonts w:hint="eastAsia" w:ascii="宋体" w:hAnsi="宋体" w:cs="宋体"/>
          <w:b/>
          <w:sz w:val="24"/>
          <w:szCs w:val="24"/>
          <w:highlight w:val="none"/>
        </w:rPr>
        <w:t>、成交、通知与签约</w:t>
      </w:r>
    </w:p>
    <w:bookmarkEnd w:id="22"/>
    <w:bookmarkEnd w:id="23"/>
    <w:bookmarkEnd w:id="24"/>
    <w:p w14:paraId="7BA7BE4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1谈判小组应当从质量和服务均能满足谈判文件实质性响应要求的供应商中，按照最后报价由低到高的顺序推荐3名成交候选人。（注：因落实政府采购政策进行价格调整的，以调整后的价格作为评审价，详见供应商须知前附表）。</w:t>
      </w:r>
    </w:p>
    <w:p w14:paraId="5963B346">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.2采购人根据谈判报告中推荐的成交候选人排列顺序，确定排名第一的为成交人。</w:t>
      </w:r>
    </w:p>
    <w:p w14:paraId="6B281CE7">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.3</w:t>
      </w:r>
      <w:r>
        <w:rPr>
          <w:rFonts w:hint="eastAsia" w:ascii="宋体" w:hAnsi="宋体" w:cs="宋体"/>
          <w:sz w:val="24"/>
          <w:highlight w:val="none"/>
        </w:rPr>
        <w:t>排名第一的成交候选人放弃成交、在规定期限内未能签订合同、因不可抗力不能履行合同，或者被查实存在影响成交结果的违法行为等情形，不符合成交条件的，采购人可以按照谈判小组提出的成交候选人名单排序依次确定其他成交候选人为成交人，也可以重新组织竞争性谈判</w:t>
      </w:r>
      <w:r>
        <w:rPr>
          <w:rFonts w:hint="eastAsia" w:ascii="宋体" w:hAnsi="宋体" w:cs="宋体"/>
          <w:sz w:val="24"/>
          <w:szCs w:val="24"/>
          <w:highlight w:val="none"/>
        </w:rPr>
        <w:t>。</w:t>
      </w:r>
    </w:p>
    <w:p w14:paraId="424619FF">
      <w:pPr>
        <w:spacing w:line="500" w:lineRule="exact"/>
        <w:ind w:firstLine="480" w:firstLineChars="200"/>
        <w:rPr>
          <w:rFonts w:ascii="宋体" w:hAnsi="宋体" w:cs="宋体"/>
          <w:sz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.4</w:t>
      </w:r>
      <w:r>
        <w:rPr>
          <w:rFonts w:ascii="宋体" w:hAnsi="宋体" w:cs="宋体"/>
          <w:sz w:val="24"/>
          <w:highlight w:val="none"/>
        </w:rPr>
        <w:t>最终评审报价相同的，谈判小组优先推荐节能清单(非强制类)、 环保清单内的产品，再按照综合技术指标优劣顺序推荐。</w:t>
      </w:r>
    </w:p>
    <w:p w14:paraId="57C2D7B7">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.5成交人确定之后，成交结果将在财政部门指定的政府采购信息发布媒体上公告。</w:t>
      </w:r>
    </w:p>
    <w:p w14:paraId="2D62751D">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.6供应商或者其他利害关系人对评审结果有异议的，应当在法律规定的时间内提出。</w:t>
      </w:r>
    </w:p>
    <w:p w14:paraId="1418307C">
      <w:pPr>
        <w:spacing w:line="500" w:lineRule="exact"/>
        <w:rPr>
          <w:rFonts w:ascii="宋体" w:hAnsi="宋体" w:cs="宋体"/>
          <w:b/>
          <w:sz w:val="24"/>
          <w:szCs w:val="24"/>
          <w:highlight w:val="none"/>
        </w:rPr>
      </w:pPr>
      <w:r>
        <w:rPr>
          <w:rFonts w:hint="eastAsia" w:ascii="宋体" w:hAnsi="宋体" w:cs="宋体"/>
          <w:b/>
          <w:sz w:val="24"/>
          <w:szCs w:val="24"/>
          <w:highlight w:val="none"/>
          <w:lang w:val="en-US" w:eastAsia="zh-CN"/>
        </w:rPr>
        <w:t>7</w:t>
      </w:r>
      <w:r>
        <w:rPr>
          <w:rFonts w:hint="eastAsia" w:ascii="宋体" w:hAnsi="宋体" w:cs="宋体"/>
          <w:b/>
          <w:sz w:val="24"/>
          <w:szCs w:val="24"/>
          <w:highlight w:val="none"/>
        </w:rPr>
        <w:t>．成交与落标通知</w:t>
      </w:r>
    </w:p>
    <w:p w14:paraId="4A66D61A">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 xml:space="preserve">.1 采购代理机构向成交人发出《成交通知书》。 </w:t>
      </w:r>
    </w:p>
    <w:p w14:paraId="604751F9">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.2成交通知书对采购人和成交人具有同等法律效力。成交通知书发出之后，采购人改变成交结果，或者成交人放弃成交，应当承担相应的法律责任。</w:t>
      </w:r>
    </w:p>
    <w:p w14:paraId="7F5942C7">
      <w:pPr>
        <w:spacing w:line="500" w:lineRule="exact"/>
        <w:rPr>
          <w:rFonts w:ascii="宋体" w:hAnsi="宋体" w:cs="宋体"/>
          <w:b/>
          <w:sz w:val="24"/>
          <w:szCs w:val="24"/>
          <w:highlight w:val="none"/>
        </w:rPr>
      </w:pPr>
      <w:r>
        <w:rPr>
          <w:rFonts w:hint="eastAsia" w:ascii="宋体" w:hAnsi="宋体" w:cs="宋体"/>
          <w:b/>
          <w:sz w:val="24"/>
          <w:szCs w:val="24"/>
          <w:highlight w:val="none"/>
          <w:lang w:val="en-US" w:eastAsia="zh-CN"/>
        </w:rPr>
        <w:t>8</w:t>
      </w:r>
      <w:r>
        <w:rPr>
          <w:rFonts w:hint="eastAsia" w:ascii="宋体" w:hAnsi="宋体" w:cs="宋体"/>
          <w:b/>
          <w:sz w:val="24"/>
          <w:szCs w:val="24"/>
          <w:highlight w:val="none"/>
        </w:rPr>
        <w:t>. 成交合同的签订</w:t>
      </w:r>
    </w:p>
    <w:p w14:paraId="1748364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1采购人应当自成交通知书发出之日起三十日内，按照竞争性谈判文件和成交人竞争性谈判响应文件（包括评审中形成的澄清文件）的约定，与成交人签订书面合同。所签订的合同不得对竞争性谈判文件和成交人的竞争性谈判响应文件（包括评审中形成的澄清文件）作实质性修改。</w:t>
      </w:r>
    </w:p>
    <w:p w14:paraId="6CEA2EA2">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.2采购人自采购合同签订之日起七个工作日内，将采购合同副本报同级人民政府财政部门备案。</w:t>
      </w:r>
    </w:p>
    <w:p w14:paraId="6765EFC7">
      <w:pPr>
        <w:spacing w:line="500" w:lineRule="exact"/>
        <w:rPr>
          <w:rFonts w:ascii="宋体" w:hAnsi="宋体" w:cs="宋体"/>
          <w:b/>
          <w:sz w:val="24"/>
          <w:szCs w:val="24"/>
          <w:highlight w:val="none"/>
        </w:rPr>
      </w:pPr>
      <w:r>
        <w:rPr>
          <w:rFonts w:hint="eastAsia" w:ascii="宋体" w:hAnsi="宋体" w:cs="宋体"/>
          <w:b/>
          <w:sz w:val="24"/>
          <w:szCs w:val="24"/>
          <w:highlight w:val="none"/>
          <w:lang w:val="en-US" w:eastAsia="zh-CN"/>
        </w:rPr>
        <w:t>9</w:t>
      </w:r>
      <w:r>
        <w:rPr>
          <w:rFonts w:hint="eastAsia" w:ascii="宋体" w:hAnsi="宋体" w:cs="宋体"/>
          <w:b/>
          <w:sz w:val="24"/>
          <w:szCs w:val="24"/>
          <w:highlight w:val="none"/>
        </w:rPr>
        <w:t>．成交代理服务费</w:t>
      </w:r>
    </w:p>
    <w:p w14:paraId="784E456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1、按照“国家计委关于印发《招标代理服务收费管理暂行办法的通知》（计价格〔2002〕1980号）”、“《国家发展改革委办公厅关于招标代理服务收费有关问题的通知》（发改价格〔2003〕857号）”、“国家发展和改革委《关于降低部分建设项目收费标准规范收费行为等有关问题的通知》（发改价格〔2011〕534号）”的规定</w:t>
      </w:r>
      <w:r>
        <w:rPr>
          <w:rFonts w:hint="eastAsia" w:ascii="宋体" w:hAnsi="宋体" w:cs="宋体"/>
          <w:sz w:val="24"/>
          <w:szCs w:val="24"/>
          <w:highlight w:val="none"/>
          <w:lang w:val="en-US" w:eastAsia="zh-CN"/>
        </w:rPr>
        <w:t>收取</w:t>
      </w:r>
      <w:r>
        <w:rPr>
          <w:rFonts w:hint="eastAsia" w:ascii="宋体" w:hAnsi="宋体" w:cs="宋体"/>
          <w:sz w:val="24"/>
          <w:szCs w:val="24"/>
          <w:highlight w:val="none"/>
        </w:rPr>
        <w:t>。</w:t>
      </w:r>
    </w:p>
    <w:p w14:paraId="6745617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cs="宋体"/>
          <w:sz w:val="24"/>
          <w:szCs w:val="24"/>
          <w:highlight w:val="none"/>
        </w:rPr>
        <w:t>.2、成交供应商在领取成交通知书前，须向采购代理机构一次性支付招标代理服务费。</w:t>
      </w:r>
    </w:p>
    <w:p w14:paraId="3A21DADA">
      <w:pPr>
        <w:spacing w:line="600" w:lineRule="exact"/>
        <w:rPr>
          <w:rFonts w:ascii="宋体" w:hAnsi="宋体" w:cs="宋体"/>
          <w:b/>
          <w:bCs/>
          <w:sz w:val="24"/>
          <w:szCs w:val="24"/>
          <w:highlight w:val="none"/>
        </w:rPr>
      </w:pPr>
      <w:r>
        <w:rPr>
          <w:rFonts w:hint="eastAsia" w:ascii="宋体" w:hAnsi="宋体" w:cs="宋体"/>
          <w:b/>
          <w:bCs/>
          <w:sz w:val="24"/>
          <w:szCs w:val="24"/>
          <w:highlight w:val="none"/>
        </w:rPr>
        <w:t>1</w:t>
      </w:r>
      <w:r>
        <w:rPr>
          <w:rFonts w:hint="eastAsia" w:ascii="宋体" w:hAnsi="宋体" w:cs="宋体"/>
          <w:b/>
          <w:bCs/>
          <w:sz w:val="24"/>
          <w:szCs w:val="24"/>
          <w:highlight w:val="none"/>
          <w:lang w:val="en-US" w:eastAsia="zh-CN"/>
        </w:rPr>
        <w:t>0</w:t>
      </w:r>
      <w:r>
        <w:rPr>
          <w:rFonts w:hint="eastAsia" w:ascii="宋体" w:hAnsi="宋体" w:cs="宋体"/>
          <w:b/>
          <w:bCs/>
          <w:sz w:val="24"/>
          <w:szCs w:val="24"/>
          <w:highlight w:val="none"/>
        </w:rPr>
        <w:t>.质疑</w:t>
      </w:r>
    </w:p>
    <w:p w14:paraId="261C3555">
      <w:pPr>
        <w:spacing w:line="500" w:lineRule="exact"/>
        <w:ind w:right="12" w:firstLine="48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0</w:t>
      </w:r>
      <w:r>
        <w:rPr>
          <w:rFonts w:hint="eastAsia" w:ascii="宋体" w:hAnsi="宋体" w:cs="宋体"/>
          <w:sz w:val="24"/>
          <w:szCs w:val="24"/>
          <w:highlight w:val="none"/>
        </w:rPr>
        <w:t>.1供应商认为谈判文件、谈判过程、谈判结果使自己的合法权益受到损害的，可以在法律规定的时间内以书面形式向采购人、采购代理机构提出质疑。</w:t>
      </w:r>
    </w:p>
    <w:p w14:paraId="6F40AE52">
      <w:pPr>
        <w:spacing w:line="500" w:lineRule="exact"/>
        <w:ind w:left="177" w:leftChars="66" w:hanging="38" w:hangingChars="16"/>
        <w:rPr>
          <w:rStyle w:val="20"/>
          <w:rFonts w:ascii="宋体" w:hAnsi="宋体" w:cs="宋体"/>
          <w:b/>
          <w:bCs w:val="0"/>
          <w:sz w:val="24"/>
          <w:szCs w:val="24"/>
          <w:highlight w:val="none"/>
          <w:shd w:val="clear" w:color="auto" w:fill="FFFFFF"/>
        </w:rPr>
      </w:pPr>
      <w:r>
        <w:rPr>
          <w:rFonts w:hint="eastAsia" w:ascii="宋体" w:hAnsi="宋体" w:cs="宋体"/>
          <w:sz w:val="24"/>
          <w:szCs w:val="24"/>
          <w:highlight w:val="none"/>
        </w:rPr>
        <w:t xml:space="preserve">   1</w:t>
      </w:r>
      <w:r>
        <w:rPr>
          <w:rFonts w:hint="eastAsia" w:ascii="宋体" w:hAnsi="宋体" w:cs="宋体"/>
          <w:sz w:val="24"/>
          <w:szCs w:val="24"/>
          <w:highlight w:val="none"/>
          <w:lang w:val="en-US" w:eastAsia="zh-CN"/>
        </w:rPr>
        <w:t>0</w:t>
      </w:r>
      <w:r>
        <w:rPr>
          <w:rFonts w:hint="eastAsia" w:ascii="宋体" w:hAnsi="宋体" w:cs="宋体"/>
          <w:sz w:val="24"/>
          <w:szCs w:val="24"/>
          <w:highlight w:val="none"/>
        </w:rPr>
        <w:t>.2</w:t>
      </w:r>
      <w:r>
        <w:rPr>
          <w:rStyle w:val="20"/>
          <w:rFonts w:hint="eastAsia" w:ascii="宋体" w:hAnsi="宋体" w:cs="宋体"/>
          <w:sz w:val="24"/>
          <w:szCs w:val="24"/>
          <w:highlight w:val="none"/>
          <w:shd w:val="clear" w:color="auto" w:fill="FFFFFF"/>
        </w:rPr>
        <w:t xml:space="preserve"> 提交质疑书需携带以下资料：</w:t>
      </w:r>
    </w:p>
    <w:p w14:paraId="0FF81EC4">
      <w:pPr>
        <w:spacing w:line="500" w:lineRule="exact"/>
        <w:ind w:left="458" w:leftChars="218"/>
        <w:rPr>
          <w:rStyle w:val="20"/>
          <w:rFonts w:ascii="宋体" w:hAnsi="宋体" w:cs="宋体"/>
          <w:sz w:val="24"/>
          <w:szCs w:val="24"/>
          <w:highlight w:val="none"/>
          <w:shd w:val="clear" w:color="auto" w:fill="FFFFFF"/>
        </w:rPr>
      </w:pPr>
      <w:r>
        <w:rPr>
          <w:rStyle w:val="20"/>
          <w:rFonts w:hint="eastAsia" w:ascii="宋体" w:hAnsi="宋体" w:cs="宋体"/>
          <w:sz w:val="24"/>
          <w:szCs w:val="24"/>
          <w:highlight w:val="none"/>
          <w:shd w:val="clear" w:color="auto" w:fill="FFFFFF"/>
        </w:rPr>
        <w:t>1</w:t>
      </w:r>
      <w:r>
        <w:rPr>
          <w:rStyle w:val="20"/>
          <w:rFonts w:hint="eastAsia" w:ascii="宋体" w:hAnsi="宋体" w:cs="宋体"/>
          <w:sz w:val="24"/>
          <w:szCs w:val="24"/>
          <w:highlight w:val="none"/>
          <w:shd w:val="clear" w:color="auto" w:fill="FFFFFF"/>
          <w:lang w:val="en-US" w:eastAsia="zh-CN"/>
        </w:rPr>
        <w:t>0</w:t>
      </w:r>
      <w:r>
        <w:rPr>
          <w:rStyle w:val="20"/>
          <w:rFonts w:hint="eastAsia" w:ascii="宋体" w:hAnsi="宋体" w:cs="宋体"/>
          <w:sz w:val="24"/>
          <w:szCs w:val="24"/>
          <w:highlight w:val="none"/>
          <w:shd w:val="clear" w:color="auto" w:fill="FFFFFF"/>
        </w:rPr>
        <w:t>.2.1加盖公章的营业执照副本复印件；</w:t>
      </w:r>
    </w:p>
    <w:p w14:paraId="2B45FC19">
      <w:pPr>
        <w:spacing w:line="460" w:lineRule="exact"/>
        <w:ind w:left="17" w:leftChars="8" w:firstLine="439" w:firstLineChars="183"/>
        <w:rPr>
          <w:rFonts w:ascii="宋体" w:hAnsi="宋体" w:cs="宋体"/>
          <w:sz w:val="24"/>
          <w:szCs w:val="24"/>
          <w:highlight w:val="none"/>
        </w:rPr>
      </w:pPr>
      <w:r>
        <w:rPr>
          <w:rStyle w:val="20"/>
          <w:rFonts w:hint="eastAsia" w:ascii="宋体" w:hAnsi="宋体" w:cs="宋体"/>
          <w:sz w:val="24"/>
          <w:szCs w:val="24"/>
          <w:highlight w:val="none"/>
          <w:shd w:val="clear" w:color="auto" w:fill="FFFFFF"/>
        </w:rPr>
        <w:t>1</w:t>
      </w:r>
      <w:r>
        <w:rPr>
          <w:rStyle w:val="20"/>
          <w:rFonts w:hint="eastAsia" w:ascii="宋体" w:hAnsi="宋体" w:cs="宋体"/>
          <w:sz w:val="24"/>
          <w:szCs w:val="24"/>
          <w:highlight w:val="none"/>
          <w:shd w:val="clear" w:color="auto" w:fill="FFFFFF"/>
          <w:lang w:val="en-US" w:eastAsia="zh-CN"/>
        </w:rPr>
        <w:t>0</w:t>
      </w:r>
      <w:r>
        <w:rPr>
          <w:rStyle w:val="20"/>
          <w:rFonts w:hint="eastAsia" w:ascii="宋体" w:hAnsi="宋体" w:cs="宋体"/>
          <w:sz w:val="24"/>
          <w:szCs w:val="24"/>
          <w:highlight w:val="none"/>
          <w:shd w:val="clear" w:color="auto" w:fill="FFFFFF"/>
        </w:rPr>
        <w:t>.2.2法定代表人针对本项目的专项授权书（须经法定代表人签字并加盖法人章和单位公章）及被授权人身份证复印件（查看原件）；法定代表人提交质疑书须提交其身份证复印件（查看原件）。</w:t>
      </w:r>
    </w:p>
    <w:p w14:paraId="3C749235">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w:t>
      </w:r>
      <w:r>
        <w:rPr>
          <w:rFonts w:hint="eastAsia" w:ascii="宋体" w:hAnsi="宋体" w:cs="宋体"/>
          <w:sz w:val="24"/>
          <w:szCs w:val="24"/>
          <w:highlight w:val="none"/>
          <w:lang w:val="en-US" w:eastAsia="zh-CN"/>
        </w:rPr>
        <w:t>0</w:t>
      </w:r>
      <w:r>
        <w:rPr>
          <w:rFonts w:hint="eastAsia" w:ascii="宋体" w:hAnsi="宋体" w:cs="宋体"/>
          <w:sz w:val="24"/>
          <w:szCs w:val="24"/>
          <w:highlight w:val="none"/>
        </w:rPr>
        <w:t>.3</w:t>
      </w:r>
      <w:r>
        <w:rPr>
          <w:rFonts w:hint="eastAsia" w:ascii="宋体" w:hAnsi="宋体" w:cs="宋体"/>
          <w:bCs/>
          <w:sz w:val="24"/>
          <w:szCs w:val="24"/>
          <w:highlight w:val="none"/>
        </w:rPr>
        <w:t>质疑书应该包含以下主要内容：</w:t>
      </w:r>
    </w:p>
    <w:p w14:paraId="4BB0D41F">
      <w:pPr>
        <w:tabs>
          <w:tab w:val="left" w:pos="420"/>
        </w:tabs>
        <w:spacing w:line="500" w:lineRule="exact"/>
        <w:ind w:left="78" w:leftChars="37"/>
        <w:rPr>
          <w:rStyle w:val="20"/>
          <w:rFonts w:ascii="宋体" w:hAnsi="宋体" w:cs="宋体"/>
          <w:bCs w:val="0"/>
          <w:sz w:val="24"/>
          <w:szCs w:val="24"/>
          <w:highlight w:val="none"/>
          <w:shd w:val="clear" w:color="auto" w:fill="FFFFFF"/>
        </w:rPr>
      </w:pPr>
      <w:r>
        <w:rPr>
          <w:rStyle w:val="20"/>
          <w:rFonts w:hint="eastAsia" w:ascii="宋体" w:hAnsi="宋体" w:cs="宋体"/>
          <w:bCs w:val="0"/>
          <w:sz w:val="24"/>
          <w:szCs w:val="24"/>
          <w:highlight w:val="none"/>
          <w:shd w:val="clear" w:color="auto" w:fill="FFFFFF"/>
        </w:rPr>
        <w:t xml:space="preserve">   1</w:t>
      </w:r>
      <w:r>
        <w:rPr>
          <w:rStyle w:val="20"/>
          <w:rFonts w:hint="eastAsia" w:ascii="宋体" w:hAnsi="宋体" w:cs="宋体"/>
          <w:bCs w:val="0"/>
          <w:sz w:val="24"/>
          <w:szCs w:val="24"/>
          <w:highlight w:val="none"/>
          <w:shd w:val="clear" w:color="auto" w:fill="FFFFFF"/>
          <w:lang w:val="en-US" w:eastAsia="zh-CN"/>
        </w:rPr>
        <w:t>0</w:t>
      </w:r>
      <w:r>
        <w:rPr>
          <w:rStyle w:val="20"/>
          <w:rFonts w:hint="eastAsia" w:ascii="宋体" w:hAnsi="宋体" w:cs="宋体"/>
          <w:bCs w:val="0"/>
          <w:sz w:val="24"/>
          <w:szCs w:val="24"/>
          <w:highlight w:val="none"/>
          <w:shd w:val="clear" w:color="auto" w:fill="FFFFFF"/>
        </w:rPr>
        <w:t>.3.1质疑供应商的基本情况信息：</w:t>
      </w:r>
      <w:r>
        <w:rPr>
          <w:rFonts w:hint="eastAsia" w:ascii="宋体" w:hAnsi="宋体" w:cs="宋体"/>
          <w:sz w:val="24"/>
          <w:szCs w:val="24"/>
          <w:highlight w:val="none"/>
          <w:shd w:val="clear" w:color="auto" w:fill="FFFFFF"/>
        </w:rPr>
        <w:t>名称、地址、法定代表人、委托代理人、电话、邮编。</w:t>
      </w:r>
    </w:p>
    <w:p w14:paraId="5B2CFA87">
      <w:pPr>
        <w:tabs>
          <w:tab w:val="left" w:pos="420"/>
        </w:tabs>
        <w:spacing w:line="500" w:lineRule="exact"/>
        <w:ind w:left="78" w:leftChars="37"/>
        <w:rPr>
          <w:rStyle w:val="20"/>
          <w:rFonts w:ascii="宋体" w:hAnsi="宋体" w:cs="宋体"/>
          <w:bCs w:val="0"/>
          <w:sz w:val="24"/>
          <w:szCs w:val="24"/>
          <w:highlight w:val="none"/>
          <w:shd w:val="clear" w:color="auto" w:fill="FFFFFF"/>
        </w:rPr>
      </w:pPr>
      <w:r>
        <w:rPr>
          <w:rStyle w:val="20"/>
          <w:rFonts w:hint="eastAsia" w:ascii="宋体" w:hAnsi="宋体" w:cs="宋体"/>
          <w:bCs w:val="0"/>
          <w:sz w:val="24"/>
          <w:szCs w:val="24"/>
          <w:highlight w:val="none"/>
          <w:shd w:val="clear" w:color="auto" w:fill="FFFFFF"/>
        </w:rPr>
        <w:t xml:space="preserve">   1</w:t>
      </w:r>
      <w:r>
        <w:rPr>
          <w:rStyle w:val="20"/>
          <w:rFonts w:hint="eastAsia" w:ascii="宋体" w:hAnsi="宋体" w:cs="宋体"/>
          <w:bCs w:val="0"/>
          <w:sz w:val="24"/>
          <w:szCs w:val="24"/>
          <w:highlight w:val="none"/>
          <w:shd w:val="clear" w:color="auto" w:fill="FFFFFF"/>
          <w:lang w:val="en-US" w:eastAsia="zh-CN"/>
        </w:rPr>
        <w:t>0</w:t>
      </w:r>
      <w:r>
        <w:rPr>
          <w:rStyle w:val="20"/>
          <w:rFonts w:hint="eastAsia" w:ascii="宋体" w:hAnsi="宋体" w:cs="宋体"/>
          <w:bCs w:val="0"/>
          <w:sz w:val="24"/>
          <w:szCs w:val="24"/>
          <w:highlight w:val="none"/>
          <w:shd w:val="clear" w:color="auto" w:fill="FFFFFF"/>
        </w:rPr>
        <w:t>.3.2所质疑的政府采购项目的信息：包含采购人或者采购代理机构名称、项目名称、包（标段）、编号。</w:t>
      </w:r>
    </w:p>
    <w:p w14:paraId="3E35B435">
      <w:pPr>
        <w:tabs>
          <w:tab w:val="left" w:pos="420"/>
        </w:tabs>
        <w:spacing w:line="500" w:lineRule="exact"/>
        <w:ind w:left="78" w:leftChars="37"/>
        <w:rPr>
          <w:rStyle w:val="20"/>
          <w:rFonts w:ascii="宋体" w:hAnsi="宋体" w:cs="宋体"/>
          <w:sz w:val="24"/>
          <w:szCs w:val="24"/>
          <w:highlight w:val="none"/>
          <w:shd w:val="clear" w:color="auto" w:fill="FFFFFF"/>
        </w:rPr>
      </w:pPr>
      <w:r>
        <w:rPr>
          <w:rStyle w:val="20"/>
          <w:rFonts w:hint="eastAsia" w:ascii="宋体" w:hAnsi="宋体" w:cs="宋体"/>
          <w:sz w:val="24"/>
          <w:szCs w:val="24"/>
          <w:highlight w:val="none"/>
          <w:shd w:val="clear" w:color="auto" w:fill="FFFFFF"/>
        </w:rPr>
        <w:t xml:space="preserve">   1</w:t>
      </w:r>
      <w:r>
        <w:rPr>
          <w:rStyle w:val="20"/>
          <w:rFonts w:hint="eastAsia" w:ascii="宋体" w:hAnsi="宋体" w:cs="宋体"/>
          <w:sz w:val="24"/>
          <w:szCs w:val="24"/>
          <w:highlight w:val="none"/>
          <w:shd w:val="clear" w:color="auto" w:fill="FFFFFF"/>
          <w:lang w:val="en-US" w:eastAsia="zh-CN"/>
        </w:rPr>
        <w:t>0</w:t>
      </w:r>
      <w:r>
        <w:rPr>
          <w:rStyle w:val="20"/>
          <w:rFonts w:hint="eastAsia" w:ascii="宋体" w:hAnsi="宋体" w:cs="宋体"/>
          <w:sz w:val="24"/>
          <w:szCs w:val="24"/>
          <w:highlight w:val="none"/>
          <w:shd w:val="clear" w:color="auto" w:fill="FFFFFF"/>
        </w:rPr>
        <w:t>.3.3具体的质疑事项。</w:t>
      </w:r>
      <w:r>
        <w:rPr>
          <w:rFonts w:hint="eastAsia" w:ascii="宋体" w:hAnsi="宋体" w:cs="宋体"/>
          <w:bCs/>
          <w:sz w:val="24"/>
          <w:szCs w:val="24"/>
          <w:highlight w:val="none"/>
          <w:shd w:val="clear" w:color="auto" w:fill="FFFFFF"/>
        </w:rPr>
        <w:t>质疑事项不得超出法定范围并且与质疑供应商有利害关系。</w:t>
      </w:r>
    </w:p>
    <w:p w14:paraId="4167E104">
      <w:pPr>
        <w:tabs>
          <w:tab w:val="left" w:pos="420"/>
        </w:tabs>
        <w:spacing w:line="500" w:lineRule="exact"/>
        <w:ind w:left="78" w:leftChars="37"/>
        <w:rPr>
          <w:rStyle w:val="20"/>
          <w:rFonts w:ascii="宋体" w:hAnsi="宋体" w:cs="宋体"/>
          <w:sz w:val="24"/>
          <w:szCs w:val="24"/>
          <w:highlight w:val="none"/>
          <w:shd w:val="clear" w:color="auto" w:fill="FFFFFF"/>
        </w:rPr>
      </w:pPr>
      <w:r>
        <w:rPr>
          <w:rFonts w:hint="eastAsia" w:ascii="宋体" w:hAnsi="宋体" w:cs="宋体"/>
          <w:bCs/>
          <w:sz w:val="24"/>
          <w:szCs w:val="24"/>
          <w:highlight w:val="none"/>
          <w:shd w:val="clear" w:color="auto" w:fill="FFFFFF"/>
        </w:rPr>
        <w:t xml:space="preserve">   1</w:t>
      </w:r>
      <w:r>
        <w:rPr>
          <w:rFonts w:hint="eastAsia" w:ascii="宋体" w:hAnsi="宋体" w:cs="宋体"/>
          <w:bCs/>
          <w:sz w:val="24"/>
          <w:szCs w:val="24"/>
          <w:highlight w:val="none"/>
          <w:shd w:val="clear" w:color="auto" w:fill="FFFFFF"/>
          <w:lang w:val="en-US" w:eastAsia="zh-CN"/>
        </w:rPr>
        <w:t>0</w:t>
      </w:r>
      <w:r>
        <w:rPr>
          <w:rFonts w:hint="eastAsia" w:ascii="宋体" w:hAnsi="宋体" w:cs="宋体"/>
          <w:bCs/>
          <w:sz w:val="24"/>
          <w:szCs w:val="24"/>
          <w:highlight w:val="none"/>
          <w:shd w:val="clear" w:color="auto" w:fill="FFFFFF"/>
        </w:rPr>
        <w:t>.3.4明确、</w:t>
      </w:r>
      <w:r>
        <w:rPr>
          <w:rStyle w:val="20"/>
          <w:rFonts w:hint="eastAsia" w:ascii="宋体" w:hAnsi="宋体" w:cs="宋体"/>
          <w:sz w:val="24"/>
          <w:szCs w:val="24"/>
          <w:highlight w:val="none"/>
          <w:shd w:val="clear" w:color="auto" w:fill="FFFFFF"/>
        </w:rPr>
        <w:t>具体的质疑请求。</w:t>
      </w:r>
    </w:p>
    <w:p w14:paraId="2ED114A1">
      <w:pPr>
        <w:tabs>
          <w:tab w:val="left" w:pos="420"/>
        </w:tabs>
        <w:spacing w:line="500" w:lineRule="exact"/>
        <w:ind w:left="78" w:leftChars="37"/>
        <w:rPr>
          <w:rStyle w:val="20"/>
          <w:rFonts w:ascii="宋体" w:hAnsi="宋体" w:cs="宋体"/>
          <w:sz w:val="24"/>
          <w:szCs w:val="24"/>
          <w:highlight w:val="none"/>
          <w:shd w:val="clear" w:color="auto" w:fill="FFFFFF"/>
        </w:rPr>
      </w:pPr>
      <w:r>
        <w:rPr>
          <w:rStyle w:val="20"/>
          <w:rFonts w:hint="eastAsia" w:ascii="宋体" w:hAnsi="宋体" w:cs="宋体"/>
          <w:sz w:val="24"/>
          <w:szCs w:val="24"/>
          <w:highlight w:val="none"/>
          <w:shd w:val="clear" w:color="auto" w:fill="FFFFFF"/>
        </w:rPr>
        <w:t xml:space="preserve">   1</w:t>
      </w:r>
      <w:r>
        <w:rPr>
          <w:rStyle w:val="20"/>
          <w:rFonts w:hint="eastAsia" w:ascii="宋体" w:hAnsi="宋体" w:cs="宋体"/>
          <w:sz w:val="24"/>
          <w:szCs w:val="24"/>
          <w:highlight w:val="none"/>
          <w:shd w:val="clear" w:color="auto" w:fill="FFFFFF"/>
          <w:lang w:val="en-US" w:eastAsia="zh-CN"/>
        </w:rPr>
        <w:t>0</w:t>
      </w:r>
      <w:r>
        <w:rPr>
          <w:rStyle w:val="20"/>
          <w:rFonts w:hint="eastAsia" w:ascii="宋体" w:hAnsi="宋体" w:cs="宋体"/>
          <w:sz w:val="24"/>
          <w:szCs w:val="24"/>
          <w:highlight w:val="none"/>
          <w:shd w:val="clear" w:color="auto" w:fill="FFFFFF"/>
        </w:rPr>
        <w:t>.3.5质疑所依据的事实、理由和法律依据及证明材料。</w:t>
      </w:r>
    </w:p>
    <w:p w14:paraId="47485540">
      <w:pPr>
        <w:tabs>
          <w:tab w:val="left" w:pos="420"/>
        </w:tabs>
        <w:spacing w:line="500" w:lineRule="exact"/>
        <w:ind w:left="78" w:leftChars="37"/>
        <w:rPr>
          <w:rFonts w:ascii="宋体" w:hAnsi="宋体" w:cs="宋体"/>
          <w:sz w:val="24"/>
          <w:szCs w:val="24"/>
          <w:highlight w:val="none"/>
        </w:rPr>
      </w:pPr>
      <w:r>
        <w:rPr>
          <w:rStyle w:val="20"/>
          <w:rFonts w:hint="eastAsia" w:ascii="宋体" w:hAnsi="宋体" w:cs="宋体"/>
          <w:sz w:val="24"/>
          <w:szCs w:val="24"/>
          <w:highlight w:val="none"/>
          <w:shd w:val="clear" w:color="auto" w:fill="FFFFFF"/>
        </w:rPr>
        <w:t xml:space="preserve">   1</w:t>
      </w:r>
      <w:r>
        <w:rPr>
          <w:rStyle w:val="20"/>
          <w:rFonts w:hint="eastAsia" w:ascii="宋体" w:hAnsi="宋体" w:cs="宋体"/>
          <w:sz w:val="24"/>
          <w:szCs w:val="24"/>
          <w:highlight w:val="none"/>
          <w:shd w:val="clear" w:color="auto" w:fill="FFFFFF"/>
          <w:lang w:val="en-US" w:eastAsia="zh-CN"/>
        </w:rPr>
        <w:t>0</w:t>
      </w:r>
      <w:r>
        <w:rPr>
          <w:rStyle w:val="20"/>
          <w:rFonts w:hint="eastAsia" w:ascii="宋体" w:hAnsi="宋体" w:cs="宋体"/>
          <w:sz w:val="24"/>
          <w:szCs w:val="24"/>
          <w:highlight w:val="none"/>
          <w:shd w:val="clear" w:color="auto" w:fill="FFFFFF"/>
        </w:rPr>
        <w:t>.3.6质疑书需要加盖质疑供应商公章并经法定代表人签字和盖章。</w:t>
      </w:r>
    </w:p>
    <w:p w14:paraId="2D4A8CD8">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w:t>
      </w:r>
      <w:r>
        <w:rPr>
          <w:rFonts w:hint="eastAsia" w:ascii="宋体" w:hAnsi="宋体" w:cs="宋体"/>
          <w:sz w:val="24"/>
          <w:szCs w:val="24"/>
          <w:highlight w:val="none"/>
          <w:lang w:val="en-US" w:eastAsia="zh-CN"/>
        </w:rPr>
        <w:t>0</w:t>
      </w:r>
      <w:r>
        <w:rPr>
          <w:rFonts w:hint="eastAsia" w:ascii="宋体" w:hAnsi="宋体" w:cs="宋体"/>
          <w:sz w:val="24"/>
          <w:szCs w:val="24"/>
          <w:highlight w:val="none"/>
        </w:rPr>
        <w:t>.4质疑答复</w:t>
      </w:r>
    </w:p>
    <w:p w14:paraId="2758F262">
      <w:pPr>
        <w:pStyle w:val="22"/>
        <w:spacing w:line="500" w:lineRule="exact"/>
        <w:ind w:left="334" w:firstLine="0" w:firstLineChars="0"/>
        <w:jc w:val="left"/>
        <w:rPr>
          <w:rFonts w:ascii="宋体" w:hAnsi="宋体" w:cs="宋体"/>
          <w:b/>
          <w:sz w:val="24"/>
          <w:szCs w:val="24"/>
          <w:highlight w:val="none"/>
        </w:rPr>
      </w:pPr>
      <w:r>
        <w:rPr>
          <w:rFonts w:hint="eastAsia" w:ascii="宋体" w:hAnsi="宋体" w:cs="宋体"/>
          <w:sz w:val="24"/>
          <w:szCs w:val="24"/>
          <w:highlight w:val="none"/>
        </w:rPr>
        <w:t xml:space="preserve"> 采购人或采购代理机构在收到供应商的书面质疑后将按规定的时间进行回复。</w:t>
      </w:r>
    </w:p>
    <w:p w14:paraId="094C52CD">
      <w:pPr>
        <w:spacing w:line="500" w:lineRule="exact"/>
        <w:rPr>
          <w:rFonts w:ascii="宋体" w:hAnsi="宋体" w:cs="宋体"/>
          <w:b/>
          <w:sz w:val="24"/>
          <w:szCs w:val="24"/>
          <w:highlight w:val="none"/>
        </w:rPr>
      </w:pPr>
      <w:r>
        <w:rPr>
          <w:rFonts w:hint="eastAsia" w:ascii="宋体" w:hAnsi="宋体" w:cs="宋体"/>
          <w:b/>
          <w:sz w:val="24"/>
          <w:szCs w:val="24"/>
          <w:highlight w:val="none"/>
        </w:rPr>
        <w:t>1</w:t>
      </w:r>
      <w:r>
        <w:rPr>
          <w:rFonts w:hint="eastAsia" w:ascii="宋体" w:hAnsi="宋体" w:cs="宋体"/>
          <w:b/>
          <w:sz w:val="24"/>
          <w:szCs w:val="24"/>
          <w:highlight w:val="none"/>
          <w:lang w:val="en-US" w:eastAsia="zh-CN"/>
        </w:rPr>
        <w:t>1</w:t>
      </w:r>
      <w:r>
        <w:rPr>
          <w:rFonts w:hint="eastAsia" w:ascii="宋体" w:hAnsi="宋体" w:cs="宋体"/>
          <w:b/>
          <w:sz w:val="24"/>
          <w:szCs w:val="24"/>
          <w:highlight w:val="none"/>
        </w:rPr>
        <w:t>.其他</w:t>
      </w:r>
    </w:p>
    <w:p w14:paraId="267AF3FA">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cs="宋体"/>
          <w:sz w:val="24"/>
          <w:szCs w:val="24"/>
          <w:highlight w:val="none"/>
        </w:rPr>
        <w:t>.1谈判步骤为：第一次报价---分别谈判---第二次报价---评审推荐成交人。（注：标书拆封时的价格视为第一次报价，无效谈判供应商将不得进入第二次报价）。</w:t>
      </w:r>
    </w:p>
    <w:p w14:paraId="13555F00">
      <w:pPr>
        <w:spacing w:line="500" w:lineRule="exact"/>
        <w:ind w:firstLine="480" w:firstLineChars="200"/>
        <w:rPr>
          <w:rFonts w:ascii="宋体" w:hAnsi="宋体" w:cs="宋体"/>
          <w:sz w:val="24"/>
          <w:szCs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.2当第二次报价全部超过财政预算限额或均低于公认的制作成本时，谈判小组有权决定是否谈判失败或进行第三次报价。</w:t>
      </w:r>
    </w:p>
    <w:p w14:paraId="5283E461">
      <w:pPr>
        <w:spacing w:line="500" w:lineRule="exact"/>
        <w:ind w:firstLine="480" w:firstLineChars="200"/>
        <w:rPr>
          <w:rFonts w:ascii="宋体" w:hAnsi="宋体" w:cs="宋体"/>
          <w:spacing w:val="5"/>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.3</w:t>
      </w:r>
      <w:r>
        <w:rPr>
          <w:rFonts w:hint="eastAsia" w:ascii="宋体" w:hAnsi="宋体" w:cs="宋体"/>
          <w:spacing w:val="5"/>
          <w:sz w:val="24"/>
          <w:highlight w:val="none"/>
        </w:rPr>
        <w:t>在采购过程中符合竞争要求的供应商不足3家的，且采购单位或谈判小组不推荐的，须终止谈判采购活动，发布项目终止公告并说明原因，重新开展采购活动。</w:t>
      </w:r>
    </w:p>
    <w:p w14:paraId="544B5887">
      <w:pPr>
        <w:spacing w:line="50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4成交供应商确定后，成交供应商无正当理由拖延或拒签合同的，或未能按照规定的时间提供履约担保，采购人有权取消其成交资格，并按评审顺序重新确定成交供应商或重新开展采购活动。同时报请监督机构予以通报，禁止其进入政府采购市场。给采购人造成损失的，还应当对超过部分予以赔偿，并依法承担相应法律责任。</w:t>
      </w:r>
    </w:p>
    <w:p w14:paraId="3E33037C">
      <w:pPr>
        <w:spacing w:line="360" w:lineRule="auto"/>
        <w:rPr>
          <w:rFonts w:ascii="宋体" w:hAnsi="宋体" w:cs="宋体"/>
          <w:b/>
          <w:spacing w:val="4"/>
          <w:sz w:val="24"/>
          <w:szCs w:val="24"/>
          <w:highlight w:val="none"/>
        </w:rPr>
      </w:pPr>
      <w:r>
        <w:rPr>
          <w:rFonts w:hint="eastAsia" w:ascii="宋体" w:hAnsi="宋体" w:cs="宋体"/>
          <w:b/>
          <w:spacing w:val="4"/>
          <w:sz w:val="24"/>
          <w:szCs w:val="24"/>
          <w:highlight w:val="none"/>
        </w:rPr>
        <w:t>1</w:t>
      </w:r>
      <w:r>
        <w:rPr>
          <w:rFonts w:hint="eastAsia" w:ascii="宋体" w:hAnsi="宋体" w:cs="宋体"/>
          <w:b/>
          <w:spacing w:val="4"/>
          <w:sz w:val="24"/>
          <w:szCs w:val="24"/>
          <w:highlight w:val="none"/>
          <w:lang w:val="en-US" w:eastAsia="zh-CN"/>
        </w:rPr>
        <w:t>2</w:t>
      </w:r>
      <w:r>
        <w:rPr>
          <w:rFonts w:hint="eastAsia" w:ascii="宋体" w:hAnsi="宋体" w:cs="宋体"/>
          <w:b/>
          <w:spacing w:val="4"/>
          <w:sz w:val="24"/>
          <w:szCs w:val="24"/>
          <w:highlight w:val="none"/>
        </w:rPr>
        <w:t>、确定成交单位</w:t>
      </w:r>
    </w:p>
    <w:p w14:paraId="4182A39E">
      <w:pPr>
        <w:spacing w:line="500" w:lineRule="exact"/>
        <w:ind w:firstLine="480" w:firstLineChars="200"/>
        <w:rPr>
          <w:rFonts w:ascii="宋体" w:hAnsi="宋体" w:cs="宋体"/>
          <w:sz w:val="24"/>
          <w:highlight w:val="none"/>
        </w:rPr>
      </w:pPr>
      <w:r>
        <w:rPr>
          <w:rFonts w:hint="eastAsia" w:ascii="宋体" w:hAnsi="宋体" w:cs="宋体"/>
          <w:sz w:val="24"/>
          <w:highlight w:val="none"/>
        </w:rPr>
        <w:t>1、评审结果由全体谈判小组会成员签字确认。</w:t>
      </w:r>
    </w:p>
    <w:p w14:paraId="1D41C6B0">
      <w:pPr>
        <w:spacing w:line="500" w:lineRule="exact"/>
        <w:ind w:firstLine="480" w:firstLineChars="200"/>
        <w:rPr>
          <w:rFonts w:ascii="宋体" w:hAnsi="宋体" w:cs="宋体"/>
          <w:sz w:val="24"/>
          <w:highlight w:val="none"/>
        </w:rPr>
      </w:pPr>
      <w:r>
        <w:rPr>
          <w:rFonts w:hint="eastAsia" w:ascii="宋体" w:hAnsi="宋体" w:cs="宋体"/>
          <w:sz w:val="24"/>
          <w:highlight w:val="none"/>
        </w:rPr>
        <w:t>2、采购人根据评审报告中推荐的成交候选人排列顺序确定供应商，以复函通知采购代理机构。</w:t>
      </w:r>
    </w:p>
    <w:p w14:paraId="372595F2">
      <w:pPr>
        <w:pStyle w:val="8"/>
        <w:rPr>
          <w:rFonts w:ascii="宋体" w:hAnsi="宋体" w:eastAsia="宋体" w:cs="宋体"/>
          <w:spacing w:val="4"/>
          <w:sz w:val="24"/>
          <w:szCs w:val="24"/>
          <w:highlight w:val="none"/>
        </w:rPr>
      </w:pPr>
    </w:p>
    <w:p w14:paraId="2E60FA09">
      <w:pPr>
        <w:rPr>
          <w:highlight w:val="none"/>
        </w:rPr>
        <w:sectPr>
          <w:footerReference r:id="rId6" w:type="default"/>
          <w:pgSz w:w="11906" w:h="16838"/>
          <w:pgMar w:top="1304" w:right="1361" w:bottom="1304" w:left="1361"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617EF830">
      <w:pPr>
        <w:pStyle w:val="2"/>
        <w:jc w:val="center"/>
        <w:rPr>
          <w:rFonts w:ascii="宋体" w:hAnsi="宋体" w:cs="宋体"/>
          <w:sz w:val="36"/>
          <w:szCs w:val="36"/>
          <w:highlight w:val="none"/>
        </w:rPr>
      </w:pPr>
      <w:bookmarkStart w:id="25" w:name="_Toc6792"/>
      <w:r>
        <w:rPr>
          <w:rFonts w:hint="eastAsia" w:ascii="宋体" w:hAnsi="宋体" w:cs="宋体"/>
          <w:sz w:val="36"/>
          <w:szCs w:val="36"/>
          <w:highlight w:val="none"/>
        </w:rPr>
        <w:t>第三章 竞争性谈判内容</w:t>
      </w:r>
      <w:bookmarkEnd w:id="25"/>
    </w:p>
    <w:p w14:paraId="5EAC3EE3">
      <w:pPr>
        <w:spacing w:line="360" w:lineRule="auto"/>
        <w:outlineLvl w:val="9"/>
        <w:rPr>
          <w:rFonts w:hint="eastAsia" w:asciiTheme="minorEastAsia" w:hAnsiTheme="minorEastAsia" w:eastAsiaTheme="minorEastAsia" w:cstheme="minorEastAsia"/>
          <w:sz w:val="24"/>
          <w:szCs w:val="24"/>
          <w:highlight w:val="none"/>
        </w:rPr>
      </w:pPr>
      <w:bookmarkStart w:id="26" w:name="_Toc19346"/>
      <w:bookmarkStart w:id="27" w:name="_Toc421778377"/>
      <w:bookmarkStart w:id="28" w:name="_Toc351989128"/>
      <w:bookmarkStart w:id="29" w:name="_Toc221523521"/>
      <w:bookmarkStart w:id="30" w:name="_Toc24301"/>
      <w:r>
        <w:rPr>
          <w:rFonts w:hint="eastAsia" w:asciiTheme="minorEastAsia" w:hAnsiTheme="minorEastAsia" w:eastAsiaTheme="minorEastAsia" w:cstheme="minorEastAsia"/>
          <w:sz w:val="24"/>
          <w:szCs w:val="24"/>
          <w:highlight w:val="none"/>
        </w:rPr>
        <w:t>一、项目概况</w:t>
      </w:r>
    </w:p>
    <w:p w14:paraId="6CD2BBF2">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项目名称：2026 年杨凌示范区农产品质量安全监测服务项目</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二次）</w:t>
      </w:r>
      <w:r>
        <w:rPr>
          <w:rFonts w:hint="eastAsia" w:asciiTheme="minorEastAsia" w:hAnsiTheme="minorEastAsia" w:eastAsiaTheme="minorEastAsia" w:cstheme="minorEastAsia"/>
          <w:sz w:val="24"/>
          <w:szCs w:val="24"/>
          <w:highlight w:val="none"/>
        </w:rPr>
        <w:t>。</w:t>
      </w:r>
    </w:p>
    <w:p w14:paraId="772D5124">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采购人：杨凌示范区现代农业和乡村振兴局（以下简称“采购人”）；杨陵区农业农村局配合实施。</w:t>
      </w:r>
    </w:p>
    <w:p w14:paraId="735EFBCF">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服务期限：自合同签订生效之日起 9 个月。各轮次具体抽样时间由采购人结合农业生产实际（作物采收上市期、畜禽出栏节奏）另行排定并提前通知，中标人须无条件配合。</w:t>
      </w:r>
    </w:p>
    <w:p w14:paraId="3A48E031">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采购方式：政府购买服务，择优确定承担任务的检测机构。</w:t>
      </w:r>
    </w:p>
    <w:p w14:paraId="109C97EC">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 项目背景：为深化重点问题农产品药物残留攻坚治理，强化农产品质量安全执法监管，落实《陕西省农业农村厅办公室关于开展 2026 年全省农产品质量安全监督抽查的通知》（陕农办函〔2026〕68 号）、《陕西省农业农村厅关于印发 2026 年农产品质量安全监测方案的通知》（陕农办发〔2026〕3 号）要求，特组织开展本项目。</w:t>
      </w:r>
    </w:p>
    <w:p w14:paraId="38A6A26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二、服务范围与监测任务量</w:t>
      </w:r>
    </w:p>
    <w:p w14:paraId="08A3DFA0">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本项目监测任务总量为 420 批次，采取打包采购方式，一次招标、统一实施。420 批次为总盘子，已包含种植业产品、畜禽产品、水产品等各品类风险监测样品，以及监督抽查、畜禽屠宰环节监测等专项样品，中标人不得就“其他批次”“专项批次”另行主张数量或费用。各组成部分构成如下：</w:t>
      </w:r>
    </w:p>
    <w:tbl>
      <w:tblPr>
        <w:tblStyle w:val="17"/>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2800"/>
        <w:gridCol w:w="1600"/>
        <w:gridCol w:w="4626"/>
      </w:tblGrid>
      <w:tr w14:paraId="2219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10" w:hRule="atLeast"/>
        </w:trPr>
        <w:tc>
          <w:tcPr>
            <w:tcW w:w="2800" w:type="dxa"/>
            <w:shd w:val="clear" w:color="auto" w:fill="FFFFFF" w:themeFill="background1"/>
          </w:tcPr>
          <w:p w14:paraId="1A30BE9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服务模块</w:t>
            </w:r>
          </w:p>
        </w:tc>
        <w:tc>
          <w:tcPr>
            <w:tcW w:w="1600" w:type="dxa"/>
            <w:shd w:val="clear" w:color="auto" w:fill="FFFFFF" w:themeFill="background1"/>
          </w:tcPr>
          <w:p w14:paraId="4F416D8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批次（份）量</w:t>
            </w:r>
          </w:p>
        </w:tc>
        <w:tc>
          <w:tcPr>
            <w:tcW w:w="4626" w:type="dxa"/>
            <w:shd w:val="clear" w:color="auto" w:fill="FFFFFF" w:themeFill="background1"/>
          </w:tcPr>
          <w:p w14:paraId="4B9E01B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与总任务的关系</w:t>
            </w:r>
          </w:p>
        </w:tc>
      </w:tr>
      <w:tr w14:paraId="7FFB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800" w:type="dxa"/>
            <w:shd w:val="clear" w:color="auto" w:fill="FFFFFF" w:themeFill="background1"/>
          </w:tcPr>
          <w:p w14:paraId="2F58BC9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风险监测（定量监测）</w:t>
            </w:r>
          </w:p>
        </w:tc>
        <w:tc>
          <w:tcPr>
            <w:tcW w:w="1600" w:type="dxa"/>
            <w:shd w:val="clear" w:color="auto" w:fill="FFFFFF" w:themeFill="background1"/>
          </w:tcPr>
          <w:p w14:paraId="14AD001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420</w:t>
            </w:r>
          </w:p>
        </w:tc>
        <w:tc>
          <w:tcPr>
            <w:tcW w:w="4626" w:type="dxa"/>
            <w:shd w:val="clear" w:color="auto" w:fill="FFFFFF" w:themeFill="background1"/>
          </w:tcPr>
          <w:p w14:paraId="4F85EA9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即本项目总任务量，含种植业、畜禽、水产品，全年不少于 4 次</w:t>
            </w:r>
          </w:p>
        </w:tc>
      </w:tr>
      <w:tr w14:paraId="30EE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800" w:type="dxa"/>
            <w:shd w:val="clear" w:color="auto" w:fill="FFFFFF" w:themeFill="background1"/>
          </w:tcPr>
          <w:p w14:paraId="6C67422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其中：监督抽查</w:t>
            </w:r>
          </w:p>
        </w:tc>
        <w:tc>
          <w:tcPr>
            <w:tcW w:w="1600" w:type="dxa"/>
            <w:shd w:val="clear" w:color="auto" w:fill="FFFFFF" w:themeFill="background1"/>
          </w:tcPr>
          <w:p w14:paraId="446AACB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40</w:t>
            </w:r>
          </w:p>
        </w:tc>
        <w:tc>
          <w:tcPr>
            <w:tcW w:w="4626" w:type="dxa"/>
            <w:shd w:val="clear" w:color="auto" w:fill="FFFFFF" w:themeFill="background1"/>
          </w:tcPr>
          <w:p w14:paraId="354409B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包含在 420 批次之内（种植业 30、畜禽 10），占不少于 30%，满足考核硬指标</w:t>
            </w:r>
          </w:p>
        </w:tc>
      </w:tr>
    </w:tbl>
    <w:p w14:paraId="2C51BFE4">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说明：上表所列监督抽查、屠宰环节专项监测均包含在 420 批次总任务量之内，不另行计价、不重复计批；投标人对 420 批次的总量、品类结构和交付节点负整体履约责任。</w:t>
      </w:r>
    </w:p>
    <w:p w14:paraId="79348B3C">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结构要求：420 批次中，畜禽产品监测比例不低于 20%（即不少于 84 批次），水产品监测比例不低于 1%（即不少于 5 批次），“两品一标”、名特优新等认证农产品监测占比不低于 35%（即不少于 147 批次）。监测机构须按上述比例及辖区产业布局、生产规模科学分配样品，确保结构达标。</w:t>
      </w:r>
    </w:p>
    <w:p w14:paraId="5F5D6FA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三、服务内容</w:t>
      </w:r>
    </w:p>
    <w:p w14:paraId="4BE6FD6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（一）抽样服务</w:t>
      </w:r>
    </w:p>
    <w:p w14:paraId="6B3A52D5">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抽样主体：风险监测样品由采购人负责、杨陵区农业农村局配合组织，抽样人员现场随机确定点位；监督抽查样品由示范区农业局农业产业科统筹，杨陵区农业农村局与检测机构协同开展随机抽样，严格落实抽样机构与检测机构相分离原则。</w:t>
      </w:r>
    </w:p>
    <w:p w14:paraId="24022AF4">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抽样点位：农产品生产基地（种植养殖基地、专业合作社、家庭农场、散户等）、养殖场、屠宰厂（场）、运输车、水产品暂养池、产地储存场所、产地市场等，应具有代表性；根据需要可进入批发、零售市场抽样，摊位由抽样人员随机选择。</w:t>
      </w:r>
    </w:p>
    <w:p w14:paraId="209E299D">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抽样规范：全程记录抽样过程，规范填写抽样单据，监督抽查样品须明确标注“样品确定为上市产品”字样；畜禽及屠宰环节样品抽样参照《屠宰企业畜禽及其产品抽样操作规范》（NY/T 3227-2018）执行；监督抽查严格执行《国家农产品质量安全监督抽查主要程序与办法》。</w:t>
      </w:r>
    </w:p>
    <w:p w14:paraId="73955E6E">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样品管理：负责样品的封存、标识、运输、保存（冷冻/冷藏）及备样、留样管理，保证样品链条可追溯、不离人、不失控。</w:t>
      </w:r>
    </w:p>
    <w:p w14:paraId="3A98DCE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（二）检测服务</w:t>
      </w:r>
    </w:p>
    <w:p w14:paraId="3BDAFD78">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种植业产品检测：覆盖蔬菜、水果、食用菌，检测参数及方法详见本章附件参数表。</w:t>
      </w:r>
    </w:p>
    <w:p w14:paraId="0F9B5C17">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畜禽产品检测：覆盖猪肉、猪肝、牛肉、羊肉、禽肉（鸡肉、鸭肉）、禽蛋（鸡蛋、鸭蛋）。</w:t>
      </w:r>
    </w:p>
    <w:p w14:paraId="5EABCEEF">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畜禽及屠宰环节检测：对辖区内生猪屠宰企业开展产品水分、违法添加物（“瘦肉精”）及兽药残留监测——猪肉（2 号或 4 号肉）水分检测；猪肝开展 7 种 β-受体激动剂（克伦特罗、莱克多巴胺、沙丁胺醇、特布他林、西马特罗、氯丙那林、妥布特罗）及 6 种糖皮质激素（泼尼松、泼尼松龙、地塞米松、倍他米松、倍氯米松、氢化可的松）监测，相关方法、判定依据及特殊限量（羊肝地塞米松、倍他米松暂参照欧盟标准 2μg/kg 执行；肝脏中泼尼松等 4 种糖皮质激素仅上报数据）按附件及国家、行业标准执行。</w:t>
      </w:r>
    </w:p>
    <w:p w14:paraId="08A44A54">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水产品检测：覆盖草鱼、鲤鱼、鲫鱼、鲢鱼、鳙鱼、对虾、罗非鱼、鲈鱼、乌鳢等。</w:t>
      </w:r>
    </w:p>
    <w:p w14:paraId="013E5DEE">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 检测方法：严格采用国家标准、农业农村部公告指定方法（详见附件参数表），不得使用非标方法替代；方法更新时以现行有效版本为准。</w:t>
      </w:r>
    </w:p>
    <w:p w14:paraId="5D588DD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（三）结果报送与数据分析服务</w:t>
      </w:r>
    </w:p>
    <w:p w14:paraId="421F3E53">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风险监测（含监督抽查及畜禽屠宰环节监测）：中标人按采购人排定的抽样计划完成检测后，按本章第六条规定的两个报告期集中报送监测数据汇总表及监测结果分析报告（加盖公章）。</w:t>
      </w:r>
    </w:p>
    <w:p w14:paraId="4BA883AB">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监督抽查专项：检出不合格样品的，中标人须同步配合采购人做好案件线索移交、复检及查处过程中的技术支撑，并于服务期内按采购人要求提交案件移交查处情况材料。</w:t>
      </w:r>
    </w:p>
    <w:p w14:paraId="07A1E8F1">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风险监测：按采购人要求的时间节点报送各次监测数据及年度总结分析报告。</w:t>
      </w:r>
    </w:p>
    <w:p w14:paraId="2AB6897C">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所有上报用电子表格以陕西省农检中心统一提供的模板为准，逐批填写，未检出项不得擅改默认值。</w:t>
      </w:r>
    </w:p>
    <w:p w14:paraId="2345DB4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（四）配合与协作服务</w:t>
      </w:r>
    </w:p>
    <w:p w14:paraId="325592DC">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按采购人要求于 10 月底前完成陕西省农检中心组织的能力验证。</w:t>
      </w:r>
    </w:p>
    <w:p w14:paraId="50731247">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配合采购人做好省级监督抽查抽样送检、联合执法、问题样品移交查处等工作。</w:t>
      </w:r>
    </w:p>
    <w:p w14:paraId="540EF80F">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未经采购人书面同意，任何单位和个人不得以任何形式发布风险监测结果、报告和相关信息。</w:t>
      </w:r>
    </w:p>
    <w:p w14:paraId="4E170AF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四、技术要求</w:t>
      </w:r>
    </w:p>
    <w:p w14:paraId="681B1DC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（一）检测机构资质要求</w:t>
      </w:r>
    </w:p>
    <w:p w14:paraId="2EABE193">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投标人须具备省级及以上检验检测机构资质认定（CMA）证书，且资质认定能力范围应覆盖本项目全部或绝大部分检测参数；对暂无 CMA 资质的个别参数，须具备 CNAS 认可或具备合法检测能力并提供佐证。</w:t>
      </w:r>
    </w:p>
    <w:p w14:paraId="0131977A">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承担畜禽及屠宰环节监测的机构，须在投标文件中填报承检机构信息（承担单位名称、检测资质、联系人、联系电话），并勾选资质类别（□CMA □CNAS □无）。</w:t>
      </w:r>
    </w:p>
    <w:p w14:paraId="64AEC523">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检测机构近三年无重大质量事故、无出具虚假检测数据等违法违规记录。</w:t>
      </w:r>
    </w:p>
    <w:p w14:paraId="686C5E7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（二）人员与设备要求</w:t>
      </w:r>
    </w:p>
    <w:p w14:paraId="73C6C761">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项目负责人 1 名，须具有中级及以上专业技术职称，从事农产品质量安全检测工作 5 年及以上；技术负责人、质量负责人、授权签字人配备齐全。</w:t>
      </w:r>
    </w:p>
    <w:p w14:paraId="18836AD4">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投入本项目的检测人员不少于 6 名，其中具有中级及以上职称的不少于 3 名，抽样人员不少于 3 名并持证上岗。</w:t>
      </w:r>
    </w:p>
    <w:p w14:paraId="3D035216">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配备与检测参数相匹配的仪器设备，且在有效期内。</w:t>
      </w:r>
    </w:p>
    <w:p w14:paraId="7803A24D">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 具备满足样品保存要求的冷冻、冷藏设施及样品运输保障能力。</w:t>
      </w:r>
    </w:p>
    <w:p w14:paraId="6F82631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（三）质量与时限要求</w:t>
      </w:r>
    </w:p>
    <w:p w14:paraId="64E2124B">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检测工作应严格执行现行有效的国家标准、行业标准和农业农村部公告方法，质量控制措施完备，平行样、空白样、加标回收、质控样等措施到位。</w:t>
      </w:r>
    </w:p>
    <w:p w14:paraId="0B9402EB">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样品检测周期自收到样品之日起一般不超过 15 个工作日；不合格（阳性）样品须在检出后 24 小时内书面（含电子版）报告采购人，不得延误执法处置。</w:t>
      </w:r>
    </w:p>
    <w:p w14:paraId="44CECF40">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检测原始记录、谱图、报告须完整归档，保存期不少于 6 年，随时接受采购人及上级部门检查。</w:t>
      </w:r>
    </w:p>
    <w:p w14:paraId="79132F3F">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监测数据真实、准确、可追溯，严禁篡改、伪造检测数据，严禁出具虚假报告。</w:t>
      </w:r>
    </w:p>
    <w:p w14:paraId="106E7D0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（四）重点品种与参数要求</w:t>
      </w:r>
    </w:p>
    <w:p w14:paraId="53FBCEC2">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种植业产品重点品种：豇豆、芹菜、葱（大葱、细香葱等）、甘薯、辣椒等蔬菜，猕猴桃、葡萄、草莓、冬枣等特色水果。</w:t>
      </w:r>
    </w:p>
    <w:p w14:paraId="15CE266B">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畜禽产品重点品种：鸡蛋、禽肉、猪肉等。</w:t>
      </w:r>
    </w:p>
    <w:p w14:paraId="7F2678F1">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检测参数：种植业产品重点检测禁限用农药和风险监测发现的常规农药；畜禽产品重点检测禁用药物、食品动物中停止使用药物、停用兽药和产蛋期不得使用药物等。具体参数、检测方法及判定依据详见下表。</w:t>
      </w:r>
    </w:p>
    <w:p w14:paraId="4BC5600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五、检测参数、检测方法及判定依据</w:t>
      </w:r>
    </w:p>
    <w:p w14:paraId="0815E2A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表 1  种植业产品（蔬菜、食用菌、水果）检测参数</w:t>
      </w:r>
    </w:p>
    <w:tbl>
      <w:tblPr>
        <w:tblStyle w:val="17"/>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400"/>
        <w:gridCol w:w="5226"/>
        <w:gridCol w:w="2400"/>
      </w:tblGrid>
      <w:tr w14:paraId="576B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400" w:type="dxa"/>
            <w:shd w:val="clear" w:color="auto" w:fill="FFFFFF" w:themeFill="background1"/>
          </w:tcPr>
          <w:p w14:paraId="4B9C5C8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类别</w:t>
            </w:r>
          </w:p>
        </w:tc>
        <w:tc>
          <w:tcPr>
            <w:tcW w:w="5226" w:type="dxa"/>
            <w:shd w:val="clear" w:color="auto" w:fill="FFFFFF" w:themeFill="background1"/>
          </w:tcPr>
          <w:p w14:paraId="02EFFDA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检测参数</w:t>
            </w:r>
          </w:p>
        </w:tc>
        <w:tc>
          <w:tcPr>
            <w:tcW w:w="2400" w:type="dxa"/>
            <w:shd w:val="clear" w:color="auto" w:fill="FFFFFF" w:themeFill="background1"/>
          </w:tcPr>
          <w:p w14:paraId="665AB7A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检测方法</w:t>
            </w:r>
          </w:p>
        </w:tc>
      </w:tr>
      <w:tr w14:paraId="622F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400" w:type="dxa"/>
            <w:shd w:val="clear" w:color="auto" w:fill="FFFFFF" w:themeFill="background1"/>
          </w:tcPr>
          <w:p w14:paraId="424B428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禁用农药</w:t>
            </w:r>
          </w:p>
        </w:tc>
        <w:tc>
          <w:tcPr>
            <w:tcW w:w="5226" w:type="dxa"/>
            <w:shd w:val="clear" w:color="auto" w:fill="FFFFFF" w:themeFill="background1"/>
          </w:tcPr>
          <w:p w14:paraId="4390040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甲胺磷、对硫磷、甲基对硫磷、六六六、三氯杀螨醇、甲拌磷、水胺硫磷、甲基异柳磷、氧乐果、克百威（含 3-羟基克百威）、涕灭威（含涕灭威砜和涕灭威亚砜）、灭多威（2026 年 6 月 1 日起禁止使用）</w:t>
            </w:r>
          </w:p>
        </w:tc>
        <w:tc>
          <w:tcPr>
            <w:tcW w:w="2400" w:type="dxa"/>
            <w:shd w:val="clear" w:color="auto" w:fill="FFFFFF" w:themeFill="background1"/>
          </w:tcPr>
          <w:p w14:paraId="426976A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 GB/T 20769 或 GB 2763-2026 或 GB 23200.8 或 NY/T 761 进行检测</w:t>
            </w:r>
          </w:p>
        </w:tc>
      </w:tr>
      <w:tr w14:paraId="7F544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400" w:type="dxa"/>
            <w:shd w:val="clear" w:color="auto" w:fill="FFFFFF" w:themeFill="background1"/>
          </w:tcPr>
          <w:p w14:paraId="258A41A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限用农药</w:t>
            </w:r>
          </w:p>
        </w:tc>
        <w:tc>
          <w:tcPr>
            <w:tcW w:w="5226" w:type="dxa"/>
            <w:shd w:val="clear" w:color="auto" w:fill="FFFFFF" w:themeFill="background1"/>
          </w:tcPr>
          <w:p w14:paraId="62FF594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氟虫腈（含氟甲腈、氟虫腈硫醚、氟虫腈砜）、毒死蜱、三唑磷、乐果、乙酰甲胺磷、硫环磷、氯唑磷、内吸磷</w:t>
            </w:r>
          </w:p>
        </w:tc>
        <w:tc>
          <w:tcPr>
            <w:tcW w:w="2400" w:type="dxa"/>
            <w:shd w:val="clear" w:color="auto" w:fill="FFFFFF" w:themeFill="background1"/>
          </w:tcPr>
          <w:p w14:paraId="5295F2E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 GB/T 20769 或 GB 2763-2026 或 GB 23200.8 或 NY/T 761 进行检测</w:t>
            </w:r>
          </w:p>
        </w:tc>
      </w:tr>
      <w:tr w14:paraId="7E44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400" w:type="dxa"/>
            <w:shd w:val="clear" w:color="auto" w:fill="FFFFFF" w:themeFill="background1"/>
          </w:tcPr>
          <w:p w14:paraId="6734FED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常规农药</w:t>
            </w:r>
          </w:p>
        </w:tc>
        <w:tc>
          <w:tcPr>
            <w:tcW w:w="5226" w:type="dxa"/>
            <w:shd w:val="clear" w:color="auto" w:fill="FFFFFF" w:themeFill="background1"/>
          </w:tcPr>
          <w:p w14:paraId="60D6803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敌敌畏、杀螟硫磷、丙溴磷、马拉硫磷、亚胺硫磷、倍硫磷、辛硫磷、氯氰菊酯、氰戊菊酯、溴氰菊酯、甲氰菊酯、联苯菊酯、氯氟氰菊酯、氟氯氰菊酯、氯吡脲、噻苯隆、除虫脲、灭幼脲、吡虫啉、啶虫脒、哒螨灵、阿维菌素、甲氨基阿维菌素苯甲酸盐、虫螨腈、噻虫嗪、氟啶脲、异菌脲、五氯硝基苯、三唑酮、百菌清、腐霉利、乙烯菌核利、多菌灵、苯醚甲环唑、嘧霉胺、烯酰吗啉、咪鲜胺、嘧菌酯、二甲戊灵、灭蝇胺、甲霜灵、霜霉威、乙基多杀菌素、氯虫苯甲酰胺、氯菊酯（异构体之和）、醚菊酯、虫酰肼、吡唑醚菌酯、戊唑醇、抑霉唑、噻虫胺</w:t>
            </w:r>
          </w:p>
        </w:tc>
        <w:tc>
          <w:tcPr>
            <w:tcW w:w="2400" w:type="dxa"/>
            <w:shd w:val="clear" w:color="auto" w:fill="FFFFFF" w:themeFill="background1"/>
          </w:tcPr>
          <w:p w14:paraId="1B6EE70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按 GB/T 20769 或 GB 2763-2026 或 GB 23200.8 或 NY/T 761 进行检测</w:t>
            </w:r>
          </w:p>
        </w:tc>
      </w:tr>
    </w:tbl>
    <w:p w14:paraId="43996A7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表 2  畜禽产品检测参数、方法与判定依据</w:t>
      </w:r>
    </w:p>
    <w:tbl>
      <w:tblPr>
        <w:tblStyle w:val="17"/>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3200"/>
        <w:gridCol w:w="1600"/>
        <w:gridCol w:w="2626"/>
        <w:gridCol w:w="1600"/>
      </w:tblGrid>
      <w:tr w14:paraId="680D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73DB79F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检测参数</w:t>
            </w:r>
          </w:p>
        </w:tc>
        <w:tc>
          <w:tcPr>
            <w:tcW w:w="1600" w:type="dxa"/>
            <w:shd w:val="clear" w:color="auto" w:fill="FFFFFF" w:themeFill="background1"/>
          </w:tcPr>
          <w:p w14:paraId="134C1CA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样品种类</w:t>
            </w:r>
          </w:p>
        </w:tc>
        <w:tc>
          <w:tcPr>
            <w:tcW w:w="2626" w:type="dxa"/>
            <w:shd w:val="clear" w:color="auto" w:fill="FFFFFF" w:themeFill="background1"/>
          </w:tcPr>
          <w:p w14:paraId="318DACE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检测方法</w:t>
            </w:r>
          </w:p>
        </w:tc>
        <w:tc>
          <w:tcPr>
            <w:tcW w:w="1600" w:type="dxa"/>
            <w:shd w:val="clear" w:color="auto" w:fill="FFFFFF" w:themeFill="background1"/>
          </w:tcPr>
          <w:p w14:paraId="5B19307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判定依据</w:t>
            </w:r>
          </w:p>
        </w:tc>
      </w:tr>
      <w:tr w14:paraId="2B4B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26834A8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禁用药物 β-受体激动剂类（克伦特罗、莱克多巴胺、沙丁胺醇、特布他林、西马特罗、氯丙那林、妥布特罗、齐帕特罗）</w:t>
            </w:r>
          </w:p>
        </w:tc>
        <w:tc>
          <w:tcPr>
            <w:tcW w:w="1600" w:type="dxa"/>
            <w:shd w:val="clear" w:color="auto" w:fill="FFFFFF" w:themeFill="background1"/>
          </w:tcPr>
          <w:p w14:paraId="0A16820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猪肉、猪肝、牛肉、羊肉</w:t>
            </w:r>
          </w:p>
        </w:tc>
        <w:tc>
          <w:tcPr>
            <w:tcW w:w="2626" w:type="dxa"/>
            <w:shd w:val="clear" w:color="auto" w:fill="FFFFFF" w:themeFill="background1"/>
          </w:tcPr>
          <w:p w14:paraId="707E9E7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1025 号公告-18-2008 或 GB 31658.22</w:t>
            </w:r>
          </w:p>
        </w:tc>
        <w:tc>
          <w:tcPr>
            <w:tcW w:w="1600" w:type="dxa"/>
            <w:shd w:val="clear" w:color="auto" w:fill="FFFFFF" w:themeFill="background1"/>
          </w:tcPr>
          <w:p w14:paraId="5731D05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农业农村部公告第 250 号</w:t>
            </w:r>
          </w:p>
        </w:tc>
      </w:tr>
      <w:tr w14:paraId="79AC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5A1DD2B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常规药物磺胺类（磺胺间甲氧嘧啶、磺胺二甲嘧啶、磺胺甲噁唑、磺胺（间）二甲氧嘧啶、磺胺喹噁啉、磺胺氯哒嗪）</w:t>
            </w:r>
          </w:p>
        </w:tc>
        <w:tc>
          <w:tcPr>
            <w:tcW w:w="1600" w:type="dxa"/>
            <w:shd w:val="clear" w:color="auto" w:fill="FFFFFF" w:themeFill="background1"/>
          </w:tcPr>
          <w:p w14:paraId="02C14D8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猪肉、猪肝、牛肉、羊肉</w:t>
            </w:r>
          </w:p>
        </w:tc>
        <w:tc>
          <w:tcPr>
            <w:tcW w:w="2626" w:type="dxa"/>
            <w:shd w:val="clear" w:color="auto" w:fill="FFFFFF" w:themeFill="background1"/>
          </w:tcPr>
          <w:p w14:paraId="166ABC4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GB/T 20759、GB 31658.17、GB/T 21316、农业部 1025 号公告-23-2008 或 SN/T 5140</w:t>
            </w:r>
          </w:p>
        </w:tc>
        <w:tc>
          <w:tcPr>
            <w:tcW w:w="1600" w:type="dxa"/>
            <w:shd w:val="clear" w:color="auto" w:fill="FFFFFF" w:themeFill="background1"/>
          </w:tcPr>
          <w:p w14:paraId="04C29A2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5844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6F25BCA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常规药物四环素类（金霉素、土霉素、四环素、多西环素）</w:t>
            </w:r>
          </w:p>
        </w:tc>
        <w:tc>
          <w:tcPr>
            <w:tcW w:w="1600" w:type="dxa"/>
            <w:shd w:val="clear" w:color="auto" w:fill="FFFFFF" w:themeFill="background1"/>
          </w:tcPr>
          <w:p w14:paraId="0B00E39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猪肉、猪肝、牛肉、羊肉</w:t>
            </w:r>
          </w:p>
        </w:tc>
        <w:tc>
          <w:tcPr>
            <w:tcW w:w="2626" w:type="dxa"/>
            <w:shd w:val="clear" w:color="auto" w:fill="FFFFFF" w:themeFill="background1"/>
          </w:tcPr>
          <w:p w14:paraId="557A3C0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GB/T 21317、GB 31658.17 或 GB 31658.6</w:t>
            </w:r>
          </w:p>
        </w:tc>
        <w:tc>
          <w:tcPr>
            <w:tcW w:w="1600" w:type="dxa"/>
            <w:shd w:val="clear" w:color="auto" w:fill="FFFFFF" w:themeFill="background1"/>
          </w:tcPr>
          <w:p w14:paraId="5A64998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03FB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5454CE9C">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常规药物糖皮质激素类（地塞米松、倍他米松）</w:t>
            </w:r>
          </w:p>
        </w:tc>
        <w:tc>
          <w:tcPr>
            <w:tcW w:w="1600" w:type="dxa"/>
            <w:shd w:val="clear" w:color="auto" w:fill="FFFFFF" w:themeFill="background1"/>
          </w:tcPr>
          <w:p w14:paraId="6537A6A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牛肉</w:t>
            </w:r>
          </w:p>
        </w:tc>
        <w:tc>
          <w:tcPr>
            <w:tcW w:w="2626" w:type="dxa"/>
            <w:shd w:val="clear" w:color="auto" w:fill="FFFFFF" w:themeFill="background1"/>
          </w:tcPr>
          <w:p w14:paraId="3B773F8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1031 号公告-2-2008</w:t>
            </w:r>
          </w:p>
        </w:tc>
        <w:tc>
          <w:tcPr>
            <w:tcW w:w="1600" w:type="dxa"/>
            <w:shd w:val="clear" w:color="auto" w:fill="FFFFFF" w:themeFill="background1"/>
          </w:tcPr>
          <w:p w14:paraId="62EFCFE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1025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6DB7037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常规药物氟喹诺酮类（恩诺沙星、环丙沙星）</w:t>
            </w:r>
          </w:p>
        </w:tc>
        <w:tc>
          <w:tcPr>
            <w:tcW w:w="1600" w:type="dxa"/>
            <w:shd w:val="clear" w:color="auto" w:fill="FFFFFF" w:themeFill="background1"/>
          </w:tcPr>
          <w:p w14:paraId="11788BF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猪肉、牛肉、羊肉</w:t>
            </w:r>
          </w:p>
        </w:tc>
        <w:tc>
          <w:tcPr>
            <w:tcW w:w="2626" w:type="dxa"/>
            <w:shd w:val="clear" w:color="auto" w:fill="FFFFFF" w:themeFill="background1"/>
          </w:tcPr>
          <w:p w14:paraId="27D53E9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31658.17</w:t>
            </w:r>
          </w:p>
        </w:tc>
        <w:tc>
          <w:tcPr>
            <w:tcW w:w="1600" w:type="dxa"/>
            <w:shd w:val="clear" w:color="auto" w:fill="FFFFFF" w:themeFill="background1"/>
          </w:tcPr>
          <w:p w14:paraId="74EBEC6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6C6A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1772975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食品动物中停止使用药物氟喹诺酮类（氧氟沙星、培氟沙星、诺氟沙星、洛美沙星）</w:t>
            </w:r>
          </w:p>
        </w:tc>
        <w:tc>
          <w:tcPr>
            <w:tcW w:w="1600" w:type="dxa"/>
            <w:shd w:val="clear" w:color="auto" w:fill="FFFFFF" w:themeFill="background1"/>
          </w:tcPr>
          <w:p w14:paraId="7FFAFC2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禽肉、禽蛋</w:t>
            </w:r>
          </w:p>
        </w:tc>
        <w:tc>
          <w:tcPr>
            <w:tcW w:w="2626" w:type="dxa"/>
            <w:shd w:val="clear" w:color="auto" w:fill="FFFFFF" w:themeFill="background1"/>
          </w:tcPr>
          <w:p w14:paraId="2826A3CC">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31658.17、GB/T 21316、GB/T 21312、GB/T 20366 或农业农村部指定方法</w:t>
            </w:r>
          </w:p>
        </w:tc>
        <w:tc>
          <w:tcPr>
            <w:tcW w:w="1600" w:type="dxa"/>
            <w:shd w:val="clear" w:color="auto" w:fill="FFFFFF" w:themeFill="background1"/>
          </w:tcPr>
          <w:p w14:paraId="17133DB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农业农村部公告第 250 号</w:t>
            </w:r>
          </w:p>
        </w:tc>
      </w:tr>
      <w:tr w14:paraId="42DF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1FD5159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常规药物氟喹诺酮类（恩诺沙星、环丙沙星、沙拉沙星、达氟沙星）</w:t>
            </w:r>
          </w:p>
        </w:tc>
        <w:tc>
          <w:tcPr>
            <w:tcW w:w="1600" w:type="dxa"/>
            <w:shd w:val="clear" w:color="auto" w:fill="FFFFFF" w:themeFill="background1"/>
          </w:tcPr>
          <w:p w14:paraId="5A7DC5E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w:t>
            </w:r>
          </w:p>
        </w:tc>
        <w:tc>
          <w:tcPr>
            <w:tcW w:w="2626" w:type="dxa"/>
            <w:shd w:val="clear" w:color="auto" w:fill="FFFFFF" w:themeFill="background1"/>
          </w:tcPr>
          <w:p w14:paraId="2320160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同上</w:t>
            </w:r>
          </w:p>
        </w:tc>
        <w:tc>
          <w:tcPr>
            <w:tcW w:w="1600" w:type="dxa"/>
            <w:shd w:val="clear" w:color="auto" w:fill="FFFFFF" w:themeFill="background1"/>
          </w:tcPr>
          <w:p w14:paraId="2A8F7D8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0A9D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260F6B6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常规药物抗菌增效剂（甲氧苄啶）</w:t>
            </w:r>
          </w:p>
        </w:tc>
        <w:tc>
          <w:tcPr>
            <w:tcW w:w="1600" w:type="dxa"/>
            <w:shd w:val="clear" w:color="auto" w:fill="FFFFFF" w:themeFill="background1"/>
          </w:tcPr>
          <w:p w14:paraId="63B848A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w:t>
            </w:r>
          </w:p>
        </w:tc>
        <w:tc>
          <w:tcPr>
            <w:tcW w:w="2626" w:type="dxa"/>
            <w:shd w:val="clear" w:color="auto" w:fill="FFFFFF" w:themeFill="background1"/>
          </w:tcPr>
          <w:p w14:paraId="6D487EE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同上</w:t>
            </w:r>
          </w:p>
        </w:tc>
        <w:tc>
          <w:tcPr>
            <w:tcW w:w="1600" w:type="dxa"/>
            <w:shd w:val="clear" w:color="auto" w:fill="FFFFFF" w:themeFill="background1"/>
          </w:tcPr>
          <w:p w14:paraId="0B8C6AC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6E12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3296E22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产蛋期不得使用药物氟喹诺酮类（恩诺沙星、环丙沙星、沙拉沙星、达氟沙星）</w:t>
            </w:r>
          </w:p>
        </w:tc>
        <w:tc>
          <w:tcPr>
            <w:tcW w:w="1600" w:type="dxa"/>
            <w:shd w:val="clear" w:color="auto" w:fill="FFFFFF" w:themeFill="background1"/>
          </w:tcPr>
          <w:p w14:paraId="1589F8C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禽蛋</w:t>
            </w:r>
          </w:p>
        </w:tc>
        <w:tc>
          <w:tcPr>
            <w:tcW w:w="2626" w:type="dxa"/>
            <w:shd w:val="clear" w:color="auto" w:fill="FFFFFF" w:themeFill="background1"/>
          </w:tcPr>
          <w:p w14:paraId="2453E72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同上</w:t>
            </w:r>
          </w:p>
        </w:tc>
        <w:tc>
          <w:tcPr>
            <w:tcW w:w="1600" w:type="dxa"/>
            <w:shd w:val="clear" w:color="auto" w:fill="FFFFFF" w:themeFill="background1"/>
          </w:tcPr>
          <w:p w14:paraId="299BDFD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农业农村部公告第 250 号</w:t>
            </w:r>
          </w:p>
        </w:tc>
      </w:tr>
      <w:tr w14:paraId="4AAE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5EDC250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食品动物中停止使用药物金刚烷胺</w:t>
            </w:r>
          </w:p>
        </w:tc>
        <w:tc>
          <w:tcPr>
            <w:tcW w:w="1600" w:type="dxa"/>
            <w:shd w:val="clear" w:color="auto" w:fill="FFFFFF" w:themeFill="background1"/>
          </w:tcPr>
          <w:p w14:paraId="4F97767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禽肉、禽蛋</w:t>
            </w:r>
          </w:p>
        </w:tc>
        <w:tc>
          <w:tcPr>
            <w:tcW w:w="2626" w:type="dxa"/>
            <w:shd w:val="clear" w:color="auto" w:fill="FFFFFF" w:themeFill="background1"/>
          </w:tcPr>
          <w:p w14:paraId="74F3621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31660.5 或农业农村部指定方法</w:t>
            </w:r>
          </w:p>
        </w:tc>
        <w:tc>
          <w:tcPr>
            <w:tcW w:w="1600" w:type="dxa"/>
            <w:shd w:val="clear" w:color="auto" w:fill="FFFFFF" w:themeFill="background1"/>
          </w:tcPr>
          <w:p w14:paraId="5B63401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农业农村部公告第 250 号</w:t>
            </w:r>
          </w:p>
        </w:tc>
      </w:tr>
      <w:tr w14:paraId="185E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23C2F78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禁用药物酰胺醇类（氯霉素）</w:t>
            </w:r>
          </w:p>
        </w:tc>
        <w:tc>
          <w:tcPr>
            <w:tcW w:w="1600" w:type="dxa"/>
            <w:shd w:val="clear" w:color="auto" w:fill="FFFFFF" w:themeFill="background1"/>
          </w:tcPr>
          <w:p w14:paraId="4E5292A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禽肉、禽蛋</w:t>
            </w:r>
          </w:p>
        </w:tc>
        <w:tc>
          <w:tcPr>
            <w:tcW w:w="2626" w:type="dxa"/>
            <w:shd w:val="clear" w:color="auto" w:fill="FFFFFF" w:themeFill="background1"/>
          </w:tcPr>
          <w:p w14:paraId="047607F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31658.20 或农业农村部指定方法</w:t>
            </w:r>
          </w:p>
        </w:tc>
        <w:tc>
          <w:tcPr>
            <w:tcW w:w="1600" w:type="dxa"/>
            <w:shd w:val="clear" w:color="auto" w:fill="FFFFFF" w:themeFill="background1"/>
          </w:tcPr>
          <w:p w14:paraId="6102D72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不得检出</w:t>
            </w:r>
          </w:p>
        </w:tc>
      </w:tr>
      <w:tr w14:paraId="2C10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30F4879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常规药物酰胺醇类（氟苯尼考、氟苯尼考胺和甲砜霉素）</w:t>
            </w:r>
          </w:p>
        </w:tc>
        <w:tc>
          <w:tcPr>
            <w:tcW w:w="1600" w:type="dxa"/>
            <w:shd w:val="clear" w:color="auto" w:fill="FFFFFF" w:themeFill="background1"/>
          </w:tcPr>
          <w:p w14:paraId="6CAA755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禽肉</w:t>
            </w:r>
          </w:p>
        </w:tc>
        <w:tc>
          <w:tcPr>
            <w:tcW w:w="2626" w:type="dxa"/>
            <w:shd w:val="clear" w:color="auto" w:fill="FFFFFF" w:themeFill="background1"/>
          </w:tcPr>
          <w:p w14:paraId="3E0C5E1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31658.20 或农业农村部指定方法</w:t>
            </w:r>
          </w:p>
        </w:tc>
        <w:tc>
          <w:tcPr>
            <w:tcW w:w="1600" w:type="dxa"/>
            <w:shd w:val="clear" w:color="auto" w:fill="FFFFFF" w:themeFill="background1"/>
          </w:tcPr>
          <w:p w14:paraId="3789186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1EB9A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253A6F9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产蛋期不得使用药物酰胺醇类（氟苯尼考、氟苯尼考胺、甲砜霉素）</w:t>
            </w:r>
          </w:p>
        </w:tc>
        <w:tc>
          <w:tcPr>
            <w:tcW w:w="1600" w:type="dxa"/>
            <w:shd w:val="clear" w:color="auto" w:fill="FFFFFF" w:themeFill="background1"/>
          </w:tcPr>
          <w:p w14:paraId="38841F7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禽蛋</w:t>
            </w:r>
          </w:p>
        </w:tc>
        <w:tc>
          <w:tcPr>
            <w:tcW w:w="2626" w:type="dxa"/>
            <w:shd w:val="clear" w:color="auto" w:fill="FFFFFF" w:themeFill="background1"/>
          </w:tcPr>
          <w:p w14:paraId="51F2F67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31658.20 或农业农村部指定方法</w:t>
            </w:r>
          </w:p>
        </w:tc>
        <w:tc>
          <w:tcPr>
            <w:tcW w:w="1600" w:type="dxa"/>
            <w:shd w:val="clear" w:color="auto" w:fill="FFFFFF" w:themeFill="background1"/>
          </w:tcPr>
          <w:p w14:paraId="3A21487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不得检出</w:t>
            </w:r>
          </w:p>
        </w:tc>
      </w:tr>
      <w:tr w14:paraId="67A8E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200" w:type="dxa"/>
            <w:shd w:val="clear" w:color="auto" w:fill="FFFFFF" w:themeFill="background1"/>
          </w:tcPr>
          <w:p w14:paraId="7DBE67D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产蛋期不得使用药物四环素类（多西环素）</w:t>
            </w:r>
          </w:p>
        </w:tc>
        <w:tc>
          <w:tcPr>
            <w:tcW w:w="1600" w:type="dxa"/>
            <w:shd w:val="clear" w:color="auto" w:fill="FFFFFF" w:themeFill="background1"/>
          </w:tcPr>
          <w:p w14:paraId="5697D20C">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禽蛋</w:t>
            </w:r>
          </w:p>
        </w:tc>
        <w:tc>
          <w:tcPr>
            <w:tcW w:w="2626" w:type="dxa"/>
            <w:shd w:val="clear" w:color="auto" w:fill="FFFFFF" w:themeFill="background1"/>
          </w:tcPr>
          <w:p w14:paraId="5B0B582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31658.6 或 GB 31659.2</w:t>
            </w:r>
          </w:p>
        </w:tc>
        <w:tc>
          <w:tcPr>
            <w:tcW w:w="1600" w:type="dxa"/>
            <w:shd w:val="clear" w:color="auto" w:fill="FFFFFF" w:themeFill="background1"/>
          </w:tcPr>
          <w:p w14:paraId="3A72A41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bl>
    <w:p w14:paraId="24EC067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表 3  屠宰环节水分及违法添加物、药物残留检测方法及判定依据</w:t>
      </w:r>
    </w:p>
    <w:tbl>
      <w:tblPr>
        <w:tblStyle w:val="17"/>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2400"/>
        <w:gridCol w:w="1800"/>
        <w:gridCol w:w="2626"/>
        <w:gridCol w:w="2200"/>
      </w:tblGrid>
      <w:tr w14:paraId="08226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400" w:type="dxa"/>
            <w:shd w:val="clear" w:color="auto" w:fill="FFFFFF" w:themeFill="background1"/>
          </w:tcPr>
          <w:p w14:paraId="5598FAB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检测项目</w:t>
            </w:r>
          </w:p>
        </w:tc>
        <w:tc>
          <w:tcPr>
            <w:tcW w:w="1800" w:type="dxa"/>
            <w:shd w:val="clear" w:color="auto" w:fill="FFFFFF" w:themeFill="background1"/>
          </w:tcPr>
          <w:p w14:paraId="61D69EC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样品种类</w:t>
            </w:r>
          </w:p>
        </w:tc>
        <w:tc>
          <w:tcPr>
            <w:tcW w:w="2626" w:type="dxa"/>
            <w:shd w:val="clear" w:color="auto" w:fill="FFFFFF" w:themeFill="background1"/>
          </w:tcPr>
          <w:p w14:paraId="0323C3D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检测方法</w:t>
            </w:r>
          </w:p>
        </w:tc>
        <w:tc>
          <w:tcPr>
            <w:tcW w:w="2200" w:type="dxa"/>
            <w:shd w:val="clear" w:color="auto" w:fill="FFFFFF" w:themeFill="background1"/>
          </w:tcPr>
          <w:p w14:paraId="0A3EBA8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判定依据</w:t>
            </w:r>
          </w:p>
        </w:tc>
      </w:tr>
      <w:tr w14:paraId="69E5F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400" w:type="dxa"/>
            <w:shd w:val="clear" w:color="auto" w:fill="FFFFFF" w:themeFill="background1"/>
          </w:tcPr>
          <w:p w14:paraId="7BFABFD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水分含量</w:t>
            </w:r>
          </w:p>
        </w:tc>
        <w:tc>
          <w:tcPr>
            <w:tcW w:w="1800" w:type="dxa"/>
            <w:shd w:val="clear" w:color="auto" w:fill="FFFFFF" w:themeFill="background1"/>
          </w:tcPr>
          <w:p w14:paraId="6ACC699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猪肉、牛肉、羊肉</w:t>
            </w:r>
          </w:p>
        </w:tc>
        <w:tc>
          <w:tcPr>
            <w:tcW w:w="2626" w:type="dxa"/>
            <w:shd w:val="clear" w:color="auto" w:fill="FFFFFF" w:themeFill="background1"/>
          </w:tcPr>
          <w:p w14:paraId="2FFD2E8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18394-2020</w:t>
            </w:r>
          </w:p>
        </w:tc>
        <w:tc>
          <w:tcPr>
            <w:tcW w:w="2200" w:type="dxa"/>
            <w:shd w:val="clear" w:color="auto" w:fill="FFFFFF" w:themeFill="background1"/>
          </w:tcPr>
          <w:p w14:paraId="3958497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18394-2020</w:t>
            </w:r>
          </w:p>
        </w:tc>
      </w:tr>
      <w:tr w14:paraId="79EE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FFFFFF" w:themeFill="background1"/>
          </w:tcPr>
          <w:p w14:paraId="1F113B1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 种 β-受体激动剂</w:t>
            </w:r>
          </w:p>
        </w:tc>
        <w:tc>
          <w:tcPr>
            <w:tcW w:w="1800" w:type="dxa"/>
            <w:shd w:val="clear" w:color="auto" w:fill="FFFFFF" w:themeFill="background1"/>
          </w:tcPr>
          <w:p w14:paraId="76F711A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猪肝、牛肝、羊肝</w:t>
            </w:r>
          </w:p>
        </w:tc>
        <w:tc>
          <w:tcPr>
            <w:tcW w:w="2626" w:type="dxa"/>
            <w:shd w:val="clear" w:color="auto" w:fill="FFFFFF" w:themeFill="background1"/>
          </w:tcPr>
          <w:p w14:paraId="2C48405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31658.22-2022</w:t>
            </w:r>
          </w:p>
        </w:tc>
        <w:tc>
          <w:tcPr>
            <w:tcW w:w="2200" w:type="dxa"/>
            <w:shd w:val="clear" w:color="auto" w:fill="FFFFFF" w:themeFill="background1"/>
          </w:tcPr>
          <w:p w14:paraId="1B6CACC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农业农村部公告第 250 号、农业部公告 235 号</w:t>
            </w:r>
          </w:p>
        </w:tc>
      </w:tr>
      <w:tr w14:paraId="54D4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0" w:type="dxa"/>
            <w:shd w:val="clear" w:color="auto" w:fill="FFFFFF" w:themeFill="background1"/>
          </w:tcPr>
          <w:p w14:paraId="67F4C78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地塞米松、倍他米松</w:t>
            </w:r>
          </w:p>
        </w:tc>
        <w:tc>
          <w:tcPr>
            <w:tcW w:w="1800" w:type="dxa"/>
            <w:shd w:val="clear" w:color="auto" w:fill="FFFFFF" w:themeFill="background1"/>
          </w:tcPr>
          <w:p w14:paraId="3778DC3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猪肝、牛肝</w:t>
            </w:r>
          </w:p>
        </w:tc>
        <w:tc>
          <w:tcPr>
            <w:tcW w:w="2626" w:type="dxa"/>
            <w:shd w:val="clear" w:color="auto" w:fill="FFFFFF" w:themeFill="background1"/>
          </w:tcPr>
          <w:p w14:paraId="773F484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1031 号公告-2-2008</w:t>
            </w:r>
          </w:p>
        </w:tc>
        <w:tc>
          <w:tcPr>
            <w:tcW w:w="2200" w:type="dxa"/>
            <w:shd w:val="clear" w:color="auto" w:fill="FFFFFF" w:themeFill="background1"/>
          </w:tcPr>
          <w:p w14:paraId="00A9CB1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31650-2019</w:t>
            </w:r>
          </w:p>
        </w:tc>
      </w:tr>
      <w:tr w14:paraId="3B09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400" w:type="dxa"/>
            <w:shd w:val="clear" w:color="auto" w:fill="FFFFFF" w:themeFill="background1"/>
          </w:tcPr>
          <w:p w14:paraId="3F03C568">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地塞米松、倍他米松</w:t>
            </w:r>
          </w:p>
        </w:tc>
        <w:tc>
          <w:tcPr>
            <w:tcW w:w="1800" w:type="dxa"/>
            <w:shd w:val="clear" w:color="auto" w:fill="FFFFFF" w:themeFill="background1"/>
          </w:tcPr>
          <w:p w14:paraId="67227EC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羊肝</w:t>
            </w:r>
          </w:p>
        </w:tc>
        <w:tc>
          <w:tcPr>
            <w:tcW w:w="2626" w:type="dxa"/>
            <w:shd w:val="clear" w:color="auto" w:fill="FFFFFF" w:themeFill="background1"/>
          </w:tcPr>
          <w:p w14:paraId="353104A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1031 号公告-2-2008</w:t>
            </w:r>
          </w:p>
        </w:tc>
        <w:tc>
          <w:tcPr>
            <w:tcW w:w="2200" w:type="dxa"/>
            <w:shd w:val="clear" w:color="auto" w:fill="FFFFFF" w:themeFill="background1"/>
          </w:tcPr>
          <w:p w14:paraId="24DF286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μg/kg（暂参照欧盟标准）</w:t>
            </w:r>
          </w:p>
        </w:tc>
      </w:tr>
      <w:tr w14:paraId="7394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400" w:type="dxa"/>
            <w:shd w:val="clear" w:color="auto" w:fill="FFFFFF" w:themeFill="background1"/>
          </w:tcPr>
          <w:p w14:paraId="6DFC10F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泼尼松、泼尼松龙、倍氯米松、氢化可的松</w:t>
            </w:r>
          </w:p>
        </w:tc>
        <w:tc>
          <w:tcPr>
            <w:tcW w:w="1800" w:type="dxa"/>
            <w:shd w:val="clear" w:color="auto" w:fill="FFFFFF" w:themeFill="background1"/>
          </w:tcPr>
          <w:p w14:paraId="493411C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猪肝、牛肝、羊肝</w:t>
            </w:r>
          </w:p>
        </w:tc>
        <w:tc>
          <w:tcPr>
            <w:tcW w:w="2626" w:type="dxa"/>
            <w:shd w:val="clear" w:color="auto" w:fill="FFFFFF" w:themeFill="background1"/>
          </w:tcPr>
          <w:p w14:paraId="07A95B2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1031 号公告-2-2008</w:t>
            </w:r>
          </w:p>
        </w:tc>
        <w:tc>
          <w:tcPr>
            <w:tcW w:w="2200" w:type="dxa"/>
            <w:shd w:val="clear" w:color="auto" w:fill="FFFFFF" w:themeFill="background1"/>
          </w:tcPr>
          <w:p w14:paraId="1D3E274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无最大残留限量，仅上报检测数据</w:t>
            </w:r>
          </w:p>
        </w:tc>
      </w:tr>
    </w:tbl>
    <w:p w14:paraId="5AA1EF12">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注：目前我国对羊产品中地塞米松和倍他米松尚未规定最大残留限量，羊肝脏残留限量暂参照欧盟标准执行（2 μg/kg）；对动物肝脏中泼尼松、泼尼松龙、倍氯米松和氢化可的松等 4 种药物未规定最大残留限量，仅上报检测数据。</w:t>
      </w:r>
    </w:p>
    <w:p w14:paraId="3B1ACAE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表 4  水产品检测参数、方法与判定限量值</w:t>
      </w:r>
    </w:p>
    <w:tbl>
      <w:tblPr>
        <w:tblStyle w:val="17"/>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3600"/>
        <w:gridCol w:w="3226"/>
        <w:gridCol w:w="2200"/>
      </w:tblGrid>
      <w:tr w14:paraId="1756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65914CD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检测参数</w:t>
            </w:r>
          </w:p>
        </w:tc>
        <w:tc>
          <w:tcPr>
            <w:tcW w:w="3226" w:type="dxa"/>
            <w:shd w:val="clear" w:color="auto" w:fill="FFFFFF" w:themeFill="background1"/>
          </w:tcPr>
          <w:p w14:paraId="50FFD93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检测方法</w:t>
            </w:r>
          </w:p>
        </w:tc>
        <w:tc>
          <w:tcPr>
            <w:tcW w:w="2200" w:type="dxa"/>
            <w:shd w:val="clear" w:color="auto" w:fill="FFFFFF" w:themeFill="background1"/>
          </w:tcPr>
          <w:p w14:paraId="3758468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判定限量值</w:t>
            </w:r>
          </w:p>
        </w:tc>
      </w:tr>
      <w:tr w14:paraId="61F4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33D912B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禁用药物氯霉素</w:t>
            </w:r>
          </w:p>
        </w:tc>
        <w:tc>
          <w:tcPr>
            <w:tcW w:w="3226" w:type="dxa"/>
            <w:shd w:val="clear" w:color="auto" w:fill="FFFFFF" w:themeFill="background1"/>
          </w:tcPr>
          <w:p w14:paraId="4A56776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GB/T 20756-2006、GB 31656.16、SN/T 1865-2016 或农业农村部指定方法</w:t>
            </w:r>
          </w:p>
        </w:tc>
        <w:tc>
          <w:tcPr>
            <w:tcW w:w="2200" w:type="dxa"/>
            <w:shd w:val="clear" w:color="auto" w:fill="FFFFFF" w:themeFill="background1"/>
          </w:tcPr>
          <w:p w14:paraId="2C9885E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不得检出（&lt;0.3 μg/kg）</w:t>
            </w:r>
          </w:p>
        </w:tc>
      </w:tr>
      <w:tr w14:paraId="4FDE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0420F4B3">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常规药物酰胺醇类（甲砜霉素、氟苯尼考和氟苯尼考胺）</w:t>
            </w:r>
          </w:p>
        </w:tc>
        <w:tc>
          <w:tcPr>
            <w:tcW w:w="3226" w:type="dxa"/>
            <w:shd w:val="clear" w:color="auto" w:fill="FFFFFF" w:themeFill="background1"/>
          </w:tcPr>
          <w:p w14:paraId="29048F9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同上</w:t>
            </w:r>
          </w:p>
        </w:tc>
        <w:tc>
          <w:tcPr>
            <w:tcW w:w="2200" w:type="dxa"/>
            <w:shd w:val="clear" w:color="auto" w:fill="FFFFFF" w:themeFill="background1"/>
          </w:tcPr>
          <w:p w14:paraId="294B5DA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甲砜霉素 ≤50 μg/kg；氟苯尼考和氟苯尼考胺总和 ≤1000 μg/kg</w:t>
            </w:r>
          </w:p>
        </w:tc>
      </w:tr>
      <w:tr w14:paraId="10A5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47A2A6A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禁用药物孔雀石绿（含有色、无色孔雀石绿）</w:t>
            </w:r>
          </w:p>
        </w:tc>
        <w:tc>
          <w:tcPr>
            <w:tcW w:w="3226" w:type="dxa"/>
            <w:shd w:val="clear" w:color="auto" w:fill="FFFFFF" w:themeFill="background1"/>
          </w:tcPr>
          <w:p w14:paraId="369ABEC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GB/T 20361-2006 或 GB/T 19857-2005</w:t>
            </w:r>
          </w:p>
        </w:tc>
        <w:tc>
          <w:tcPr>
            <w:tcW w:w="2200" w:type="dxa"/>
            <w:shd w:val="clear" w:color="auto" w:fill="FFFFFF" w:themeFill="background1"/>
          </w:tcPr>
          <w:p w14:paraId="399C0B0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不得检出（&lt;1.0 μg/kg）</w:t>
            </w:r>
          </w:p>
        </w:tc>
      </w:tr>
      <w:tr w14:paraId="0589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12E259B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禁用药物硝基呋喃类代谢物（AOZ、AMOZ、SEM、AHD）</w:t>
            </w:r>
          </w:p>
        </w:tc>
        <w:tc>
          <w:tcPr>
            <w:tcW w:w="3226" w:type="dxa"/>
            <w:shd w:val="clear" w:color="auto" w:fill="FFFFFF" w:themeFill="background1"/>
          </w:tcPr>
          <w:p w14:paraId="2AB240A6">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31656.13-2021 或农业部 783 号公告-1-2006</w:t>
            </w:r>
          </w:p>
        </w:tc>
        <w:tc>
          <w:tcPr>
            <w:tcW w:w="2200" w:type="dxa"/>
            <w:shd w:val="clear" w:color="auto" w:fill="FFFFFF" w:themeFill="background1"/>
          </w:tcPr>
          <w:p w14:paraId="12D395B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不得检出（&lt;1.0 μg/kg）</w:t>
            </w:r>
          </w:p>
        </w:tc>
      </w:tr>
      <w:tr w14:paraId="77FC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shd w:val="clear" w:color="auto" w:fill="FFFFFF" w:themeFill="background1"/>
          </w:tcPr>
          <w:p w14:paraId="63329B3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常规药物磺胺类（12 种）</w:t>
            </w:r>
          </w:p>
        </w:tc>
        <w:tc>
          <w:tcPr>
            <w:tcW w:w="3226" w:type="dxa"/>
            <w:shd w:val="clear" w:color="auto" w:fill="FFFFFF" w:themeFill="background1"/>
          </w:tcPr>
          <w:p w14:paraId="602F60F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1077 号公告-1-2008</w:t>
            </w:r>
          </w:p>
        </w:tc>
        <w:tc>
          <w:tcPr>
            <w:tcW w:w="2200" w:type="dxa"/>
            <w:shd w:val="clear" w:color="auto" w:fill="FFFFFF" w:themeFill="background1"/>
          </w:tcPr>
          <w:p w14:paraId="3D94B4B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总和 ≤100 μg/kg</w:t>
            </w:r>
          </w:p>
        </w:tc>
      </w:tr>
      <w:tr w14:paraId="4A54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shd w:val="clear" w:color="auto" w:fill="FFFFFF" w:themeFill="background1"/>
          </w:tcPr>
          <w:p w14:paraId="278BEE2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常规药物氟喹诺酮类（恩诺沙星、环丙沙星）</w:t>
            </w:r>
          </w:p>
        </w:tc>
        <w:tc>
          <w:tcPr>
            <w:tcW w:w="3226" w:type="dxa"/>
            <w:shd w:val="clear" w:color="auto" w:fill="FFFFFF" w:themeFill="background1"/>
          </w:tcPr>
          <w:p w14:paraId="642FEFE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1077 号公告-1-2008</w:t>
            </w:r>
          </w:p>
        </w:tc>
        <w:tc>
          <w:tcPr>
            <w:tcW w:w="2200" w:type="dxa"/>
            <w:shd w:val="clear" w:color="auto" w:fill="FFFFFF" w:themeFill="background1"/>
          </w:tcPr>
          <w:p w14:paraId="6EE49FF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总和 ≤100 μg/kg</w:t>
            </w:r>
          </w:p>
        </w:tc>
      </w:tr>
      <w:tr w14:paraId="6ED13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75136CB5">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食品动物中停止使用药物氟喹诺酮类（诺氟沙星、氧氟沙星、培氟沙星、洛美沙星）</w:t>
            </w:r>
          </w:p>
        </w:tc>
        <w:tc>
          <w:tcPr>
            <w:tcW w:w="3226" w:type="dxa"/>
            <w:shd w:val="clear" w:color="auto" w:fill="FFFFFF" w:themeFill="background1"/>
          </w:tcPr>
          <w:p w14:paraId="7C3D7347">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农业部 1077 号公告-1-2008</w:t>
            </w:r>
          </w:p>
        </w:tc>
        <w:tc>
          <w:tcPr>
            <w:tcW w:w="2200" w:type="dxa"/>
            <w:shd w:val="clear" w:color="auto" w:fill="FFFFFF" w:themeFill="background1"/>
          </w:tcPr>
          <w:p w14:paraId="6425D32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各分项 ≤2.0 μg/kg</w:t>
            </w:r>
          </w:p>
        </w:tc>
      </w:tr>
      <w:tr w14:paraId="3A81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3600" w:type="dxa"/>
            <w:shd w:val="clear" w:color="auto" w:fill="FFFFFF" w:themeFill="background1"/>
          </w:tcPr>
          <w:p w14:paraId="36D15AE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常规药物抗菌增效剂（甲氧苄啶）</w:t>
            </w:r>
          </w:p>
        </w:tc>
        <w:tc>
          <w:tcPr>
            <w:tcW w:w="3226" w:type="dxa"/>
            <w:shd w:val="clear" w:color="auto" w:fill="FFFFFF" w:themeFill="background1"/>
          </w:tcPr>
          <w:p w14:paraId="141F5F4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GB 29702-2013 或 GB/T 21316-2007</w:t>
            </w:r>
          </w:p>
        </w:tc>
        <w:tc>
          <w:tcPr>
            <w:tcW w:w="2200" w:type="dxa"/>
            <w:shd w:val="clear" w:color="auto" w:fill="FFFFFF" w:themeFill="background1"/>
          </w:tcPr>
          <w:p w14:paraId="1B76675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≤50 μg/kg</w:t>
            </w:r>
          </w:p>
        </w:tc>
      </w:tr>
    </w:tbl>
    <w:p w14:paraId="2C8177F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六、成果交付要求与时间节点落实</w:t>
      </w:r>
    </w:p>
    <w:p w14:paraId="67522573">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本项目不按季度或固定月份划分监测轮次，而是紧密结合杨凌农业生产实际和农产品采收上市节奏组织实施。全年按两个报告期集中交付成果，具体抽样时间、品类重点由采购人根据农时另行排定并提前通知。</w:t>
      </w:r>
    </w:p>
    <w:tbl>
      <w:tblPr>
        <w:tblStyle w:val="17"/>
        <w:tblW w:w="9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900"/>
        <w:gridCol w:w="2500"/>
        <w:gridCol w:w="3426"/>
        <w:gridCol w:w="1400"/>
      </w:tblGrid>
      <w:tr w14:paraId="5088E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0" w:type="dxa"/>
            <w:shd w:val="clear" w:color="auto" w:fill="FFFFFF" w:themeFill="background1"/>
          </w:tcPr>
          <w:p w14:paraId="629139D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报告期</w:t>
            </w:r>
          </w:p>
        </w:tc>
        <w:tc>
          <w:tcPr>
            <w:tcW w:w="2500" w:type="dxa"/>
            <w:shd w:val="clear" w:color="auto" w:fill="FFFFFF" w:themeFill="background1"/>
          </w:tcPr>
          <w:p w14:paraId="6DE18DF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时间节点</w:t>
            </w:r>
          </w:p>
        </w:tc>
        <w:tc>
          <w:tcPr>
            <w:tcW w:w="3426" w:type="dxa"/>
            <w:shd w:val="clear" w:color="auto" w:fill="FFFFFF" w:themeFill="background1"/>
          </w:tcPr>
          <w:p w14:paraId="31A5AFFC">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交付成果</w:t>
            </w:r>
          </w:p>
        </w:tc>
        <w:tc>
          <w:tcPr>
            <w:tcW w:w="1400" w:type="dxa"/>
            <w:shd w:val="clear" w:color="auto" w:fill="FFFFFF" w:themeFill="background1"/>
          </w:tcPr>
          <w:p w14:paraId="0AB9AE1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覆盖重点</w:t>
            </w:r>
          </w:p>
        </w:tc>
      </w:tr>
      <w:tr w14:paraId="1E5D0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900" w:type="dxa"/>
            <w:shd w:val="clear" w:color="auto" w:fill="FFFFFF" w:themeFill="background1"/>
          </w:tcPr>
          <w:p w14:paraId="3959620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第一期（当年度）</w:t>
            </w:r>
          </w:p>
        </w:tc>
        <w:tc>
          <w:tcPr>
            <w:tcW w:w="2500" w:type="dxa"/>
            <w:shd w:val="clear" w:color="auto" w:fill="FFFFFF" w:themeFill="background1"/>
          </w:tcPr>
          <w:p w14:paraId="154CC20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2026 年 12 月底前</w:t>
            </w:r>
          </w:p>
        </w:tc>
        <w:tc>
          <w:tcPr>
            <w:tcW w:w="3426" w:type="dxa"/>
            <w:shd w:val="clear" w:color="auto" w:fill="FFFFFF" w:themeFill="background1"/>
          </w:tcPr>
          <w:p w14:paraId="76F0987B">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当年度各轮次监测数据汇总表、当年度监测结果分析报告（加盖公章）</w:t>
            </w:r>
          </w:p>
        </w:tc>
        <w:tc>
          <w:tcPr>
            <w:tcW w:w="1400" w:type="dxa"/>
            <w:shd w:val="clear" w:color="auto" w:fill="FFFFFF" w:themeFill="background1"/>
          </w:tcPr>
          <w:p w14:paraId="6CA748EF">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夏秋蔬菜、葡萄、猕猴桃、冬枣及夏秋茬畜禽产品</w:t>
            </w:r>
          </w:p>
        </w:tc>
      </w:tr>
      <w:tr w14:paraId="7DF8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900" w:type="dxa"/>
            <w:shd w:val="clear" w:color="auto" w:fill="FFFFFF" w:themeFill="background1"/>
          </w:tcPr>
          <w:p w14:paraId="06FF0AFA">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第二期（服务期末）</w:t>
            </w:r>
          </w:p>
        </w:tc>
        <w:tc>
          <w:tcPr>
            <w:tcW w:w="2500" w:type="dxa"/>
            <w:shd w:val="clear" w:color="auto" w:fill="FFFFFF" w:themeFill="background1"/>
          </w:tcPr>
          <w:p w14:paraId="42261A3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服务期满前（合同届满前 10 个工作日）</w:t>
            </w:r>
          </w:p>
        </w:tc>
        <w:tc>
          <w:tcPr>
            <w:tcW w:w="3426" w:type="dxa"/>
            <w:shd w:val="clear" w:color="auto" w:fill="FFFFFF" w:themeFill="background1"/>
          </w:tcPr>
          <w:p w14:paraId="780768A0">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服务期内全部剩余监测数据汇总表、全过程监测结果分析报告（加盖公章）</w:t>
            </w:r>
          </w:p>
        </w:tc>
        <w:tc>
          <w:tcPr>
            <w:tcW w:w="1400" w:type="dxa"/>
            <w:shd w:val="clear" w:color="auto" w:fill="FFFFFF" w:themeFill="background1"/>
          </w:tcPr>
          <w:p w14:paraId="359CF901">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秋冬季蔬菜、设施蔬菜、草莓及秋冬茬畜禽产品</w:t>
            </w:r>
          </w:p>
        </w:tc>
      </w:tr>
      <w:tr w14:paraId="2408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1900" w:type="dxa"/>
            <w:shd w:val="clear" w:color="auto" w:fill="FFFFFF" w:themeFill="background1"/>
          </w:tcPr>
          <w:p w14:paraId="4ADF124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全过程（不受报告期限制）</w:t>
            </w:r>
          </w:p>
        </w:tc>
        <w:tc>
          <w:tcPr>
            <w:tcW w:w="2500" w:type="dxa"/>
            <w:shd w:val="clear" w:color="auto" w:fill="FFFFFF" w:themeFill="background1"/>
          </w:tcPr>
          <w:p w14:paraId="7E21B64E">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阳性（不合格）样品自检出之日起 24 小时内</w:t>
            </w:r>
          </w:p>
        </w:tc>
        <w:tc>
          <w:tcPr>
            <w:tcW w:w="3426" w:type="dxa"/>
            <w:shd w:val="clear" w:color="auto" w:fill="FFFFFF" w:themeFill="background1"/>
          </w:tcPr>
          <w:p w14:paraId="28CA1C79">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不合格样品专项报告及处置建议</w:t>
            </w:r>
          </w:p>
        </w:tc>
        <w:tc>
          <w:tcPr>
            <w:tcW w:w="1400" w:type="dxa"/>
            <w:shd w:val="clear" w:color="auto" w:fill="FFFFFF" w:themeFill="background1"/>
          </w:tcPr>
          <w:p w14:paraId="41102C72">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随时发现、随时报送</w:t>
            </w:r>
          </w:p>
        </w:tc>
      </w:tr>
    </w:tbl>
    <w:p w14:paraId="413D8E0F">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抽样时间安排原则：由采购人结合农业生产实际确定，重点紧盯农产品采收上市关键期，对豇豆、芹菜、葱、甘薯、辣椒、猕猴桃、葡萄、草莓、冬枣、鸡蛋、禽肉、猪肉等品种，在其集中上市时段加密抽样；直供学校农产品、重点治理品种实行常态化抽查。中标人须按采购人通知的时间、地点、品类要求准时到场抽样，不得以自身排期、车辆调度等为由拒绝或延迟。</w:t>
      </w:r>
    </w:p>
    <w:p w14:paraId="051FA6E7">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两期报告内容统一要求：监测结果总体概况、监测基本情况、当地监测产品的销售和质量总体情况、监测结果分析、监管建议五项内容缺一不可；所有上报用电子表格以陕西省农检中心统一提供的模板为准，逐批填写，未检出项不得擅改默认值。</w:t>
      </w:r>
    </w:p>
    <w:p w14:paraId="4331C72A">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过程资料：抽样单据、封样记录、样品交接记录、原始记录、谱图、质控记录等全套档案随成果一并归档移交，检测机构须自行留存一套，保存期不少于 6 年。</w:t>
      </w:r>
    </w:p>
    <w:p w14:paraId="24360484">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七、商务要求与考核</w:t>
      </w:r>
    </w:p>
    <w:p w14:paraId="445A359E">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报价方式：本项目 420 批次为打包任务，按总价包干报价，报价须包含抽样、样品运输保存、检测、报告、税费、差旅等全部费用，采购人不再另行支付任何费用；监督抽查 40 批次、屠宰环节 20 份不另行计价。</w:t>
      </w:r>
    </w:p>
    <w:p w14:paraId="13400D52">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付款方式：合同签订后支付预付款 30%；完成全年监测任务并验收合格后支付剩余 70%（具体以签订合同为准）。</w:t>
      </w:r>
    </w:p>
    <w:p w14:paraId="38E9B025">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履约考核：采购人按 420 批次总量、品类结构比例及两个报告期节点，对样品代表性、检测时效、数据质量、报告规范性、农时配合度进行逐项考核；任一报告期逾期或任务量不足即视为违约；出现数据造假、资质失效等情形的，采购人有权解除合同并追究责任。</w:t>
      </w:r>
    </w:p>
    <w:p w14:paraId="2D972A28">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保密要求：对监测数据、被抽样主体信息、执法线索等严格保密，未经书面同意不得对外发布。</w:t>
      </w:r>
    </w:p>
    <w:p w14:paraId="56A58AAD">
      <w:pPr>
        <w:spacing w:line="360" w:lineRule="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八、验收标准</w:t>
      </w:r>
    </w:p>
    <w:p w14:paraId="3E7DEE2D">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任务完成率 100%：实际完成 420 批次，不得少检、漏检、以同一样品重复计批。</w:t>
      </w:r>
    </w:p>
    <w:p w14:paraId="28F208E6">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样品结构达标：畜禽产品不少于 84 批次（≥20%）、水产品不少于 5 批次（≥1%）、认证农产品不少于 147 批次（≥35%）。</w:t>
      </w:r>
    </w:p>
    <w:p w14:paraId="67F35CC8">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 两期报告按期交付：第一期于 2026 年 12 月底前、第二期于服务期满前提交，报告内容完整、签章齐全；阳性样品 24 小时内即时报告。</w:t>
      </w:r>
    </w:p>
    <w:p w14:paraId="22469893">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 检测报告齐全、数据准确、签章完备，CMA 资质覆盖所检参数。</w:t>
      </w:r>
    </w:p>
    <w:p w14:paraId="47F32295">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 阳性（不合格）样品自检出之日起 24 小时内报告采购人，无漏报、迟报、瞒报。</w:t>
      </w:r>
    </w:p>
    <w:p w14:paraId="60583EC2">
      <w:pPr>
        <w:spacing w:line="360" w:lineRule="auto"/>
        <w:ind w:firstLine="480"/>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 按采购人排定的农时抽样计划准时到场，无拒绝、延迟抽样情形；顺利通过陕西省农检中心组织的能力验证；原始记录与档案完整，随时可查。</w:t>
      </w:r>
    </w:p>
    <w:p w14:paraId="5F8BB8BF">
      <w:pPr>
        <w:spacing w:line="360" w:lineRule="auto"/>
        <w:ind w:firstLine="480" w:firstLineChars="200"/>
        <w:rPr>
          <w:rFonts w:hint="eastAsia" w:ascii="宋体" w:hAnsi="宋体" w:eastAsia="宋体" w:cs="宋体"/>
          <w:sz w:val="24"/>
          <w:szCs w:val="24"/>
          <w:highlight w:val="none"/>
          <w:lang w:val="en-US" w:eastAsia="zh-CN"/>
        </w:rPr>
      </w:pPr>
    </w:p>
    <w:p w14:paraId="220DE8C0">
      <w:pPr>
        <w:rPr>
          <w:rFonts w:hint="eastAsia" w:ascii="宋体" w:hAnsi="宋体" w:cs="宋体"/>
          <w:sz w:val="36"/>
          <w:szCs w:val="36"/>
          <w:highlight w:val="none"/>
        </w:rPr>
      </w:pPr>
      <w:r>
        <w:rPr>
          <w:rFonts w:hint="eastAsia" w:ascii="宋体" w:hAnsi="宋体" w:cs="宋体"/>
          <w:sz w:val="36"/>
          <w:szCs w:val="36"/>
          <w:highlight w:val="none"/>
        </w:rPr>
        <w:br w:type="page"/>
      </w:r>
    </w:p>
    <w:p w14:paraId="19A21EEA">
      <w:pPr>
        <w:pStyle w:val="2"/>
        <w:jc w:val="center"/>
        <w:rPr>
          <w:rFonts w:hint="eastAsia" w:ascii="宋体" w:hAnsi="宋体" w:cs="宋体"/>
          <w:sz w:val="36"/>
          <w:szCs w:val="36"/>
          <w:highlight w:val="none"/>
        </w:rPr>
      </w:pPr>
      <w:r>
        <w:rPr>
          <w:rFonts w:hint="eastAsia" w:ascii="宋体" w:hAnsi="宋体" w:cs="宋体"/>
          <w:sz w:val="36"/>
          <w:szCs w:val="36"/>
          <w:highlight w:val="none"/>
        </w:rPr>
        <w:t xml:space="preserve">第四章 </w:t>
      </w:r>
      <w:bookmarkEnd w:id="26"/>
      <w:bookmarkEnd w:id="27"/>
      <w:bookmarkEnd w:id="28"/>
      <w:bookmarkEnd w:id="29"/>
      <w:bookmarkStart w:id="31" w:name="_Toc2068"/>
      <w:r>
        <w:rPr>
          <w:rFonts w:hint="eastAsia" w:ascii="宋体" w:hAnsi="宋体" w:cs="宋体"/>
          <w:sz w:val="36"/>
          <w:szCs w:val="36"/>
          <w:highlight w:val="none"/>
        </w:rPr>
        <w:t>合同条款及格式</w:t>
      </w:r>
      <w:bookmarkEnd w:id="30"/>
      <w:bookmarkEnd w:id="31"/>
    </w:p>
    <w:p w14:paraId="3ED5E6CD">
      <w:pPr>
        <w:pStyle w:val="3"/>
        <w:spacing w:line="240" w:lineRule="auto"/>
        <w:jc w:val="center"/>
        <w:rPr>
          <w:rFonts w:ascii="宋体" w:hAnsi="宋体" w:cs="宋体"/>
          <w:highlight w:val="none"/>
        </w:rPr>
      </w:pPr>
      <w:bookmarkStart w:id="32" w:name="_Toc30560"/>
      <w:bookmarkStart w:id="33" w:name="_Toc5676"/>
      <w:r>
        <w:rPr>
          <w:rFonts w:hint="eastAsia" w:ascii="宋体" w:hAnsi="宋体" w:cs="宋体"/>
          <w:highlight w:val="none"/>
        </w:rPr>
        <w:t>合同条款及格式前附表</w:t>
      </w:r>
      <w:bookmarkEnd w:id="32"/>
      <w:bookmarkEnd w:id="33"/>
    </w:p>
    <w:p w14:paraId="50284FAA">
      <w:pPr>
        <w:ind w:firstLine="480" w:firstLineChars="200"/>
        <w:rPr>
          <w:rFonts w:ascii="宋体" w:hAnsi="宋体" w:cs="宋体"/>
          <w:bCs/>
          <w:sz w:val="36"/>
          <w:szCs w:val="36"/>
          <w:highlight w:val="none"/>
        </w:rPr>
      </w:pPr>
      <w:r>
        <w:rPr>
          <w:rFonts w:hint="eastAsia" w:ascii="宋体" w:hAnsi="宋体" w:cs="宋体"/>
          <w:sz w:val="24"/>
          <w:szCs w:val="24"/>
          <w:highlight w:val="none"/>
        </w:rPr>
        <w:t>本表是对合同条款的具体补充和修改，如有矛盾，应以本资料表为准。</w:t>
      </w:r>
    </w:p>
    <w:tbl>
      <w:tblPr>
        <w:tblStyle w:val="17"/>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05"/>
        <w:gridCol w:w="8228"/>
      </w:tblGrid>
      <w:tr w14:paraId="156BF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544" w:type="pct"/>
            <w:vAlign w:val="center"/>
          </w:tcPr>
          <w:p w14:paraId="388D4F72">
            <w:pPr>
              <w:spacing w:line="360" w:lineRule="auto"/>
              <w:jc w:val="center"/>
              <w:rPr>
                <w:rFonts w:hint="eastAsia" w:ascii="宋体" w:hAnsi="宋体" w:eastAsia="宋体" w:cs="宋体"/>
                <w:sz w:val="24"/>
                <w:szCs w:val="24"/>
                <w:highlight w:val="none"/>
              </w:rPr>
            </w:pPr>
            <w:bookmarkStart w:id="34" w:name="_Toc19246"/>
            <w:bookmarkStart w:id="35" w:name="_Toc4679"/>
            <w:bookmarkStart w:id="36" w:name="_Toc389582037"/>
            <w:bookmarkStart w:id="37" w:name="_Toc31520"/>
            <w:bookmarkStart w:id="38" w:name="_Toc19199"/>
            <w:bookmarkStart w:id="39" w:name="_Toc26595"/>
            <w:bookmarkStart w:id="40" w:name="_Toc8333"/>
            <w:bookmarkStart w:id="41" w:name="_Toc29888"/>
            <w:r>
              <w:rPr>
                <w:rFonts w:hint="eastAsia" w:ascii="宋体" w:hAnsi="宋体" w:eastAsia="宋体" w:cs="宋体"/>
                <w:sz w:val="24"/>
                <w:szCs w:val="24"/>
                <w:highlight w:val="none"/>
              </w:rPr>
              <w:t>条款号</w:t>
            </w:r>
          </w:p>
        </w:tc>
        <w:tc>
          <w:tcPr>
            <w:tcW w:w="4455" w:type="pct"/>
            <w:vAlign w:val="center"/>
          </w:tcPr>
          <w:p w14:paraId="478F013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r>
      <w:tr w14:paraId="00722B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67" w:hRule="exact"/>
        </w:trPr>
        <w:tc>
          <w:tcPr>
            <w:tcW w:w="544" w:type="pct"/>
            <w:vAlign w:val="center"/>
          </w:tcPr>
          <w:p w14:paraId="32EC360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455" w:type="pct"/>
            <w:vAlign w:val="center"/>
          </w:tcPr>
          <w:p w14:paraId="5B1E9DB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采购人名称：</w:t>
            </w:r>
            <w:r>
              <w:rPr>
                <w:rFonts w:hint="eastAsia" w:ascii="宋体" w:hAnsi="宋体" w:cs="宋体"/>
                <w:sz w:val="24"/>
                <w:szCs w:val="24"/>
                <w:highlight w:val="none"/>
                <w:lang w:eastAsia="zh-CN"/>
              </w:rPr>
              <w:t>杨凌示范区现代农业和乡村振兴局</w:t>
            </w:r>
          </w:p>
          <w:p w14:paraId="0559991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lang w:eastAsia="zh-CN"/>
              </w:rPr>
              <w:t>杨凌示范区政务大厦526室</w:t>
            </w:r>
          </w:p>
          <w:p w14:paraId="4BB08C54">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2026年度杨凌示范区农产品质量安全监测项目(二次)</w:t>
            </w:r>
          </w:p>
        </w:tc>
      </w:tr>
      <w:tr w14:paraId="6B352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exact"/>
        </w:trPr>
        <w:tc>
          <w:tcPr>
            <w:tcW w:w="544" w:type="pct"/>
            <w:vAlign w:val="center"/>
          </w:tcPr>
          <w:p w14:paraId="2D7D64D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455" w:type="pct"/>
            <w:vAlign w:val="center"/>
          </w:tcPr>
          <w:p w14:paraId="0896FF3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服务地点：采购人指定地点</w:t>
            </w:r>
          </w:p>
        </w:tc>
      </w:tr>
      <w:tr w14:paraId="4B4C7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34" w:hRule="exact"/>
        </w:trPr>
        <w:tc>
          <w:tcPr>
            <w:tcW w:w="544" w:type="pct"/>
            <w:vAlign w:val="center"/>
          </w:tcPr>
          <w:p w14:paraId="2295B1F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455" w:type="pct"/>
            <w:vAlign w:val="center"/>
          </w:tcPr>
          <w:p w14:paraId="6700792E">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服务期：</w:t>
            </w:r>
            <w:r>
              <w:rPr>
                <w:rFonts w:hint="eastAsia" w:ascii="宋体" w:hAnsi="宋体" w:cs="宋体"/>
                <w:sz w:val="24"/>
                <w:szCs w:val="24"/>
                <w:highlight w:val="none"/>
                <w:lang w:val="en-US" w:eastAsia="zh-CN"/>
              </w:rPr>
              <w:t>自合同签订生效之日起9个月</w:t>
            </w:r>
          </w:p>
        </w:tc>
      </w:tr>
      <w:tr w14:paraId="2C67E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544" w:type="pct"/>
            <w:vAlign w:val="center"/>
          </w:tcPr>
          <w:p w14:paraId="4714E5F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455" w:type="pct"/>
            <w:vAlign w:val="center"/>
          </w:tcPr>
          <w:p w14:paraId="6417169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1.供应商所报的价格应考虑到可能发生的所有与完成本项目相关服务及履行合同义务有关的一切费用，任何有选择的报价将不予接受，按无效谈判处理。</w:t>
            </w:r>
          </w:p>
          <w:p w14:paraId="42BA1E9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2.由采购人负责结算。</w:t>
            </w:r>
          </w:p>
          <w:p w14:paraId="035F25C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3.付款方式和程序：</w:t>
            </w:r>
          </w:p>
          <w:p w14:paraId="0FA6852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付款方式：合同签订后支付预付款 30%；完成全年监测任务并验收合格后支付剩余 70%（具体以签订合同为准）</w:t>
            </w:r>
          </w:p>
          <w:p w14:paraId="0FC6DD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4.支付方式：银行转账</w:t>
            </w:r>
          </w:p>
        </w:tc>
      </w:tr>
      <w:tr w14:paraId="6AC38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2" w:hRule="atLeast"/>
        </w:trPr>
        <w:tc>
          <w:tcPr>
            <w:tcW w:w="544" w:type="pct"/>
            <w:vAlign w:val="center"/>
          </w:tcPr>
          <w:p w14:paraId="2951E1B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455" w:type="pct"/>
            <w:vAlign w:val="center"/>
          </w:tcPr>
          <w:p w14:paraId="3CA2DDE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49A31DBC">
            <w:pPr>
              <w:tabs>
                <w:tab w:val="left" w:pos="152"/>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1、按《中华人民共和国民法典》中的相关条款执行。</w:t>
            </w:r>
          </w:p>
          <w:p w14:paraId="4DDD2D2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中华人民共和国政府采购法》及相关法律法规对服务商的违法行为进行相应的处罚。</w:t>
            </w:r>
          </w:p>
        </w:tc>
      </w:tr>
      <w:tr w14:paraId="03ABE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2" w:hRule="atLeast"/>
        </w:trPr>
        <w:tc>
          <w:tcPr>
            <w:tcW w:w="544" w:type="pct"/>
            <w:vAlign w:val="center"/>
          </w:tcPr>
          <w:p w14:paraId="0641DA4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4455" w:type="pct"/>
            <w:vAlign w:val="center"/>
          </w:tcPr>
          <w:p w14:paraId="53EA0F57">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w:t>
            </w:r>
          </w:p>
          <w:p w14:paraId="5B68722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政府采购合同适用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中华人民共和国民法典</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。采购人和供应商之间的权利和义务，应当按照平等、自愿的原则以合同方式约定。</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采购人与中标、成交供应商应当在中标、成交通知书发出之日起三十日内，按照采购文件确定的事项签订政府采购合同。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7B03F29B">
            <w:pPr>
              <w:pStyle w:val="11"/>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政府采购合同的双方当事人不得擅自变更、中止或者终止合同。</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4BD63653">
      <w:pPr>
        <w:rPr>
          <w:rFonts w:ascii="宋体" w:hAnsi="宋体" w:cs="宋体"/>
          <w:b/>
          <w:bCs/>
          <w:sz w:val="48"/>
          <w:szCs w:val="48"/>
          <w:highlight w:val="none"/>
        </w:rPr>
      </w:pPr>
      <w:r>
        <w:rPr>
          <w:rFonts w:hint="eastAsia" w:ascii="宋体" w:hAnsi="宋体" w:cs="宋体"/>
          <w:b/>
          <w:bCs/>
          <w:sz w:val="48"/>
          <w:szCs w:val="48"/>
          <w:highlight w:val="none"/>
        </w:rPr>
        <w:br w:type="page"/>
      </w:r>
    </w:p>
    <w:p w14:paraId="6095B37A">
      <w:pPr>
        <w:outlineLvl w:val="1"/>
        <w:rPr>
          <w:rFonts w:hint="eastAsia" w:hAnsi="宋体" w:cs="宋体"/>
          <w:b/>
          <w:sz w:val="32"/>
          <w:szCs w:val="32"/>
          <w:highlight w:val="none"/>
        </w:rPr>
      </w:pPr>
      <w:bookmarkStart w:id="42" w:name="_Toc1362"/>
      <w:bookmarkStart w:id="43" w:name="_Toc7874"/>
      <w:bookmarkStart w:id="44" w:name="_Toc5216"/>
      <w:bookmarkStart w:id="45" w:name="_Toc18120"/>
      <w:r>
        <w:rPr>
          <w:rFonts w:hint="eastAsia" w:hAnsi="宋体" w:cs="宋体"/>
          <w:b/>
          <w:sz w:val="32"/>
          <w:szCs w:val="32"/>
          <w:highlight w:val="none"/>
        </w:rPr>
        <w:t>政府采购项目</w:t>
      </w:r>
      <w:r>
        <w:rPr>
          <w:rFonts w:hint="eastAsia" w:hAnsi="宋体" w:cs="宋体"/>
          <w:b/>
          <w:bCs/>
          <w:sz w:val="28"/>
          <w:szCs w:val="28"/>
          <w:highlight w:val="none"/>
        </w:rPr>
        <w:t>（</w:t>
      </w:r>
      <w:r>
        <w:rPr>
          <w:rFonts w:hint="eastAsia" w:hAnsi="宋体" w:cs="宋体"/>
          <w:b/>
          <w:sz w:val="32"/>
          <w:szCs w:val="32"/>
          <w:highlight w:val="none"/>
        </w:rPr>
        <w:t>仅供参考）</w:t>
      </w:r>
      <w:bookmarkEnd w:id="42"/>
      <w:bookmarkEnd w:id="43"/>
      <w:bookmarkEnd w:id="44"/>
      <w:bookmarkEnd w:id="45"/>
      <w:r>
        <w:rPr>
          <w:rFonts w:hint="eastAsia" w:hAnsi="宋体" w:cs="宋体"/>
          <w:b/>
          <w:sz w:val="32"/>
          <w:szCs w:val="32"/>
          <w:highlight w:val="none"/>
        </w:rPr>
        <w:t xml:space="preserve">                  </w:t>
      </w:r>
    </w:p>
    <w:p w14:paraId="6A133479">
      <w:pPr>
        <w:rPr>
          <w:rFonts w:hint="eastAsia" w:hAnsi="宋体" w:cs="宋体"/>
          <w:b/>
          <w:sz w:val="32"/>
          <w:szCs w:val="32"/>
          <w:highlight w:val="none"/>
        </w:rPr>
      </w:pPr>
      <w:r>
        <w:rPr>
          <w:rFonts w:hint="eastAsia" w:hAnsi="宋体" w:cs="宋体"/>
          <w:b/>
          <w:sz w:val="32"/>
          <w:szCs w:val="32"/>
          <w:highlight w:val="none"/>
        </w:rPr>
        <w:t xml:space="preserve">          </w:t>
      </w:r>
    </w:p>
    <w:p w14:paraId="7DD0E809">
      <w:pPr>
        <w:jc w:val="center"/>
        <w:rPr>
          <w:rFonts w:hint="eastAsia" w:hAnsi="宋体" w:cs="宋体"/>
          <w:sz w:val="52"/>
          <w:szCs w:val="52"/>
          <w:highlight w:val="none"/>
        </w:rPr>
      </w:pPr>
    </w:p>
    <w:p w14:paraId="5262988E">
      <w:pPr>
        <w:jc w:val="center"/>
        <w:rPr>
          <w:rFonts w:hint="eastAsia" w:hAnsi="宋体" w:cs="宋体"/>
          <w:sz w:val="52"/>
          <w:szCs w:val="52"/>
          <w:highlight w:val="none"/>
        </w:rPr>
      </w:pPr>
    </w:p>
    <w:p w14:paraId="2B836005">
      <w:pPr>
        <w:jc w:val="center"/>
        <w:rPr>
          <w:rFonts w:hint="eastAsia" w:hAnsi="宋体" w:cs="宋体"/>
          <w:b/>
          <w:snapToGrid w:val="0"/>
          <w:sz w:val="48"/>
          <w:szCs w:val="48"/>
          <w:highlight w:val="none"/>
          <w:u w:val="single"/>
        </w:rPr>
      </w:pPr>
      <w:r>
        <w:rPr>
          <w:rFonts w:hint="eastAsia" w:hAnsi="宋体" w:cs="宋体"/>
          <w:b/>
          <w:snapToGrid w:val="0"/>
          <w:sz w:val="48"/>
          <w:szCs w:val="48"/>
          <w:highlight w:val="none"/>
          <w:u w:val="single"/>
        </w:rPr>
        <w:t>(项目名称)</w:t>
      </w:r>
    </w:p>
    <w:p w14:paraId="6A0770E3">
      <w:pPr>
        <w:jc w:val="center"/>
        <w:rPr>
          <w:rFonts w:hint="eastAsia" w:hAnsi="宋体" w:cs="宋体"/>
          <w:b/>
          <w:sz w:val="72"/>
          <w:szCs w:val="72"/>
          <w:highlight w:val="none"/>
        </w:rPr>
      </w:pPr>
      <w:r>
        <w:rPr>
          <w:rFonts w:hint="eastAsia" w:hAnsi="宋体" w:cs="宋体"/>
          <w:b/>
          <w:sz w:val="72"/>
          <w:szCs w:val="72"/>
          <w:highlight w:val="none"/>
        </w:rPr>
        <w:t>服 务 合 同</w:t>
      </w:r>
    </w:p>
    <w:p w14:paraId="3A82A2D6">
      <w:pPr>
        <w:jc w:val="center"/>
        <w:rPr>
          <w:rFonts w:hint="eastAsia" w:hAnsi="宋体" w:cs="宋体"/>
          <w:sz w:val="30"/>
          <w:szCs w:val="30"/>
          <w:highlight w:val="none"/>
        </w:rPr>
      </w:pPr>
      <w:r>
        <w:rPr>
          <w:rFonts w:hint="eastAsia" w:hAnsi="宋体" w:cs="宋体"/>
          <w:sz w:val="30"/>
          <w:szCs w:val="30"/>
          <w:highlight w:val="none"/>
        </w:rPr>
        <w:t xml:space="preserve">（项目编号：      </w:t>
      </w:r>
      <w:r>
        <w:rPr>
          <w:rFonts w:hint="eastAsia" w:hAnsi="宋体" w:cs="宋体"/>
          <w:sz w:val="28"/>
          <w:szCs w:val="28"/>
          <w:highlight w:val="none"/>
        </w:rPr>
        <w:t>）</w:t>
      </w:r>
    </w:p>
    <w:p w14:paraId="40ADB493">
      <w:pPr>
        <w:jc w:val="center"/>
        <w:rPr>
          <w:rFonts w:hint="eastAsia" w:hAnsi="宋体" w:cs="宋体"/>
          <w:sz w:val="30"/>
          <w:szCs w:val="30"/>
          <w:highlight w:val="none"/>
        </w:rPr>
      </w:pPr>
    </w:p>
    <w:p w14:paraId="62F53428">
      <w:pPr>
        <w:jc w:val="center"/>
        <w:rPr>
          <w:rFonts w:hint="eastAsia" w:hAnsi="宋体" w:cs="宋体"/>
          <w:sz w:val="30"/>
          <w:szCs w:val="30"/>
          <w:highlight w:val="none"/>
        </w:rPr>
      </w:pPr>
    </w:p>
    <w:p w14:paraId="73DECAAE">
      <w:pPr>
        <w:jc w:val="center"/>
        <w:rPr>
          <w:rFonts w:hint="eastAsia" w:hAnsi="宋体" w:cs="宋体"/>
          <w:sz w:val="30"/>
          <w:szCs w:val="30"/>
          <w:highlight w:val="none"/>
        </w:rPr>
      </w:pPr>
    </w:p>
    <w:p w14:paraId="4512617B">
      <w:pPr>
        <w:jc w:val="center"/>
        <w:rPr>
          <w:rFonts w:hint="eastAsia" w:hAnsi="宋体" w:cs="宋体"/>
          <w:sz w:val="30"/>
          <w:szCs w:val="30"/>
          <w:highlight w:val="none"/>
        </w:rPr>
      </w:pPr>
    </w:p>
    <w:p w14:paraId="6D3297A7">
      <w:pPr>
        <w:jc w:val="center"/>
        <w:rPr>
          <w:rFonts w:hint="eastAsia" w:hAnsi="宋体" w:cs="宋体"/>
          <w:sz w:val="30"/>
          <w:szCs w:val="30"/>
          <w:highlight w:val="none"/>
        </w:rPr>
      </w:pPr>
    </w:p>
    <w:p w14:paraId="48F0D80E">
      <w:pPr>
        <w:ind w:firstLine="2080" w:firstLineChars="650"/>
        <w:rPr>
          <w:rFonts w:hint="eastAsia" w:hAnsi="宋体" w:cs="宋体"/>
          <w:sz w:val="32"/>
          <w:szCs w:val="32"/>
          <w:highlight w:val="none"/>
        </w:rPr>
      </w:pPr>
      <w:r>
        <w:rPr>
          <w:rFonts w:hint="eastAsia" w:hAnsi="宋体" w:cs="宋体"/>
          <w:sz w:val="32"/>
          <w:szCs w:val="32"/>
          <w:highlight w:val="none"/>
        </w:rPr>
        <w:t xml:space="preserve">甲  方： </w:t>
      </w:r>
    </w:p>
    <w:p w14:paraId="5A9D6AA0">
      <w:pPr>
        <w:tabs>
          <w:tab w:val="left" w:pos="480"/>
        </w:tabs>
        <w:ind w:firstLine="640" w:firstLineChars="200"/>
        <w:rPr>
          <w:rFonts w:hint="eastAsia" w:hAnsi="宋体" w:cs="宋体"/>
          <w:sz w:val="32"/>
          <w:szCs w:val="32"/>
          <w:highlight w:val="none"/>
        </w:rPr>
      </w:pPr>
      <w:r>
        <w:rPr>
          <w:rFonts w:hint="eastAsia" w:hAnsi="宋体" w:cs="宋体"/>
          <w:sz w:val="32"/>
          <w:szCs w:val="32"/>
          <w:highlight w:val="none"/>
        </w:rPr>
        <w:t xml:space="preserve">         乙  方：</w:t>
      </w:r>
    </w:p>
    <w:p w14:paraId="64105849">
      <w:pPr>
        <w:jc w:val="center"/>
        <w:rPr>
          <w:rFonts w:hint="eastAsia" w:hAnsi="宋体" w:cs="宋体"/>
          <w:sz w:val="30"/>
          <w:szCs w:val="30"/>
          <w:highlight w:val="none"/>
        </w:rPr>
      </w:pPr>
    </w:p>
    <w:p w14:paraId="6217D264">
      <w:pPr>
        <w:jc w:val="center"/>
        <w:rPr>
          <w:rFonts w:hint="eastAsia" w:hAnsi="宋体" w:cs="宋体"/>
          <w:sz w:val="32"/>
          <w:szCs w:val="32"/>
          <w:highlight w:val="none"/>
        </w:rPr>
      </w:pPr>
      <w:r>
        <w:rPr>
          <w:rFonts w:hint="eastAsia" w:hAnsi="宋体" w:cs="宋体"/>
          <w:sz w:val="32"/>
          <w:szCs w:val="32"/>
          <w:highlight w:val="none"/>
        </w:rPr>
        <w:t xml:space="preserve">  年  月</w:t>
      </w:r>
    </w:p>
    <w:p w14:paraId="46EF396B">
      <w:pPr>
        <w:jc w:val="center"/>
        <w:rPr>
          <w:rFonts w:hint="eastAsia" w:hAnsi="宋体" w:cs="宋体"/>
          <w:sz w:val="32"/>
          <w:szCs w:val="32"/>
          <w:highlight w:val="none"/>
        </w:rPr>
      </w:pPr>
    </w:p>
    <w:p w14:paraId="627A97B5">
      <w:pPr>
        <w:spacing w:line="590" w:lineRule="exact"/>
        <w:rPr>
          <w:rFonts w:hint="eastAsia" w:hAnsi="宋体" w:cs="宋体"/>
          <w:b/>
          <w:sz w:val="36"/>
          <w:szCs w:val="36"/>
          <w:highlight w:val="none"/>
        </w:rPr>
      </w:pPr>
    </w:p>
    <w:p w14:paraId="141AF2CB">
      <w:pPr>
        <w:jc w:val="center"/>
        <w:outlineLvl w:val="2"/>
        <w:rPr>
          <w:rFonts w:ascii="黑体"/>
          <w:b/>
          <w:sz w:val="36"/>
          <w:szCs w:val="36"/>
          <w:highlight w:val="none"/>
        </w:rPr>
      </w:pPr>
      <w:r>
        <w:rPr>
          <w:rFonts w:hint="eastAsia" w:hAnsi="宋体" w:cs="宋体"/>
          <w:b/>
          <w:szCs w:val="21"/>
          <w:highlight w:val="none"/>
        </w:rPr>
        <w:br w:type="page"/>
      </w:r>
      <w:bookmarkStart w:id="46" w:name="_Toc7965"/>
      <w:bookmarkStart w:id="47" w:name="_Toc28398"/>
      <w:r>
        <w:rPr>
          <w:rFonts w:hint="eastAsia" w:ascii="黑体" w:eastAsia="黑体"/>
          <w:b/>
          <w:sz w:val="36"/>
          <w:szCs w:val="36"/>
          <w:highlight w:val="none"/>
        </w:rPr>
        <w:t>协 议 书</w:t>
      </w:r>
      <w:bookmarkEnd w:id="46"/>
      <w:bookmarkEnd w:id="47"/>
    </w:p>
    <w:p w14:paraId="68E108C5">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w:t>
      </w:r>
      <w:r>
        <w:rPr>
          <w:rFonts w:hint="eastAsia" w:ascii="宋体" w:hAnsi="宋体" w:eastAsia="宋体" w:cs="宋体"/>
          <w:sz w:val="24"/>
          <w:szCs w:val="24"/>
          <w:highlight w:val="none"/>
          <w:u w:val="single"/>
        </w:rPr>
        <w:t xml:space="preserve">             </w:t>
      </w:r>
    </w:p>
    <w:p w14:paraId="1C1A6228">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w:t>
      </w:r>
      <w:r>
        <w:rPr>
          <w:rFonts w:hint="eastAsia" w:ascii="宋体" w:hAnsi="宋体" w:eastAsia="宋体" w:cs="宋体"/>
          <w:sz w:val="24"/>
          <w:szCs w:val="24"/>
          <w:highlight w:val="none"/>
          <w:u w:val="single"/>
        </w:rPr>
        <w:t xml:space="preserve">             </w:t>
      </w:r>
    </w:p>
    <w:p w14:paraId="3B34644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根据《中华人民共和国民法典》、《中华人民共和国政府采购法》与项目行业有关的法律法规，以及本项目（</w:t>
      </w:r>
      <w:r>
        <w:rPr>
          <w:rFonts w:hint="eastAsia" w:ascii="宋体" w:hAnsi="宋体" w:cs="宋体"/>
          <w:sz w:val="24"/>
          <w:szCs w:val="24"/>
          <w:highlight w:val="none"/>
          <w:lang w:eastAsia="zh-CN"/>
        </w:rPr>
        <w:t>2026年度杨凌示范区农产品质量安全监测项目(二次)</w:t>
      </w:r>
      <w:r>
        <w:rPr>
          <w:rFonts w:hint="eastAsia" w:ascii="宋体" w:hAnsi="宋体" w:eastAsia="宋体" w:cs="宋体"/>
          <w:sz w:val="24"/>
          <w:szCs w:val="24"/>
          <w:highlight w:val="none"/>
        </w:rPr>
        <w:t>）相关采购要求的规定，合同双方就乙方向采购方提供</w:t>
      </w:r>
      <w:r>
        <w:rPr>
          <w:rFonts w:hint="eastAsia" w:ascii="宋体" w:hAnsi="宋体" w:cs="宋体"/>
          <w:sz w:val="24"/>
          <w:szCs w:val="24"/>
          <w:highlight w:val="none"/>
          <w:lang w:eastAsia="zh-CN"/>
        </w:rPr>
        <w:t>2026年度杨凌示范区农产品质量安全监测项目(二次)</w:t>
      </w:r>
      <w:r>
        <w:rPr>
          <w:rFonts w:hint="eastAsia" w:ascii="宋体" w:hAnsi="宋体" w:eastAsia="宋体" w:cs="宋体"/>
          <w:sz w:val="24"/>
          <w:szCs w:val="24"/>
          <w:highlight w:val="none"/>
        </w:rPr>
        <w:t>协商达成一致，确立本合同。</w:t>
      </w:r>
    </w:p>
    <w:p w14:paraId="63F8107F">
      <w:pPr>
        <w:tabs>
          <w:tab w:val="left" w:pos="480"/>
        </w:tabs>
        <w:spacing w:line="360" w:lineRule="auto"/>
        <w:outlineLvl w:val="1"/>
        <w:rPr>
          <w:rFonts w:hint="eastAsia" w:ascii="宋体" w:hAnsi="宋体" w:eastAsia="宋体" w:cs="宋体"/>
          <w:b/>
          <w:sz w:val="24"/>
          <w:szCs w:val="24"/>
          <w:highlight w:val="none"/>
        </w:rPr>
      </w:pPr>
      <w:bookmarkStart w:id="48" w:name="_Toc8841"/>
      <w:bookmarkStart w:id="49" w:name="_Toc30883"/>
      <w:bookmarkStart w:id="50" w:name="_Toc7407"/>
      <w:r>
        <w:rPr>
          <w:rFonts w:hint="eastAsia" w:ascii="宋体" w:hAnsi="宋体" w:eastAsia="宋体" w:cs="宋体"/>
          <w:b/>
          <w:sz w:val="24"/>
          <w:szCs w:val="24"/>
          <w:highlight w:val="none"/>
        </w:rPr>
        <w:t>一、合同标的物内容、数量及单价</w:t>
      </w:r>
      <w:r>
        <w:rPr>
          <w:rFonts w:hint="eastAsia" w:ascii="宋体" w:hAnsi="宋体" w:eastAsia="宋体" w:cs="宋体"/>
          <w:sz w:val="24"/>
          <w:szCs w:val="24"/>
          <w:highlight w:val="none"/>
        </w:rPr>
        <w:t>（以竞争性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响应文件正本和澄清表〈函〉为准）</w:t>
      </w:r>
      <w:bookmarkEnd w:id="48"/>
      <w:bookmarkEnd w:id="49"/>
      <w:bookmarkEnd w:id="50"/>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2B85E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3E9DB905">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43CFC956">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156BBDE3">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6160788B">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4CFD467C">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5A8AD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4A55182E">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3D8D6BB0">
            <w:pPr>
              <w:tabs>
                <w:tab w:val="left" w:pos="480"/>
              </w:tabs>
              <w:spacing w:line="396" w:lineRule="exact"/>
              <w:jc w:val="center"/>
              <w:rPr>
                <w:rFonts w:hint="eastAsia" w:ascii="宋体" w:hAnsi="宋体" w:eastAsia="宋体" w:cs="宋体"/>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56903A5">
            <w:pPr>
              <w:tabs>
                <w:tab w:val="left" w:pos="480"/>
              </w:tabs>
              <w:spacing w:line="396" w:lineRule="exact"/>
              <w:jc w:val="center"/>
              <w:rPr>
                <w:rFonts w:hint="eastAsia" w:ascii="宋体" w:hAnsi="宋体" w:eastAsia="宋体" w:cs="宋体"/>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8BDC06F">
            <w:pPr>
              <w:tabs>
                <w:tab w:val="left" w:pos="480"/>
              </w:tabs>
              <w:spacing w:line="396" w:lineRule="exact"/>
              <w:jc w:val="center"/>
              <w:rPr>
                <w:rFonts w:hint="eastAsia" w:ascii="宋体" w:hAnsi="宋体" w:eastAsia="宋体" w:cs="宋体"/>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28C46F5">
            <w:pPr>
              <w:tabs>
                <w:tab w:val="left" w:pos="480"/>
              </w:tabs>
              <w:spacing w:line="396" w:lineRule="exact"/>
              <w:jc w:val="center"/>
              <w:rPr>
                <w:rFonts w:hint="eastAsia" w:ascii="宋体" w:hAnsi="宋体" w:eastAsia="宋体" w:cs="宋体"/>
                <w:sz w:val="24"/>
                <w:szCs w:val="24"/>
                <w:highlight w:val="none"/>
              </w:rPr>
            </w:pPr>
          </w:p>
        </w:tc>
      </w:tr>
      <w:tr w14:paraId="50B5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B4C5C1C">
            <w:pPr>
              <w:tabs>
                <w:tab w:val="left" w:pos="480"/>
              </w:tabs>
              <w:spacing w:line="396"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5B766C9F">
            <w:pPr>
              <w:tabs>
                <w:tab w:val="left" w:pos="480"/>
              </w:tabs>
              <w:spacing w:line="396" w:lineRule="exact"/>
              <w:jc w:val="center"/>
              <w:rPr>
                <w:rFonts w:hint="eastAsia" w:ascii="宋体" w:hAnsi="宋体" w:eastAsia="宋体" w:cs="宋体"/>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6931F06B">
            <w:pPr>
              <w:tabs>
                <w:tab w:val="left" w:pos="480"/>
              </w:tabs>
              <w:spacing w:line="396" w:lineRule="exact"/>
              <w:jc w:val="center"/>
              <w:rPr>
                <w:rFonts w:hint="eastAsia" w:ascii="宋体" w:hAnsi="宋体" w:eastAsia="宋体" w:cs="宋体"/>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3BE11ED9">
            <w:pPr>
              <w:tabs>
                <w:tab w:val="left" w:pos="480"/>
              </w:tabs>
              <w:spacing w:line="396" w:lineRule="exact"/>
              <w:jc w:val="center"/>
              <w:rPr>
                <w:rFonts w:hint="eastAsia" w:ascii="宋体" w:hAnsi="宋体" w:eastAsia="宋体" w:cs="宋体"/>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46694CD7">
            <w:pPr>
              <w:tabs>
                <w:tab w:val="left" w:pos="480"/>
              </w:tabs>
              <w:spacing w:line="396" w:lineRule="exact"/>
              <w:jc w:val="center"/>
              <w:rPr>
                <w:rFonts w:hint="eastAsia" w:ascii="宋体" w:hAnsi="宋体" w:eastAsia="宋体" w:cs="宋体"/>
                <w:sz w:val="24"/>
                <w:szCs w:val="24"/>
                <w:highlight w:val="none"/>
              </w:rPr>
            </w:pPr>
          </w:p>
        </w:tc>
      </w:tr>
    </w:tbl>
    <w:p w14:paraId="627D8A00">
      <w:pPr>
        <w:tabs>
          <w:tab w:val="left" w:pos="480"/>
        </w:tabs>
        <w:spacing w:line="360" w:lineRule="auto"/>
        <w:outlineLvl w:val="1"/>
        <w:rPr>
          <w:rFonts w:hint="eastAsia" w:ascii="宋体" w:hAnsi="宋体" w:eastAsia="宋体" w:cs="宋体"/>
          <w:b/>
          <w:sz w:val="24"/>
          <w:szCs w:val="24"/>
          <w:highlight w:val="none"/>
        </w:rPr>
      </w:pPr>
      <w:bookmarkStart w:id="51" w:name="_Toc8887"/>
      <w:bookmarkStart w:id="52" w:name="_Toc4137"/>
      <w:bookmarkStart w:id="53" w:name="_Toc3926"/>
      <w:r>
        <w:rPr>
          <w:rFonts w:hint="eastAsia" w:ascii="宋体" w:hAnsi="宋体" w:eastAsia="宋体" w:cs="宋体"/>
          <w:b/>
          <w:sz w:val="24"/>
          <w:szCs w:val="24"/>
          <w:highlight w:val="none"/>
        </w:rPr>
        <w:t>二、合同价款</w:t>
      </w:r>
      <w:bookmarkEnd w:id="51"/>
      <w:bookmarkEnd w:id="52"/>
      <w:bookmarkEnd w:id="53"/>
    </w:p>
    <w:p w14:paraId="05241911">
      <w:pPr>
        <w:tabs>
          <w:tab w:val="left" w:pos="480"/>
        </w:tabs>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（一）本合同为总价合同，各项活动服务的合同总价为其</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最终报价。</w:t>
      </w:r>
    </w:p>
    <w:p w14:paraId="54E24657">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（二）合同价包括：</w:t>
      </w:r>
    </w:p>
    <w:p w14:paraId="07B1550B">
      <w:pPr>
        <w:tabs>
          <w:tab w:val="left" w:pos="480"/>
        </w:tabs>
        <w:spacing w:line="360" w:lineRule="auto"/>
        <w:outlineLvl w:val="1"/>
        <w:rPr>
          <w:rFonts w:hint="eastAsia" w:ascii="宋体" w:hAnsi="宋体" w:eastAsia="宋体" w:cs="宋体"/>
          <w:b/>
          <w:sz w:val="24"/>
          <w:szCs w:val="24"/>
          <w:highlight w:val="none"/>
        </w:rPr>
      </w:pPr>
      <w:bookmarkStart w:id="54" w:name="_Toc6296"/>
      <w:bookmarkStart w:id="55" w:name="_Toc28664"/>
      <w:bookmarkStart w:id="56" w:name="_Toc23247"/>
      <w:r>
        <w:rPr>
          <w:rFonts w:hint="eastAsia" w:ascii="宋体" w:hAnsi="宋体" w:eastAsia="宋体" w:cs="宋体"/>
          <w:b/>
          <w:sz w:val="24"/>
          <w:szCs w:val="24"/>
          <w:highlight w:val="none"/>
        </w:rPr>
        <w:t>三、款项结算</w:t>
      </w:r>
      <w:bookmarkEnd w:id="54"/>
      <w:bookmarkEnd w:id="55"/>
      <w:bookmarkEnd w:id="56"/>
    </w:p>
    <w:p w14:paraId="39184DE1">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详见合同前附表。</w:t>
      </w:r>
    </w:p>
    <w:p w14:paraId="74708421">
      <w:pPr>
        <w:tabs>
          <w:tab w:val="left" w:pos="480"/>
        </w:tabs>
        <w:spacing w:line="360" w:lineRule="auto"/>
        <w:outlineLvl w:val="1"/>
        <w:rPr>
          <w:rFonts w:hint="eastAsia" w:ascii="宋体" w:hAnsi="宋体" w:eastAsia="宋体" w:cs="宋体"/>
          <w:sz w:val="24"/>
          <w:szCs w:val="24"/>
          <w:highlight w:val="none"/>
        </w:rPr>
      </w:pPr>
      <w:bookmarkStart w:id="57" w:name="_Toc21714"/>
      <w:bookmarkStart w:id="58" w:name="_Toc21110"/>
      <w:bookmarkStart w:id="59" w:name="_Toc24406"/>
      <w:r>
        <w:rPr>
          <w:rFonts w:hint="eastAsia" w:ascii="宋体" w:hAnsi="宋体" w:eastAsia="宋体" w:cs="宋体"/>
          <w:b/>
          <w:sz w:val="24"/>
          <w:szCs w:val="24"/>
          <w:highlight w:val="none"/>
        </w:rPr>
        <w:t>四、服务条件：</w:t>
      </w:r>
      <w:bookmarkEnd w:id="57"/>
      <w:bookmarkEnd w:id="58"/>
      <w:bookmarkEnd w:id="59"/>
    </w:p>
    <w:p w14:paraId="1B89EC90">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（一）服务地点：甲方指定地点。</w:t>
      </w:r>
    </w:p>
    <w:p w14:paraId="15450C7C">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（二）服务期：自合同签订之日起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4FC9F0E">
      <w:pPr>
        <w:tabs>
          <w:tab w:val="left" w:pos="480"/>
        </w:tabs>
        <w:spacing w:line="360" w:lineRule="auto"/>
        <w:outlineLvl w:val="1"/>
        <w:rPr>
          <w:rFonts w:hint="eastAsia" w:ascii="宋体" w:hAnsi="宋体" w:eastAsia="宋体" w:cs="宋体"/>
          <w:b/>
          <w:sz w:val="24"/>
          <w:szCs w:val="24"/>
          <w:highlight w:val="none"/>
        </w:rPr>
      </w:pPr>
      <w:bookmarkStart w:id="60" w:name="_Toc32459"/>
      <w:bookmarkStart w:id="61" w:name="_Toc7966"/>
      <w:bookmarkStart w:id="62" w:name="_Toc27382"/>
      <w:r>
        <w:rPr>
          <w:rFonts w:hint="eastAsia" w:ascii="宋体" w:hAnsi="宋体" w:eastAsia="宋体" w:cs="宋体"/>
          <w:b/>
          <w:sz w:val="24"/>
          <w:szCs w:val="24"/>
          <w:highlight w:val="none"/>
        </w:rPr>
        <w:t>五、质量保证</w:t>
      </w:r>
      <w:bookmarkEnd w:id="60"/>
      <w:bookmarkEnd w:id="61"/>
      <w:bookmarkEnd w:id="62"/>
    </w:p>
    <w:p w14:paraId="3A6EA3CB">
      <w:pPr>
        <w:tabs>
          <w:tab w:val="left" w:pos="480"/>
        </w:tabs>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1.乙方所提供的服务保证技术指标符合要求、质量性能可靠、必须符合国家相关法律法规的要求。</w:t>
      </w:r>
    </w:p>
    <w:p w14:paraId="418E7611">
      <w:pPr>
        <w:tabs>
          <w:tab w:val="left" w:pos="480"/>
        </w:tabs>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2、成交单位应当保证其具有完成本项目所要求的服务所必须具备的专业设备和服务能力。</w:t>
      </w:r>
    </w:p>
    <w:p w14:paraId="1154436B">
      <w:pPr>
        <w:tabs>
          <w:tab w:val="left" w:pos="480"/>
        </w:tabs>
        <w:spacing w:line="360" w:lineRule="auto"/>
        <w:outlineLvl w:val="1"/>
        <w:rPr>
          <w:rFonts w:hint="eastAsia" w:ascii="宋体" w:hAnsi="宋体" w:eastAsia="宋体" w:cs="宋体"/>
          <w:b/>
          <w:sz w:val="24"/>
          <w:szCs w:val="24"/>
          <w:highlight w:val="none"/>
        </w:rPr>
      </w:pPr>
      <w:bookmarkStart w:id="63" w:name="_Toc21314"/>
      <w:bookmarkStart w:id="64" w:name="_Toc9903"/>
      <w:bookmarkStart w:id="65" w:name="_Toc12558"/>
      <w:r>
        <w:rPr>
          <w:rFonts w:hint="eastAsia" w:ascii="宋体" w:hAnsi="宋体" w:eastAsia="宋体" w:cs="宋体"/>
          <w:b/>
          <w:sz w:val="24"/>
          <w:szCs w:val="24"/>
          <w:highlight w:val="none"/>
        </w:rPr>
        <w:t>六、技术与服务</w:t>
      </w:r>
      <w:bookmarkEnd w:id="63"/>
      <w:bookmarkEnd w:id="64"/>
      <w:bookmarkEnd w:id="65"/>
    </w:p>
    <w:p w14:paraId="68AB2028">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（一）技术资料：</w:t>
      </w:r>
    </w:p>
    <w:p w14:paraId="07FD98E5">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技术资料：</w:t>
      </w:r>
    </w:p>
    <w:p w14:paraId="26DF2E0F">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成交供应商应随同服务提供相应的中文成果技术文件，成果文件需要以纸质文件及电子版的形式移交给甲方，纸质成果文件需要移交10份。</w:t>
      </w:r>
    </w:p>
    <w:p w14:paraId="5AF6B703">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（二）服务承诺：以竞争性</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响应文件、澄清表（函）、合同相关文件为准。</w:t>
      </w:r>
    </w:p>
    <w:p w14:paraId="45D7C575">
      <w:pPr>
        <w:tabs>
          <w:tab w:val="left" w:pos="480"/>
        </w:tabs>
        <w:spacing w:line="360" w:lineRule="auto"/>
        <w:outlineLvl w:val="1"/>
        <w:rPr>
          <w:rFonts w:hint="eastAsia" w:ascii="宋体" w:hAnsi="宋体" w:eastAsia="宋体" w:cs="宋体"/>
          <w:b/>
          <w:sz w:val="24"/>
          <w:szCs w:val="24"/>
          <w:highlight w:val="none"/>
        </w:rPr>
      </w:pPr>
      <w:bookmarkStart w:id="66" w:name="_Toc14409"/>
      <w:bookmarkStart w:id="67" w:name="_Toc22161"/>
      <w:bookmarkStart w:id="68" w:name="_Toc12975"/>
      <w:r>
        <w:rPr>
          <w:rFonts w:hint="eastAsia" w:ascii="宋体" w:hAnsi="宋体" w:eastAsia="宋体" w:cs="宋体"/>
          <w:b/>
          <w:sz w:val="24"/>
          <w:szCs w:val="24"/>
          <w:highlight w:val="none"/>
        </w:rPr>
        <w:t>七、验收</w:t>
      </w:r>
      <w:bookmarkEnd w:id="66"/>
      <w:bookmarkEnd w:id="67"/>
      <w:bookmarkEnd w:id="68"/>
    </w:p>
    <w:p w14:paraId="01BEEB6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1、所验服务最终验收达不到</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文件要求和</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响应文件承诺及国家或行业标准的，或在使用中发现甲方不能容忍的缺陷等，将视为验收不合格，乙方应在甲方要求的时间内无条件完善或要求赔付甲方损失。</w:t>
      </w:r>
    </w:p>
    <w:p w14:paraId="1459965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2、若发现乙方有弄虚作假的，及在项目实施阶段故意或随意夸大服务，本合同解除，乙方赔偿甲方相应的损失。</w:t>
      </w:r>
    </w:p>
    <w:p w14:paraId="4BE9BC8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3、验收标准：按</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文件、</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响应文件及</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记录表等技术指标进行逐项验收。各项指标均应符合验收标准及要求。</w:t>
      </w:r>
    </w:p>
    <w:p w14:paraId="60F39DD4">
      <w:pPr>
        <w:tabs>
          <w:tab w:val="left" w:pos="480"/>
        </w:tabs>
        <w:spacing w:line="360" w:lineRule="auto"/>
        <w:outlineLvl w:val="1"/>
        <w:rPr>
          <w:rFonts w:hint="eastAsia" w:ascii="宋体" w:hAnsi="宋体" w:eastAsia="宋体" w:cs="宋体"/>
          <w:b/>
          <w:sz w:val="24"/>
          <w:szCs w:val="24"/>
          <w:highlight w:val="none"/>
        </w:rPr>
      </w:pPr>
      <w:bookmarkStart w:id="69" w:name="_Toc20026"/>
      <w:bookmarkStart w:id="70" w:name="_Toc30681"/>
      <w:bookmarkStart w:id="71" w:name="_Toc9858"/>
      <w:r>
        <w:rPr>
          <w:rFonts w:hint="eastAsia" w:ascii="宋体" w:hAnsi="宋体" w:eastAsia="宋体" w:cs="宋体"/>
          <w:b/>
          <w:sz w:val="24"/>
          <w:szCs w:val="24"/>
          <w:highlight w:val="none"/>
        </w:rPr>
        <w:t>八、违约责任</w:t>
      </w:r>
      <w:bookmarkEnd w:id="69"/>
      <w:bookmarkEnd w:id="70"/>
      <w:bookmarkEnd w:id="71"/>
    </w:p>
    <w:p w14:paraId="7CFAACB9">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1、按《中华人民共和国民法典》中的相关条款执行。</w:t>
      </w:r>
    </w:p>
    <w:p w14:paraId="37C125D3">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中华人民共和国政府采购法》及相关法律法规对服务商的违法行为进行相应的处罚。</w:t>
      </w:r>
    </w:p>
    <w:p w14:paraId="07D4E9CB">
      <w:pPr>
        <w:tabs>
          <w:tab w:val="left" w:pos="480"/>
        </w:tabs>
        <w:spacing w:line="360" w:lineRule="auto"/>
        <w:outlineLvl w:val="1"/>
        <w:rPr>
          <w:rFonts w:hint="eastAsia" w:ascii="宋体" w:hAnsi="宋体" w:eastAsia="宋体" w:cs="宋体"/>
          <w:b/>
          <w:sz w:val="24"/>
          <w:szCs w:val="24"/>
          <w:highlight w:val="none"/>
        </w:rPr>
      </w:pPr>
      <w:bookmarkStart w:id="72" w:name="_Toc15856"/>
      <w:bookmarkStart w:id="73" w:name="_Toc27523"/>
      <w:bookmarkStart w:id="74" w:name="_Toc13662"/>
      <w:r>
        <w:rPr>
          <w:rFonts w:hint="eastAsia" w:ascii="宋体" w:hAnsi="宋体" w:eastAsia="宋体" w:cs="宋体"/>
          <w:b/>
          <w:sz w:val="24"/>
          <w:szCs w:val="24"/>
          <w:highlight w:val="none"/>
        </w:rPr>
        <w:t>九、合同争议解决的方式</w:t>
      </w:r>
      <w:bookmarkEnd w:id="72"/>
      <w:bookmarkEnd w:id="73"/>
      <w:bookmarkEnd w:id="74"/>
    </w:p>
    <w:p w14:paraId="0E19D7EE">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本合同在履行过程中发生的争议，由甲、乙双方当事人协商解决，协商不成的按下列第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种方式解决：</w:t>
      </w:r>
    </w:p>
    <w:p w14:paraId="107D8E5F">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（一）提交</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仲裁委员会仲裁；</w:t>
      </w:r>
    </w:p>
    <w:p w14:paraId="3BCB7BDF">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（二）依法向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所在地人民法院起诉。</w:t>
      </w:r>
    </w:p>
    <w:p w14:paraId="085BFE0B">
      <w:pPr>
        <w:tabs>
          <w:tab w:val="left" w:pos="480"/>
        </w:tabs>
        <w:spacing w:line="360" w:lineRule="auto"/>
        <w:outlineLvl w:val="1"/>
        <w:rPr>
          <w:rFonts w:hint="eastAsia" w:ascii="宋体" w:hAnsi="宋体" w:eastAsia="宋体" w:cs="宋体"/>
          <w:b/>
          <w:sz w:val="24"/>
          <w:szCs w:val="24"/>
          <w:highlight w:val="none"/>
        </w:rPr>
      </w:pPr>
      <w:bookmarkStart w:id="75" w:name="_Toc7342"/>
      <w:bookmarkStart w:id="76" w:name="_Toc2858"/>
      <w:bookmarkStart w:id="77" w:name="_Toc18389"/>
      <w:r>
        <w:rPr>
          <w:rFonts w:hint="eastAsia" w:ascii="宋体" w:hAnsi="宋体" w:eastAsia="宋体" w:cs="宋体"/>
          <w:b/>
          <w:sz w:val="24"/>
          <w:szCs w:val="24"/>
          <w:highlight w:val="none"/>
        </w:rPr>
        <w:t>十、合同生效</w:t>
      </w:r>
      <w:bookmarkEnd w:id="75"/>
      <w:bookmarkEnd w:id="76"/>
      <w:bookmarkEnd w:id="77"/>
    </w:p>
    <w:p w14:paraId="4C2DB247">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份，甲方执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份，本合同甲、乙、确认各方签字盖章后生效，合同执行完毕后，自动失效（合同的服务承诺则长期有效）。</w:t>
      </w:r>
    </w:p>
    <w:p w14:paraId="101D362C">
      <w:pPr>
        <w:tabs>
          <w:tab w:val="left" w:pos="480"/>
        </w:tabs>
        <w:spacing w:line="360" w:lineRule="auto"/>
        <w:outlineLvl w:val="1"/>
        <w:rPr>
          <w:rFonts w:hint="eastAsia" w:ascii="宋体" w:hAnsi="宋体" w:eastAsia="宋体" w:cs="宋体"/>
          <w:b/>
          <w:sz w:val="24"/>
          <w:szCs w:val="24"/>
          <w:highlight w:val="none"/>
        </w:rPr>
      </w:pPr>
      <w:bookmarkStart w:id="78" w:name="_Toc823"/>
      <w:bookmarkStart w:id="79" w:name="_Toc18381"/>
      <w:bookmarkStart w:id="80" w:name="_Toc18225"/>
      <w:r>
        <w:rPr>
          <w:rFonts w:hint="eastAsia" w:ascii="宋体" w:hAnsi="宋体" w:eastAsia="宋体" w:cs="宋体"/>
          <w:b/>
          <w:sz w:val="24"/>
          <w:szCs w:val="24"/>
          <w:highlight w:val="none"/>
        </w:rPr>
        <w:t>十一、其他事项</w:t>
      </w:r>
      <w:bookmarkEnd w:id="78"/>
      <w:bookmarkEnd w:id="79"/>
      <w:bookmarkEnd w:id="80"/>
    </w:p>
    <w:p w14:paraId="4BB3EA6F">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（一）竞争性</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文件、竞争性</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响应文件、澄清表（函）、成交通知书、合同附件均成为合同不可分割的部分。</w:t>
      </w:r>
    </w:p>
    <w:p w14:paraId="503583DB">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（二）合同未尽事宜，由甲、乙双方协商，作为合同补充，与原合同具有同等法律效力。</w:t>
      </w:r>
    </w:p>
    <w:p w14:paraId="3010591A">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（三）合同一经签订，不得擅自变更、中止或终止合同。但若与甲方的上级管理机关的政策性行为或其他规定发生冲突，甲方有权与乙方协商调整协议内容或终止协议执行。</w:t>
      </w:r>
    </w:p>
    <w:p w14:paraId="7E370D8A">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（四）执行本合同过程中发生争议，由当事人双方协商解决。协商不成，可向采购方所在地人民法院提起诉讼。</w:t>
      </w:r>
    </w:p>
    <w:p w14:paraId="210F51D5">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63C32507">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（六）本合同按照中华人民共和国的现行法律进行解释。</w:t>
      </w:r>
    </w:p>
    <w:p w14:paraId="507076C7">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  方：（盖章）                          乙  方：（盖章）</w:t>
      </w:r>
    </w:p>
    <w:p w14:paraId="05898617">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单位名称：                                单位名称：</w:t>
      </w:r>
    </w:p>
    <w:p w14:paraId="07E9D303">
      <w:pPr>
        <w:tabs>
          <w:tab w:val="left" w:pos="480"/>
        </w:tabs>
        <w:spacing w:line="360" w:lineRule="auto"/>
        <w:ind w:left="6660" w:leftChars="200" w:hanging="6240" w:hangingChars="2600"/>
        <w:rPr>
          <w:rFonts w:hint="eastAsia" w:ascii="宋体" w:hAnsi="宋体" w:eastAsia="宋体" w:cs="宋体"/>
          <w:sz w:val="24"/>
          <w:szCs w:val="24"/>
          <w:highlight w:val="none"/>
        </w:rPr>
      </w:pPr>
      <w:r>
        <w:rPr>
          <w:rFonts w:hint="eastAsia" w:ascii="宋体" w:hAnsi="宋体" w:eastAsia="宋体" w:cs="宋体"/>
          <w:sz w:val="24"/>
          <w:szCs w:val="24"/>
          <w:highlight w:val="none"/>
        </w:rPr>
        <w:t>地  址：                                  地  址：</w:t>
      </w:r>
    </w:p>
    <w:p w14:paraId="3050C57A">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                                法定代表人</w:t>
      </w:r>
    </w:p>
    <w:p w14:paraId="25B49351">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或委托代理人：                            或委托代理人：</w:t>
      </w:r>
    </w:p>
    <w:p w14:paraId="1B845488">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开户银行：</w:t>
      </w:r>
    </w:p>
    <w:p w14:paraId="3EABB189">
      <w:pPr>
        <w:tabs>
          <w:tab w:val="left" w:pos="480"/>
        </w:tabs>
        <w:spacing w:line="360" w:lineRule="auto"/>
        <w:ind w:firstLine="5520" w:firstLineChars="2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p>
    <w:p w14:paraId="5BC69D39">
      <w:pPr>
        <w:tabs>
          <w:tab w:val="left" w:pos="48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                                联系电话：</w:t>
      </w:r>
    </w:p>
    <w:p w14:paraId="50187964">
      <w:pPr>
        <w:ind w:firstLine="480" w:firstLineChars="200"/>
        <w:rPr>
          <w:rFonts w:ascii="宋体" w:hAnsi="宋体" w:cs="宋体"/>
          <w:highlight w:val="none"/>
        </w:rPr>
      </w:pPr>
      <w:r>
        <w:rPr>
          <w:rFonts w:hint="eastAsia" w:ascii="宋体" w:hAnsi="宋体" w:eastAsia="宋体" w:cs="宋体"/>
          <w:sz w:val="24"/>
          <w:szCs w:val="24"/>
          <w:highlight w:val="none"/>
        </w:rPr>
        <w:t>签订日期：     年    月      日           签订日期：     年    月   日</w:t>
      </w:r>
      <w:r>
        <w:rPr>
          <w:rFonts w:hint="eastAsia" w:ascii="宋体" w:hAnsi="宋体" w:cs="宋体"/>
          <w:sz w:val="24"/>
          <w:szCs w:val="24"/>
          <w:highlight w:val="none"/>
        </w:rPr>
        <w:br w:type="page"/>
      </w:r>
    </w:p>
    <w:bookmarkEnd w:id="34"/>
    <w:bookmarkEnd w:id="35"/>
    <w:bookmarkEnd w:id="36"/>
    <w:bookmarkEnd w:id="37"/>
    <w:bookmarkEnd w:id="38"/>
    <w:bookmarkEnd w:id="39"/>
    <w:bookmarkEnd w:id="40"/>
    <w:bookmarkEnd w:id="41"/>
    <w:p w14:paraId="34A6994B">
      <w:pPr>
        <w:spacing w:line="520" w:lineRule="exact"/>
        <w:jc w:val="center"/>
        <w:outlineLvl w:val="0"/>
        <w:rPr>
          <w:rFonts w:ascii="宋体" w:hAnsi="宋体" w:cs="宋体"/>
          <w:bCs/>
          <w:sz w:val="36"/>
          <w:szCs w:val="36"/>
          <w:highlight w:val="none"/>
        </w:rPr>
      </w:pPr>
      <w:bookmarkStart w:id="81" w:name="_Toc7592"/>
      <w:bookmarkStart w:id="82" w:name="_Toc28235"/>
      <w:r>
        <w:rPr>
          <w:rFonts w:hint="eastAsia" w:ascii="宋体" w:hAnsi="宋体" w:cs="宋体"/>
          <w:b/>
          <w:bCs/>
          <w:sz w:val="36"/>
          <w:szCs w:val="36"/>
          <w:highlight w:val="none"/>
        </w:rPr>
        <w:t>第五章 谈判响应文件格式</w:t>
      </w:r>
      <w:bookmarkEnd w:id="81"/>
      <w:bookmarkEnd w:id="82"/>
    </w:p>
    <w:p w14:paraId="754C5773">
      <w:pPr>
        <w:rPr>
          <w:rFonts w:ascii="宋体" w:hAnsi="宋体" w:cs="宋体"/>
          <w:highlight w:val="none"/>
        </w:rPr>
      </w:pPr>
      <w:bookmarkStart w:id="83" w:name="_Toc344572156"/>
    </w:p>
    <w:p w14:paraId="5241BAF0">
      <w:pPr>
        <w:framePr w:hSpace="180" w:wrap="around" w:vAnchor="text" w:hAnchor="page" w:x="1473" w:y="19"/>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项目编号：</w:t>
      </w:r>
      <w:r>
        <w:rPr>
          <w:rFonts w:hint="eastAsia" w:ascii="宋体" w:hAnsi="宋体" w:cs="宋体"/>
          <w:b/>
          <w:bCs/>
          <w:sz w:val="32"/>
          <w:szCs w:val="32"/>
          <w:highlight w:val="none"/>
          <w:lang w:eastAsia="zh-CN"/>
        </w:rPr>
        <w:t>SXZCZB2026-ZCJT-0919.1B1</w:t>
      </w:r>
    </w:p>
    <w:p w14:paraId="12067A92">
      <w:pPr>
        <w:ind w:firstLine="4343" w:firstLineChars="1352"/>
        <w:jc w:val="right"/>
        <w:rPr>
          <w:rFonts w:ascii="宋体" w:hAnsi="宋体" w:cs="宋体"/>
          <w:b/>
          <w:sz w:val="32"/>
          <w:szCs w:val="32"/>
          <w:highlight w:val="none"/>
        </w:rPr>
      </w:pPr>
      <w:r>
        <w:rPr>
          <w:rFonts w:hint="eastAsia" w:ascii="宋体" w:hAnsi="宋体" w:cs="宋体"/>
          <w:b/>
          <w:bCs/>
          <w:sz w:val="32"/>
          <w:szCs w:val="32"/>
          <w:highlight w:val="none"/>
        </w:rPr>
        <w:t xml:space="preserve">       </w:t>
      </w:r>
      <w:r>
        <w:rPr>
          <w:rFonts w:hint="eastAsia" w:ascii="宋体" w:hAnsi="宋体" w:cs="宋体"/>
          <w:b/>
          <w:sz w:val="32"/>
          <w:szCs w:val="32"/>
          <w:highlight w:val="none"/>
        </w:rPr>
        <w:t>（正本）</w:t>
      </w:r>
    </w:p>
    <w:p w14:paraId="12B8C413">
      <w:pPr>
        <w:jc w:val="right"/>
        <w:rPr>
          <w:rFonts w:ascii="宋体" w:hAnsi="宋体" w:cs="宋体"/>
          <w:b/>
          <w:sz w:val="32"/>
          <w:szCs w:val="32"/>
          <w:highlight w:val="none"/>
        </w:rPr>
      </w:pPr>
    </w:p>
    <w:p w14:paraId="76012D46">
      <w:pPr>
        <w:pStyle w:val="8"/>
        <w:rPr>
          <w:rFonts w:ascii="宋体" w:hAnsi="宋体" w:eastAsia="宋体" w:cs="宋体"/>
          <w:b/>
          <w:sz w:val="32"/>
          <w:szCs w:val="32"/>
          <w:highlight w:val="none"/>
        </w:rPr>
      </w:pPr>
    </w:p>
    <w:p w14:paraId="01DCBCF7">
      <w:pPr>
        <w:rPr>
          <w:rFonts w:ascii="宋体" w:hAnsi="宋体" w:cs="宋体"/>
          <w:highlight w:val="none"/>
        </w:rPr>
      </w:pPr>
    </w:p>
    <w:p w14:paraId="2A23896E">
      <w:pPr>
        <w:jc w:val="center"/>
        <w:rPr>
          <w:rFonts w:hint="eastAsia" w:ascii="宋体" w:hAnsi="宋体" w:eastAsia="宋体" w:cs="宋体"/>
          <w:b/>
          <w:sz w:val="56"/>
          <w:szCs w:val="56"/>
          <w:highlight w:val="none"/>
          <w:lang w:eastAsia="zh-CN"/>
        </w:rPr>
      </w:pPr>
      <w:r>
        <w:rPr>
          <w:rFonts w:hint="eastAsia" w:ascii="宋体" w:hAnsi="宋体" w:cs="宋体"/>
          <w:b/>
          <w:bCs/>
          <w:sz w:val="52"/>
          <w:szCs w:val="52"/>
          <w:highlight w:val="none"/>
          <w:lang w:eastAsia="zh-CN"/>
        </w:rPr>
        <w:t>2026年度杨凌示范区农产品质量安全监测项目(二次)</w:t>
      </w:r>
    </w:p>
    <w:p w14:paraId="1ADD581A">
      <w:pPr>
        <w:jc w:val="center"/>
        <w:rPr>
          <w:rFonts w:hint="eastAsia" w:ascii="宋体" w:hAnsi="宋体" w:cs="宋体"/>
          <w:b/>
          <w:sz w:val="56"/>
          <w:szCs w:val="56"/>
          <w:highlight w:val="none"/>
        </w:rPr>
      </w:pPr>
    </w:p>
    <w:p w14:paraId="72B31135">
      <w:pPr>
        <w:jc w:val="center"/>
        <w:rPr>
          <w:rFonts w:hint="eastAsia" w:ascii="宋体" w:hAnsi="宋体" w:cs="宋体"/>
          <w:b/>
          <w:sz w:val="56"/>
          <w:szCs w:val="56"/>
          <w:highlight w:val="none"/>
        </w:rPr>
      </w:pPr>
    </w:p>
    <w:p w14:paraId="42F8011A">
      <w:pPr>
        <w:jc w:val="center"/>
        <w:rPr>
          <w:rFonts w:ascii="宋体" w:hAnsi="宋体" w:cs="宋体"/>
          <w:b/>
          <w:sz w:val="56"/>
          <w:szCs w:val="56"/>
          <w:highlight w:val="none"/>
        </w:rPr>
      </w:pPr>
      <w:r>
        <w:rPr>
          <w:rFonts w:hint="eastAsia" w:ascii="宋体" w:hAnsi="宋体" w:cs="宋体"/>
          <w:b/>
          <w:sz w:val="56"/>
          <w:szCs w:val="56"/>
          <w:highlight w:val="none"/>
        </w:rPr>
        <w:t>竞争性谈判响应文件</w:t>
      </w:r>
    </w:p>
    <w:p w14:paraId="1F82EACE">
      <w:pPr>
        <w:jc w:val="center"/>
        <w:rPr>
          <w:rFonts w:ascii="宋体" w:hAnsi="宋体" w:cs="宋体"/>
          <w:b/>
          <w:sz w:val="36"/>
          <w:szCs w:val="36"/>
          <w:highlight w:val="none"/>
        </w:rPr>
      </w:pPr>
    </w:p>
    <w:p w14:paraId="41106280">
      <w:pPr>
        <w:rPr>
          <w:rFonts w:ascii="宋体" w:hAnsi="宋体" w:cs="宋体"/>
          <w:b/>
          <w:sz w:val="36"/>
          <w:szCs w:val="36"/>
          <w:highlight w:val="none"/>
        </w:rPr>
      </w:pPr>
    </w:p>
    <w:p w14:paraId="4806A415">
      <w:pPr>
        <w:rPr>
          <w:rFonts w:ascii="宋体" w:hAnsi="宋体" w:cs="宋体"/>
          <w:b/>
          <w:sz w:val="36"/>
          <w:szCs w:val="36"/>
          <w:highlight w:val="none"/>
        </w:rPr>
      </w:pPr>
    </w:p>
    <w:p w14:paraId="16326FCC">
      <w:pPr>
        <w:tabs>
          <w:tab w:val="center" w:pos="5346"/>
        </w:tabs>
        <w:spacing w:line="480" w:lineRule="auto"/>
        <w:jc w:val="center"/>
        <w:rPr>
          <w:rFonts w:ascii="宋体" w:hAnsi="宋体" w:cs="宋体"/>
          <w:b/>
          <w:sz w:val="32"/>
          <w:szCs w:val="32"/>
          <w:highlight w:val="none"/>
        </w:rPr>
      </w:pPr>
      <w:r>
        <w:rPr>
          <w:rFonts w:hint="eastAsia" w:ascii="宋体" w:hAnsi="宋体" w:cs="宋体"/>
          <w:b/>
          <w:sz w:val="32"/>
          <w:szCs w:val="32"/>
          <w:highlight w:val="none"/>
        </w:rPr>
        <w:t>供应商名称（公章）</w:t>
      </w:r>
    </w:p>
    <w:p w14:paraId="11E97A18">
      <w:pPr>
        <w:spacing w:before="156" w:beforeLines="50" w:after="156" w:afterLines="50" w:line="360" w:lineRule="auto"/>
        <w:jc w:val="center"/>
        <w:rPr>
          <w:rFonts w:ascii="宋体" w:hAnsi="宋体" w:cs="宋体"/>
          <w:b/>
          <w:bCs/>
          <w:spacing w:val="4"/>
          <w:sz w:val="32"/>
          <w:szCs w:val="32"/>
          <w:highlight w:val="none"/>
        </w:rPr>
      </w:pPr>
      <w:r>
        <w:rPr>
          <w:rFonts w:hint="eastAsia" w:ascii="宋体" w:hAnsi="宋体" w:cs="宋体"/>
          <w:b/>
          <w:sz w:val="32"/>
          <w:szCs w:val="32"/>
          <w:highlight w:val="none"/>
        </w:rPr>
        <w:t xml:space="preserve"> 年   月  日</w:t>
      </w:r>
      <w:r>
        <w:rPr>
          <w:rFonts w:hint="eastAsia" w:ascii="宋体" w:hAnsi="宋体" w:cs="宋体"/>
          <w:b/>
          <w:sz w:val="44"/>
          <w:highlight w:val="none"/>
        </w:rPr>
        <w:br w:type="page"/>
      </w:r>
      <w:r>
        <w:rPr>
          <w:rFonts w:hint="eastAsia" w:ascii="宋体" w:hAnsi="宋体" w:cs="宋体"/>
          <w:b/>
          <w:bCs/>
          <w:spacing w:val="4"/>
          <w:sz w:val="32"/>
          <w:szCs w:val="32"/>
          <w:highlight w:val="none"/>
        </w:rPr>
        <w:t>目 录</w:t>
      </w:r>
    </w:p>
    <w:p w14:paraId="5F6D44AD">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一、谈判响应函</w:t>
      </w:r>
    </w:p>
    <w:p w14:paraId="27CC355D">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二、谈判报价表</w:t>
      </w:r>
    </w:p>
    <w:p w14:paraId="42AD78CE">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三、谈判方案说明书</w:t>
      </w:r>
    </w:p>
    <w:p w14:paraId="023F0323">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四、商务条款偏离表</w:t>
      </w:r>
    </w:p>
    <w:p w14:paraId="05234B12">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五、陕西省政府采购供应商拒绝政府采购领域商业贿赂承诺书</w:t>
      </w:r>
    </w:p>
    <w:p w14:paraId="18443748">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六、资格证明文件</w:t>
      </w:r>
    </w:p>
    <w:p w14:paraId="14C4F833">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七、其他</w:t>
      </w:r>
    </w:p>
    <w:p w14:paraId="3FB1F72E">
      <w:pPr>
        <w:spacing w:line="520" w:lineRule="exact"/>
        <w:jc w:val="center"/>
        <w:outlineLvl w:val="2"/>
        <w:rPr>
          <w:rFonts w:ascii="宋体" w:hAnsi="宋体" w:cs="宋体"/>
          <w:b/>
          <w:sz w:val="32"/>
          <w:szCs w:val="32"/>
          <w:highlight w:val="none"/>
        </w:rPr>
      </w:pPr>
      <w:r>
        <w:rPr>
          <w:rFonts w:hint="eastAsia" w:ascii="宋体" w:hAnsi="宋体" w:cs="宋体"/>
          <w:sz w:val="28"/>
          <w:highlight w:val="none"/>
        </w:rPr>
        <w:br w:type="page"/>
      </w:r>
      <w:bookmarkEnd w:id="83"/>
      <w:bookmarkStart w:id="84" w:name="_Toc8067"/>
      <w:r>
        <w:rPr>
          <w:rFonts w:hint="eastAsia" w:ascii="宋体" w:hAnsi="宋体" w:cs="宋体"/>
          <w:b/>
          <w:sz w:val="32"/>
          <w:szCs w:val="32"/>
          <w:highlight w:val="none"/>
        </w:rPr>
        <w:t>一、谈判响应函</w:t>
      </w:r>
      <w:bookmarkEnd w:id="84"/>
    </w:p>
    <w:p w14:paraId="515007E0">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致：</w:t>
      </w:r>
      <w:r>
        <w:rPr>
          <w:rFonts w:hint="eastAsia" w:ascii="宋体" w:hAnsi="宋体" w:cs="宋体"/>
          <w:spacing w:val="4"/>
          <w:sz w:val="24"/>
          <w:szCs w:val="32"/>
          <w:highlight w:val="none"/>
          <w:u w:val="single"/>
        </w:rPr>
        <w:t>陕西至诚项目管理集团有限公司</w:t>
      </w:r>
    </w:p>
    <w:p w14:paraId="101A6C4C">
      <w:pPr>
        <w:spacing w:line="360" w:lineRule="auto"/>
        <w:ind w:firstLine="496" w:firstLineChars="200"/>
        <w:rPr>
          <w:rFonts w:ascii="宋体" w:hAnsi="宋体" w:cs="宋体"/>
          <w:spacing w:val="4"/>
          <w:sz w:val="24"/>
          <w:szCs w:val="32"/>
          <w:highlight w:val="none"/>
        </w:rPr>
      </w:pPr>
      <w:r>
        <w:rPr>
          <w:rFonts w:hint="eastAsia" w:ascii="宋体" w:hAnsi="宋体" w:cs="宋体"/>
          <w:spacing w:val="4"/>
          <w:sz w:val="24"/>
          <w:szCs w:val="32"/>
          <w:highlight w:val="none"/>
        </w:rPr>
        <w:t>根据贵方“</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”项目的谈判邀请</w:t>
      </w:r>
      <w:r>
        <w:rPr>
          <w:rFonts w:hint="eastAsia" w:ascii="宋体" w:hAnsi="宋体" w:cs="宋体"/>
          <w:spacing w:val="4"/>
          <w:sz w:val="24"/>
          <w:szCs w:val="32"/>
          <w:highlight w:val="none"/>
          <w:u w:val="single"/>
        </w:rPr>
        <w:t>(项目编号：           )</w:t>
      </w:r>
      <w:r>
        <w:rPr>
          <w:rFonts w:hint="eastAsia" w:ascii="宋体" w:hAnsi="宋体" w:cs="宋体"/>
          <w:spacing w:val="4"/>
          <w:sz w:val="24"/>
          <w:szCs w:val="32"/>
          <w:highlight w:val="none"/>
        </w:rPr>
        <w:t>，签字代表</w:t>
      </w:r>
      <w:r>
        <w:rPr>
          <w:rFonts w:hint="eastAsia" w:ascii="宋体" w:hAnsi="宋体" w:cs="宋体"/>
          <w:spacing w:val="4"/>
          <w:sz w:val="24"/>
          <w:szCs w:val="32"/>
          <w:highlight w:val="none"/>
          <w:u w:val="single"/>
        </w:rPr>
        <w:t>（全名、职务）</w:t>
      </w:r>
      <w:r>
        <w:rPr>
          <w:rFonts w:hint="eastAsia" w:ascii="宋体" w:hAnsi="宋体" w:cs="宋体"/>
          <w:spacing w:val="4"/>
          <w:sz w:val="24"/>
          <w:szCs w:val="32"/>
          <w:highlight w:val="none"/>
        </w:rPr>
        <w:t>经正式授权并代表供应商</w:t>
      </w:r>
      <w:r>
        <w:rPr>
          <w:rFonts w:hint="eastAsia" w:ascii="宋体" w:hAnsi="宋体" w:cs="宋体"/>
          <w:spacing w:val="4"/>
          <w:sz w:val="24"/>
          <w:szCs w:val="32"/>
          <w:highlight w:val="none"/>
          <w:u w:val="single"/>
        </w:rPr>
        <w:t>(供应商名称、地址)</w:t>
      </w:r>
      <w:r>
        <w:rPr>
          <w:rFonts w:hint="eastAsia" w:ascii="宋体" w:hAnsi="宋体" w:cs="宋体"/>
          <w:spacing w:val="4"/>
          <w:sz w:val="24"/>
          <w:szCs w:val="32"/>
          <w:highlight w:val="none"/>
        </w:rPr>
        <w:t>提交竞争性谈判响应文。</w:t>
      </w:r>
    </w:p>
    <w:p w14:paraId="3975ED42">
      <w:pPr>
        <w:spacing w:line="360" w:lineRule="auto"/>
        <w:ind w:left="549" w:leftChars="251" w:hanging="22" w:hangingChars="9"/>
        <w:jc w:val="left"/>
        <w:rPr>
          <w:rFonts w:ascii="宋体" w:hAnsi="宋体" w:cs="宋体"/>
          <w:spacing w:val="4"/>
          <w:sz w:val="24"/>
          <w:szCs w:val="32"/>
          <w:highlight w:val="none"/>
        </w:rPr>
      </w:pPr>
      <w:r>
        <w:rPr>
          <w:rFonts w:hint="eastAsia" w:ascii="宋体" w:hAnsi="宋体" w:cs="宋体"/>
          <w:spacing w:val="4"/>
          <w:sz w:val="24"/>
          <w:szCs w:val="32"/>
          <w:highlight w:val="none"/>
        </w:rPr>
        <w:t>我方承诺如下：</w:t>
      </w:r>
    </w:p>
    <w:p w14:paraId="0DBEDDDF">
      <w:pPr>
        <w:numPr>
          <w:ilvl w:val="0"/>
          <w:numId w:val="2"/>
        </w:numPr>
        <w:tabs>
          <w:tab w:val="left" w:pos="2160"/>
        </w:tabs>
        <w:spacing w:line="360" w:lineRule="auto"/>
        <w:ind w:firstLine="496" w:firstLineChars="200"/>
        <w:jc w:val="left"/>
        <w:rPr>
          <w:rFonts w:ascii="宋体" w:hAnsi="宋体" w:cs="宋体"/>
          <w:spacing w:val="4"/>
          <w:sz w:val="24"/>
          <w:szCs w:val="28"/>
          <w:highlight w:val="none"/>
        </w:rPr>
      </w:pPr>
      <w:r>
        <w:rPr>
          <w:rFonts w:hint="eastAsia" w:ascii="宋体" w:hAnsi="宋体" w:cs="宋体"/>
          <w:spacing w:val="4"/>
          <w:sz w:val="24"/>
          <w:szCs w:val="32"/>
          <w:highlight w:val="none"/>
        </w:rPr>
        <w:t>谈判报价</w:t>
      </w:r>
      <w:r>
        <w:rPr>
          <w:rFonts w:hint="eastAsia" w:ascii="宋体" w:hAnsi="宋体" w:cs="宋体"/>
          <w:spacing w:val="4"/>
          <w:sz w:val="24"/>
          <w:szCs w:val="28"/>
          <w:highlight w:val="none"/>
        </w:rPr>
        <w:t>为小写：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（大写：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w:t>
      </w:r>
    </w:p>
    <w:p w14:paraId="06820967">
      <w:pPr>
        <w:numPr>
          <w:ilvl w:val="0"/>
          <w:numId w:val="2"/>
        </w:num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如果成交，我们根据竞争性谈判文件的规定，履行合同的责任和义务。</w:t>
      </w:r>
    </w:p>
    <w:p w14:paraId="196336A9">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3）我们已详细阅读和审核全部竞争性谈判文件（含修改部分，如有的话），及有关附件，我们知道必须放弃提出含糊不清或误解的问题的权利。</w:t>
      </w:r>
    </w:p>
    <w:p w14:paraId="3834278D">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4）我们同意在谈判有效期内（</w:t>
      </w:r>
      <w:r>
        <w:rPr>
          <w:rFonts w:hint="eastAsia" w:ascii="宋体" w:hAnsi="宋体" w:cs="宋体"/>
          <w:spacing w:val="4"/>
          <w:sz w:val="24"/>
          <w:szCs w:val="32"/>
          <w:highlight w:val="none"/>
          <w:u w:val="single"/>
        </w:rPr>
        <w:t>自谈判之日起   天</w:t>
      </w:r>
      <w:r>
        <w:rPr>
          <w:rFonts w:hint="eastAsia" w:ascii="宋体" w:hAnsi="宋体" w:cs="宋体"/>
          <w:spacing w:val="4"/>
          <w:sz w:val="24"/>
          <w:szCs w:val="32"/>
          <w:highlight w:val="none"/>
        </w:rPr>
        <w:t>），本谈判响应函对我方具有约束力。</w:t>
      </w:r>
    </w:p>
    <w:p w14:paraId="3E1082DA">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 xml:space="preserve">5）同意提供贵方可能另外要求的与本谈判有关的任何证据和资料。 </w:t>
      </w:r>
    </w:p>
    <w:p w14:paraId="3785FDF3">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6）我们同意，如果成交，向陕西至诚项目管理集团有限公司交纳招标代理服务费。</w:t>
      </w:r>
    </w:p>
    <w:p w14:paraId="09856339">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7）与本谈判有关的一切正式往来通讯为：</w:t>
      </w:r>
    </w:p>
    <w:p w14:paraId="37E6183F">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联系地址：</w:t>
      </w:r>
    </w:p>
    <w:p w14:paraId="62CACC41">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邮政编码：</w:t>
      </w:r>
    </w:p>
    <w:p w14:paraId="65E02472">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电    话：</w:t>
      </w:r>
    </w:p>
    <w:p w14:paraId="76FD5708">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传    真：</w:t>
      </w:r>
    </w:p>
    <w:p w14:paraId="4123B7AE">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供应商名称（盖章）：</w:t>
      </w:r>
    </w:p>
    <w:p w14:paraId="3E8DDFA0">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供应商法定代表人</w:t>
      </w:r>
      <w:r>
        <w:rPr>
          <w:rFonts w:hint="eastAsia" w:ascii="宋体" w:hAnsi="宋体" w:cs="宋体"/>
          <w:spacing w:val="4"/>
          <w:sz w:val="24"/>
          <w:szCs w:val="28"/>
          <w:highlight w:val="none"/>
        </w:rPr>
        <w:t>/被授权人</w:t>
      </w:r>
      <w:r>
        <w:rPr>
          <w:rFonts w:hint="eastAsia" w:ascii="宋体" w:hAnsi="宋体" w:cs="宋体"/>
          <w:spacing w:val="4"/>
          <w:sz w:val="24"/>
          <w:szCs w:val="32"/>
          <w:highlight w:val="none"/>
        </w:rPr>
        <w:t>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4631498E">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日    期：</w:t>
      </w:r>
    </w:p>
    <w:p w14:paraId="5FAC4B96">
      <w:pPr>
        <w:pStyle w:val="4"/>
        <w:spacing w:before="312" w:beforeLines="100" w:line="360" w:lineRule="auto"/>
        <w:rPr>
          <w:rFonts w:ascii="宋体" w:hAnsi="宋体" w:cs="宋体"/>
          <w:sz w:val="32"/>
          <w:szCs w:val="32"/>
          <w:highlight w:val="none"/>
        </w:rPr>
      </w:pPr>
      <w:r>
        <w:rPr>
          <w:rFonts w:hint="eastAsia" w:ascii="宋体" w:hAnsi="宋体" w:cs="宋体"/>
          <w:highlight w:val="none"/>
        </w:rPr>
        <w:br w:type="page"/>
      </w:r>
      <w:bookmarkStart w:id="85" w:name="_Toc363474030"/>
      <w:bookmarkStart w:id="86" w:name="_Toc403077651"/>
      <w:bookmarkStart w:id="87" w:name="_Toc31732"/>
      <w:r>
        <w:rPr>
          <w:rFonts w:hint="eastAsia" w:ascii="宋体" w:hAnsi="宋体" w:cs="宋体"/>
          <w:sz w:val="32"/>
          <w:szCs w:val="32"/>
          <w:highlight w:val="none"/>
        </w:rPr>
        <w:t>二、谈判报价表</w:t>
      </w:r>
      <w:bookmarkEnd w:id="85"/>
      <w:bookmarkEnd w:id="86"/>
      <w:bookmarkEnd w:id="87"/>
    </w:p>
    <w:p w14:paraId="2DDEB9E8">
      <w:pPr>
        <w:spacing w:line="360" w:lineRule="auto"/>
        <w:jc w:val="center"/>
        <w:rPr>
          <w:rFonts w:ascii="宋体" w:hAnsi="宋体" w:cs="宋体"/>
          <w:b/>
          <w:bCs/>
          <w:sz w:val="24"/>
          <w:szCs w:val="32"/>
          <w:highlight w:val="none"/>
        </w:rPr>
      </w:pPr>
      <w:r>
        <w:rPr>
          <w:rFonts w:hint="eastAsia" w:ascii="宋体" w:hAnsi="宋体" w:cs="宋体"/>
          <w:b/>
          <w:bCs/>
          <w:sz w:val="24"/>
          <w:szCs w:val="32"/>
          <w:highlight w:val="none"/>
        </w:rPr>
        <w:t>2.1报价一览表</w:t>
      </w:r>
    </w:p>
    <w:p w14:paraId="024FE070">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项目名称：</w:t>
      </w:r>
    </w:p>
    <w:p w14:paraId="7058A40E">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项目编号：</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9"/>
        <w:gridCol w:w="3745"/>
        <w:gridCol w:w="2252"/>
      </w:tblGrid>
      <w:tr w14:paraId="114F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808" w:type="pct"/>
            <w:vAlign w:val="center"/>
          </w:tcPr>
          <w:p w14:paraId="0FCC127E">
            <w:pPr>
              <w:jc w:val="center"/>
              <w:rPr>
                <w:rFonts w:ascii="宋体" w:hAnsi="宋体" w:cs="宋体"/>
                <w:sz w:val="24"/>
                <w:szCs w:val="32"/>
                <w:highlight w:val="none"/>
              </w:rPr>
            </w:pPr>
            <w:r>
              <w:rPr>
                <w:rFonts w:hint="eastAsia" w:ascii="宋体" w:hAnsi="宋体" w:cs="宋体"/>
                <w:sz w:val="24"/>
                <w:szCs w:val="32"/>
                <w:highlight w:val="none"/>
              </w:rPr>
              <w:t>谈判总报价</w:t>
            </w:r>
          </w:p>
        </w:tc>
        <w:tc>
          <w:tcPr>
            <w:tcW w:w="1992" w:type="pct"/>
            <w:vAlign w:val="center"/>
          </w:tcPr>
          <w:p w14:paraId="324FFF52">
            <w:pPr>
              <w:jc w:val="center"/>
              <w:rPr>
                <w:rFonts w:ascii="宋体" w:hAnsi="宋体" w:cs="宋体"/>
                <w:sz w:val="24"/>
                <w:szCs w:val="32"/>
                <w:highlight w:val="none"/>
              </w:rPr>
            </w:pPr>
            <w:r>
              <w:rPr>
                <w:rFonts w:hint="eastAsia" w:ascii="宋体" w:hAnsi="宋体" w:cs="宋体"/>
                <w:sz w:val="24"/>
                <w:szCs w:val="32"/>
                <w:highlight w:val="none"/>
              </w:rPr>
              <w:t>服务期</w:t>
            </w:r>
          </w:p>
        </w:tc>
        <w:tc>
          <w:tcPr>
            <w:tcW w:w="1198" w:type="pct"/>
            <w:vAlign w:val="center"/>
          </w:tcPr>
          <w:p w14:paraId="00B80687">
            <w:pPr>
              <w:jc w:val="center"/>
              <w:rPr>
                <w:rFonts w:ascii="宋体" w:hAnsi="宋体" w:cs="宋体"/>
                <w:sz w:val="24"/>
                <w:szCs w:val="32"/>
                <w:highlight w:val="none"/>
              </w:rPr>
            </w:pPr>
            <w:r>
              <w:rPr>
                <w:rFonts w:hint="eastAsia" w:ascii="宋体" w:hAnsi="宋体" w:cs="宋体"/>
                <w:sz w:val="24"/>
                <w:szCs w:val="32"/>
                <w:highlight w:val="none"/>
              </w:rPr>
              <w:t>备注</w:t>
            </w:r>
          </w:p>
        </w:tc>
      </w:tr>
      <w:tr w14:paraId="007D3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808" w:type="pct"/>
            <w:vAlign w:val="center"/>
          </w:tcPr>
          <w:p w14:paraId="76F3ACF7">
            <w:pPr>
              <w:jc w:val="center"/>
              <w:rPr>
                <w:rFonts w:ascii="宋体" w:hAnsi="宋体" w:cs="宋体"/>
                <w:sz w:val="24"/>
                <w:szCs w:val="32"/>
                <w:highlight w:val="none"/>
              </w:rPr>
            </w:pPr>
          </w:p>
        </w:tc>
        <w:tc>
          <w:tcPr>
            <w:tcW w:w="1992" w:type="pct"/>
            <w:vAlign w:val="center"/>
          </w:tcPr>
          <w:p w14:paraId="4252CF12">
            <w:pPr>
              <w:jc w:val="center"/>
              <w:rPr>
                <w:rFonts w:ascii="宋体" w:hAnsi="宋体" w:cs="宋体"/>
                <w:sz w:val="24"/>
                <w:szCs w:val="32"/>
                <w:highlight w:val="none"/>
              </w:rPr>
            </w:pPr>
          </w:p>
        </w:tc>
        <w:tc>
          <w:tcPr>
            <w:tcW w:w="1198" w:type="pct"/>
          </w:tcPr>
          <w:p w14:paraId="72D7AA13">
            <w:pPr>
              <w:jc w:val="center"/>
              <w:rPr>
                <w:rFonts w:ascii="宋体" w:hAnsi="宋体" w:cs="宋体"/>
                <w:sz w:val="24"/>
                <w:szCs w:val="32"/>
                <w:highlight w:val="none"/>
              </w:rPr>
            </w:pPr>
          </w:p>
        </w:tc>
      </w:tr>
    </w:tbl>
    <w:p w14:paraId="016FA341">
      <w:pPr>
        <w:spacing w:line="120" w:lineRule="exact"/>
        <w:rPr>
          <w:rFonts w:ascii="宋体" w:hAnsi="宋体" w:cs="宋体"/>
          <w:sz w:val="24"/>
          <w:szCs w:val="28"/>
          <w:highlight w:val="none"/>
        </w:rPr>
      </w:pPr>
    </w:p>
    <w:p w14:paraId="5CCBD49D">
      <w:pPr>
        <w:rPr>
          <w:rFonts w:ascii="宋体" w:hAnsi="宋体" w:cs="宋体"/>
          <w:sz w:val="24"/>
          <w:szCs w:val="32"/>
          <w:highlight w:val="none"/>
        </w:rPr>
      </w:pPr>
    </w:p>
    <w:p w14:paraId="7663EDDF">
      <w:pPr>
        <w:rPr>
          <w:rFonts w:ascii="宋体" w:hAnsi="宋体" w:cs="宋体"/>
          <w:sz w:val="24"/>
          <w:szCs w:val="32"/>
          <w:highlight w:val="none"/>
        </w:rPr>
      </w:pPr>
    </w:p>
    <w:p w14:paraId="37600BE4">
      <w:pPr>
        <w:rPr>
          <w:rFonts w:ascii="宋体" w:hAnsi="宋体" w:cs="宋体"/>
          <w:sz w:val="24"/>
          <w:szCs w:val="32"/>
          <w:highlight w:val="none"/>
        </w:rPr>
      </w:pPr>
    </w:p>
    <w:p w14:paraId="7FAFBE3C">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供应商名称：</w:t>
      </w:r>
      <w:r>
        <w:rPr>
          <w:rFonts w:hint="eastAsia" w:ascii="宋体" w:hAnsi="宋体" w:cs="宋体"/>
          <w:sz w:val="24"/>
          <w:szCs w:val="32"/>
          <w:highlight w:val="none"/>
          <w:u w:val="single"/>
        </w:rPr>
        <w:t xml:space="preserve">       （加盖单位公章）      </w:t>
      </w:r>
    </w:p>
    <w:p w14:paraId="5B54794D">
      <w:pPr>
        <w:spacing w:line="280" w:lineRule="exact"/>
        <w:ind w:right="540" w:rightChars="257"/>
        <w:jc w:val="left"/>
        <w:rPr>
          <w:rFonts w:ascii="宋体" w:hAnsi="宋体" w:cs="宋体"/>
          <w:sz w:val="24"/>
          <w:szCs w:val="32"/>
          <w:highlight w:val="none"/>
        </w:rPr>
      </w:pPr>
    </w:p>
    <w:p w14:paraId="7F669CDA">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法定代表人/授权代表签字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29562ADD">
      <w:pPr>
        <w:spacing w:line="280" w:lineRule="exact"/>
        <w:ind w:right="540" w:rightChars="257"/>
        <w:jc w:val="left"/>
        <w:rPr>
          <w:rFonts w:ascii="宋体" w:hAnsi="宋体" w:cs="宋体"/>
          <w:sz w:val="24"/>
          <w:szCs w:val="32"/>
          <w:highlight w:val="none"/>
        </w:rPr>
      </w:pPr>
    </w:p>
    <w:p w14:paraId="48B2F116">
      <w:pPr>
        <w:spacing w:line="280" w:lineRule="exact"/>
        <w:ind w:right="540" w:rightChars="257"/>
        <w:rPr>
          <w:rFonts w:ascii="宋体" w:hAnsi="宋体" w:cs="宋体"/>
          <w:sz w:val="24"/>
          <w:szCs w:val="32"/>
          <w:highlight w:val="none"/>
        </w:rPr>
      </w:pPr>
      <w:r>
        <w:rPr>
          <w:rFonts w:hint="eastAsia" w:ascii="宋体" w:hAnsi="宋体" w:cs="宋体"/>
          <w:sz w:val="24"/>
          <w:szCs w:val="32"/>
          <w:highlight w:val="none"/>
        </w:rPr>
        <w:t>日    期：</w:t>
      </w:r>
    </w:p>
    <w:p w14:paraId="1020207B">
      <w:pPr>
        <w:jc w:val="center"/>
        <w:rPr>
          <w:rFonts w:ascii="宋体" w:hAnsi="宋体" w:cs="宋体"/>
          <w:sz w:val="24"/>
          <w:szCs w:val="32"/>
          <w:highlight w:val="none"/>
        </w:rPr>
      </w:pPr>
    </w:p>
    <w:p w14:paraId="48729AE7">
      <w:pPr>
        <w:spacing w:before="156" w:beforeLines="50" w:after="156" w:afterLines="50" w:line="400" w:lineRule="atLeast"/>
        <w:rPr>
          <w:rFonts w:ascii="宋体" w:hAnsi="宋体" w:cs="宋体"/>
          <w:sz w:val="24"/>
          <w:szCs w:val="32"/>
          <w:highlight w:val="none"/>
          <w:u w:val="single"/>
        </w:rPr>
      </w:pPr>
      <w:r>
        <w:rPr>
          <w:rFonts w:hint="eastAsia" w:ascii="宋体" w:hAnsi="宋体" w:cs="宋体"/>
          <w:sz w:val="24"/>
          <w:szCs w:val="32"/>
          <w:highlight w:val="none"/>
        </w:rPr>
        <w:t>注：</w:t>
      </w:r>
      <w:r>
        <w:rPr>
          <w:rFonts w:ascii="宋体" w:hAnsi="宋体" w:cs="宋体"/>
          <w:sz w:val="24"/>
          <w:szCs w:val="32"/>
          <w:highlight w:val="none"/>
        </w:rPr>
        <w:t>谈判总</w:t>
      </w:r>
      <w:r>
        <w:rPr>
          <w:rFonts w:hint="eastAsia" w:ascii="宋体" w:hAnsi="宋体" w:cs="宋体"/>
          <w:sz w:val="24"/>
          <w:szCs w:val="24"/>
          <w:highlight w:val="none"/>
        </w:rPr>
        <w:t>报价超过最高限价按无效响应文件处理。</w:t>
      </w:r>
    </w:p>
    <w:p w14:paraId="53DDF0D6">
      <w:pPr>
        <w:jc w:val="center"/>
        <w:rPr>
          <w:rFonts w:ascii="宋体" w:hAnsi="宋体" w:cs="宋体"/>
          <w:b/>
          <w:sz w:val="30"/>
          <w:szCs w:val="30"/>
          <w:highlight w:val="none"/>
        </w:rPr>
      </w:pPr>
    </w:p>
    <w:p w14:paraId="4E0BD2AB">
      <w:pPr>
        <w:jc w:val="center"/>
        <w:rPr>
          <w:rFonts w:ascii="宋体" w:hAnsi="宋体" w:cs="宋体"/>
          <w:b/>
          <w:sz w:val="30"/>
          <w:szCs w:val="30"/>
          <w:highlight w:val="none"/>
        </w:rPr>
      </w:pPr>
      <w:r>
        <w:rPr>
          <w:rFonts w:hint="eastAsia" w:ascii="宋体" w:hAnsi="宋体" w:cs="宋体"/>
          <w:b/>
          <w:sz w:val="30"/>
          <w:szCs w:val="30"/>
          <w:highlight w:val="none"/>
        </w:rPr>
        <w:br w:type="page"/>
      </w:r>
      <w:r>
        <w:rPr>
          <w:rFonts w:hint="eastAsia" w:ascii="宋体" w:hAnsi="宋体" w:cs="宋体"/>
          <w:b/>
          <w:sz w:val="30"/>
          <w:szCs w:val="30"/>
          <w:highlight w:val="none"/>
        </w:rPr>
        <w:t>2.2谈判分项报价表</w:t>
      </w:r>
    </w:p>
    <w:p w14:paraId="6A01AB10">
      <w:pPr>
        <w:pStyle w:val="8"/>
        <w:jc w:val="center"/>
        <w:rPr>
          <w:rFonts w:hint="eastAsia" w:ascii="宋体" w:hAnsi="宋体" w:eastAsia="宋体" w:cs="宋体"/>
          <w:color w:val="auto"/>
          <w:sz w:val="24"/>
          <w:szCs w:val="22"/>
          <w:highlight w:val="none"/>
          <w:lang w:eastAsia="zh-CN"/>
        </w:rPr>
      </w:pPr>
      <w:bookmarkStart w:id="88" w:name="_Toc344572163"/>
    </w:p>
    <w:p w14:paraId="0BCD953A">
      <w:pPr>
        <w:pStyle w:val="8"/>
        <w:jc w:val="center"/>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eastAsia="zh-CN"/>
        </w:rPr>
        <w:t>格式自拟</w:t>
      </w:r>
    </w:p>
    <w:p w14:paraId="2A250B7A">
      <w:pPr>
        <w:spacing w:line="480" w:lineRule="auto"/>
        <w:ind w:right="540" w:rightChars="257"/>
        <w:rPr>
          <w:rFonts w:hint="eastAsia" w:ascii="宋体" w:hAnsi="宋体" w:cs="宋体"/>
          <w:sz w:val="24"/>
          <w:szCs w:val="24"/>
          <w:highlight w:val="none"/>
        </w:rPr>
      </w:pPr>
    </w:p>
    <w:p w14:paraId="393E4AFE">
      <w:pPr>
        <w:spacing w:line="480" w:lineRule="auto"/>
        <w:ind w:right="540" w:rightChars="257"/>
        <w:rPr>
          <w:rFonts w:ascii="宋体" w:hAnsi="宋体" w:cs="宋体"/>
          <w:sz w:val="24"/>
          <w:szCs w:val="24"/>
          <w:highlight w:val="none"/>
          <w:u w:val="single"/>
        </w:rPr>
      </w:pPr>
      <w:r>
        <w:rPr>
          <w:rFonts w:hint="eastAsia" w:ascii="宋体" w:hAnsi="宋体" w:cs="宋体"/>
          <w:sz w:val="24"/>
          <w:szCs w:val="24"/>
          <w:highlight w:val="none"/>
        </w:rPr>
        <w:t>谈判响应单位名称：</w:t>
      </w:r>
      <w:r>
        <w:rPr>
          <w:rFonts w:hint="eastAsia" w:ascii="宋体" w:hAnsi="宋体" w:cs="宋体"/>
          <w:sz w:val="24"/>
          <w:szCs w:val="24"/>
          <w:highlight w:val="none"/>
          <w:u w:val="single"/>
        </w:rPr>
        <w:t xml:space="preserve">      （加盖单位公章）     </w:t>
      </w:r>
    </w:p>
    <w:p w14:paraId="06D8E1A7">
      <w:pPr>
        <w:spacing w:line="480" w:lineRule="auto"/>
        <w:ind w:right="540" w:rightChars="257"/>
        <w:jc w:val="left"/>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32"/>
          <w:highlight w:val="none"/>
        </w:rPr>
        <w:t>/</w:t>
      </w:r>
      <w:r>
        <w:rPr>
          <w:rFonts w:hint="eastAsia" w:ascii="宋体" w:hAnsi="宋体" w:cs="宋体"/>
          <w:sz w:val="24"/>
          <w:szCs w:val="24"/>
          <w:highlight w:val="none"/>
        </w:rPr>
        <w:t>被授权人签字或盖章：</w:t>
      </w:r>
      <w:r>
        <w:rPr>
          <w:rFonts w:hint="eastAsia" w:ascii="宋体" w:hAnsi="宋体" w:cs="宋体"/>
          <w:sz w:val="24"/>
          <w:szCs w:val="24"/>
          <w:highlight w:val="none"/>
          <w:u w:val="single"/>
        </w:rPr>
        <w:t xml:space="preserve">                                     </w:t>
      </w:r>
    </w:p>
    <w:p w14:paraId="6AC9EC63">
      <w:pPr>
        <w:spacing w:line="480" w:lineRule="auto"/>
        <w:ind w:right="540" w:rightChars="257"/>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p>
    <w:p w14:paraId="0AD3B945">
      <w:pPr>
        <w:pStyle w:val="8"/>
        <w:spacing w:line="360" w:lineRule="auto"/>
        <w:rPr>
          <w:rFonts w:ascii="宋体" w:hAnsi="宋体" w:cs="宋体"/>
          <w:szCs w:val="28"/>
          <w:highlight w:val="none"/>
        </w:rPr>
      </w:pPr>
    </w:p>
    <w:p w14:paraId="253F1FBB">
      <w:pPr>
        <w:rPr>
          <w:highlight w:val="none"/>
        </w:rPr>
      </w:pPr>
      <w:r>
        <w:rPr>
          <w:highlight w:val="none"/>
        </w:rPr>
        <w:br w:type="page"/>
      </w:r>
    </w:p>
    <w:p w14:paraId="567E9AE9">
      <w:pPr>
        <w:jc w:val="center"/>
        <w:outlineLvl w:val="2"/>
        <w:rPr>
          <w:rFonts w:ascii="宋体" w:hAnsi="宋体" w:cs="宋体"/>
          <w:sz w:val="32"/>
          <w:szCs w:val="32"/>
          <w:highlight w:val="none"/>
        </w:rPr>
      </w:pPr>
      <w:bookmarkStart w:id="102" w:name="_GoBack"/>
      <w:bookmarkStart w:id="89" w:name="_Toc18939"/>
      <w:r>
        <w:rPr>
          <w:rFonts w:hint="eastAsia" w:ascii="宋体" w:hAnsi="宋体" w:cs="宋体"/>
          <w:b/>
          <w:bCs/>
          <w:sz w:val="32"/>
          <w:szCs w:val="32"/>
          <w:highlight w:val="none"/>
        </w:rPr>
        <w:t>三、谈判方案说明书</w:t>
      </w:r>
      <w:bookmarkEnd w:id="89"/>
    </w:p>
    <w:p w14:paraId="66411E43">
      <w:pPr>
        <w:pStyle w:val="11"/>
        <w:spacing w:line="480" w:lineRule="auto"/>
        <w:ind w:firstLine="480" w:firstLineChars="200"/>
        <w:jc w:val="center"/>
        <w:rPr>
          <w:rFonts w:hAnsi="宋体"/>
          <w:sz w:val="24"/>
          <w:szCs w:val="24"/>
          <w:highlight w:val="none"/>
        </w:rPr>
      </w:pPr>
      <w:r>
        <w:rPr>
          <w:rFonts w:hint="eastAsia" w:hAnsi="宋体"/>
          <w:sz w:val="24"/>
          <w:szCs w:val="24"/>
          <w:highlight w:val="none"/>
        </w:rPr>
        <w:t>供应商根据本项目制定服务方案，格式自拟。</w:t>
      </w:r>
    </w:p>
    <w:p w14:paraId="0094B30E">
      <w:pPr>
        <w:pStyle w:val="16"/>
        <w:widowControl w:val="0"/>
        <w:spacing w:before="156" w:beforeLines="50" w:beforeAutospacing="0" w:after="156" w:afterLines="50" w:afterAutospacing="0"/>
        <w:rPr>
          <w:rFonts w:cs="宋体"/>
          <w:highlight w:val="none"/>
        </w:rPr>
      </w:pPr>
    </w:p>
    <w:p w14:paraId="5CC42BBB">
      <w:pPr>
        <w:spacing w:line="440" w:lineRule="exact"/>
        <w:ind w:left="3259" w:leftChars="1552"/>
        <w:rPr>
          <w:rFonts w:ascii="宋体" w:hAnsi="宋体" w:cs="宋体"/>
          <w:szCs w:val="24"/>
          <w:highlight w:val="none"/>
        </w:rPr>
      </w:pPr>
    </w:p>
    <w:bookmarkEnd w:id="102"/>
    <w:p w14:paraId="0D39F4AD">
      <w:pPr>
        <w:spacing w:line="440" w:lineRule="exact"/>
        <w:ind w:left="3259" w:leftChars="1552"/>
        <w:rPr>
          <w:rFonts w:ascii="宋体" w:hAnsi="宋体" w:cs="宋体"/>
          <w:szCs w:val="24"/>
          <w:highlight w:val="none"/>
        </w:rPr>
      </w:pPr>
    </w:p>
    <w:bookmarkEnd w:id="88"/>
    <w:p w14:paraId="673F6A72">
      <w:pPr>
        <w:rPr>
          <w:rFonts w:ascii="宋体" w:hAnsi="宋体" w:cs="宋体"/>
          <w:highlight w:val="none"/>
        </w:rPr>
      </w:pPr>
      <w:bookmarkStart w:id="90" w:name="_Toc403077656"/>
      <w:bookmarkStart w:id="91" w:name="_Toc363474033"/>
      <w:r>
        <w:rPr>
          <w:rFonts w:hint="eastAsia" w:ascii="宋体" w:hAnsi="宋体" w:cs="宋体"/>
          <w:b/>
          <w:bCs/>
          <w:sz w:val="30"/>
          <w:szCs w:val="30"/>
          <w:highlight w:val="none"/>
        </w:rPr>
        <w:br w:type="page"/>
      </w:r>
      <w:bookmarkStart w:id="92" w:name="_Toc26374"/>
    </w:p>
    <w:p w14:paraId="2002EBE5">
      <w:pPr>
        <w:spacing w:line="360" w:lineRule="auto"/>
        <w:jc w:val="center"/>
        <w:outlineLvl w:val="2"/>
        <w:rPr>
          <w:rFonts w:ascii="宋体" w:hAnsi="宋体" w:cs="宋体"/>
          <w:b/>
          <w:bCs/>
          <w:sz w:val="30"/>
          <w:szCs w:val="30"/>
          <w:highlight w:val="none"/>
        </w:rPr>
      </w:pPr>
      <w:r>
        <w:rPr>
          <w:rFonts w:hint="eastAsia" w:ascii="宋体" w:hAnsi="宋体" w:cs="宋体"/>
          <w:b/>
          <w:bCs/>
          <w:sz w:val="30"/>
          <w:szCs w:val="30"/>
          <w:highlight w:val="none"/>
        </w:rPr>
        <w:t>四、</w:t>
      </w:r>
      <w:bookmarkEnd w:id="90"/>
      <w:bookmarkEnd w:id="91"/>
      <w:r>
        <w:rPr>
          <w:rFonts w:hint="eastAsia" w:ascii="宋体" w:hAnsi="宋体" w:cs="宋体"/>
          <w:b/>
          <w:bCs/>
          <w:sz w:val="30"/>
          <w:szCs w:val="30"/>
          <w:highlight w:val="none"/>
        </w:rPr>
        <w:t>商务条款偏离表</w:t>
      </w:r>
      <w:bookmarkEnd w:id="92"/>
    </w:p>
    <w:p w14:paraId="048B6805">
      <w:pPr>
        <w:pStyle w:val="16"/>
        <w:widowControl w:val="0"/>
        <w:spacing w:before="156" w:beforeLines="50" w:beforeAutospacing="0" w:after="156" w:afterLines="50" w:afterAutospacing="0"/>
        <w:rPr>
          <w:rFonts w:cs="宋体"/>
          <w:highlight w:val="none"/>
        </w:rPr>
      </w:pPr>
      <w:bookmarkStart w:id="93" w:name="_Toc403077657"/>
      <w:bookmarkStart w:id="94" w:name="_Toc363474034"/>
      <w:r>
        <w:rPr>
          <w:rFonts w:hint="eastAsia" w:cs="宋体"/>
          <w:highlight w:val="none"/>
        </w:rPr>
        <w:t>项目编号：</w:t>
      </w:r>
    </w:p>
    <w:p w14:paraId="2E7FE562">
      <w:pPr>
        <w:pStyle w:val="16"/>
        <w:widowControl w:val="0"/>
        <w:spacing w:before="156" w:beforeLines="50" w:beforeAutospacing="0" w:after="156" w:afterLines="50" w:afterAutospacing="0"/>
        <w:rPr>
          <w:rFonts w:cs="宋体"/>
          <w:highlight w:val="none"/>
          <w:u w:val="single"/>
        </w:rPr>
      </w:pPr>
      <w:r>
        <w:rPr>
          <w:rFonts w:hint="eastAsia" w:cs="宋体"/>
          <w:highlight w:val="none"/>
        </w:rPr>
        <w:t>项目名称：</w:t>
      </w:r>
    </w:p>
    <w:tbl>
      <w:tblPr>
        <w:tblStyle w:val="17"/>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938"/>
        <w:gridCol w:w="1503"/>
        <w:gridCol w:w="1253"/>
      </w:tblGrid>
      <w:tr w14:paraId="1B90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6238961">
            <w:pPr>
              <w:pStyle w:val="16"/>
              <w:widowControl w:val="0"/>
              <w:spacing w:before="0" w:beforeAutospacing="0" w:after="0" w:afterAutospacing="0"/>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6F4AA704">
            <w:pPr>
              <w:pStyle w:val="16"/>
              <w:widowControl w:val="0"/>
              <w:spacing w:before="0" w:beforeAutospacing="0" w:after="0" w:afterAutospacing="0"/>
              <w:jc w:val="center"/>
              <w:rPr>
                <w:rFonts w:cs="宋体"/>
                <w:highlight w:val="none"/>
              </w:rPr>
            </w:pPr>
            <w:r>
              <w:rPr>
                <w:rFonts w:hint="eastAsia" w:cs="宋体"/>
                <w:highlight w:val="none"/>
              </w:rPr>
              <w:t>谈判文件的商务条款</w:t>
            </w:r>
          </w:p>
        </w:tc>
        <w:tc>
          <w:tcPr>
            <w:tcW w:w="2938" w:type="dxa"/>
            <w:tcBorders>
              <w:top w:val="single" w:color="auto" w:sz="4" w:space="0"/>
              <w:left w:val="single" w:color="auto" w:sz="4" w:space="0"/>
              <w:bottom w:val="single" w:color="auto" w:sz="4" w:space="0"/>
              <w:right w:val="single" w:color="auto" w:sz="4" w:space="0"/>
            </w:tcBorders>
            <w:vAlign w:val="center"/>
          </w:tcPr>
          <w:p w14:paraId="08F63E79">
            <w:pPr>
              <w:pStyle w:val="16"/>
              <w:widowControl w:val="0"/>
              <w:spacing w:before="0" w:beforeAutospacing="0" w:after="0" w:afterAutospacing="0"/>
              <w:jc w:val="center"/>
              <w:rPr>
                <w:rFonts w:cs="宋体"/>
                <w:highlight w:val="none"/>
              </w:rPr>
            </w:pPr>
            <w:r>
              <w:rPr>
                <w:rFonts w:hint="eastAsia" w:cs="宋体"/>
                <w:highlight w:val="none"/>
              </w:rPr>
              <w:t>谈判响应文件的商务条款</w:t>
            </w:r>
          </w:p>
        </w:tc>
        <w:tc>
          <w:tcPr>
            <w:tcW w:w="1503" w:type="dxa"/>
            <w:tcBorders>
              <w:top w:val="single" w:color="auto" w:sz="4" w:space="0"/>
              <w:left w:val="single" w:color="auto" w:sz="4" w:space="0"/>
              <w:bottom w:val="single" w:color="auto" w:sz="4" w:space="0"/>
              <w:right w:val="single" w:color="auto" w:sz="4" w:space="0"/>
            </w:tcBorders>
            <w:vAlign w:val="center"/>
          </w:tcPr>
          <w:p w14:paraId="57852938">
            <w:pPr>
              <w:pStyle w:val="16"/>
              <w:widowControl w:val="0"/>
              <w:spacing w:before="0" w:beforeAutospacing="0" w:after="0" w:afterAutospacing="0"/>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504825BF">
            <w:pPr>
              <w:pStyle w:val="16"/>
              <w:widowControl w:val="0"/>
              <w:spacing w:before="0" w:beforeAutospacing="0" w:after="0" w:afterAutospacing="0"/>
              <w:jc w:val="center"/>
              <w:rPr>
                <w:rFonts w:cs="宋体"/>
                <w:highlight w:val="none"/>
              </w:rPr>
            </w:pPr>
            <w:r>
              <w:rPr>
                <w:rFonts w:hint="eastAsia" w:cs="宋体"/>
                <w:highlight w:val="none"/>
              </w:rPr>
              <w:t>说明</w:t>
            </w:r>
          </w:p>
        </w:tc>
      </w:tr>
      <w:tr w14:paraId="0878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79BE18E">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434A183">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1261019">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6CF7AE7C">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A48A16">
            <w:pPr>
              <w:pStyle w:val="16"/>
              <w:widowControl w:val="0"/>
              <w:spacing w:before="0" w:beforeAutospacing="0" w:after="0" w:afterAutospacing="0"/>
              <w:ind w:firstLine="480" w:firstLineChars="200"/>
              <w:jc w:val="center"/>
              <w:rPr>
                <w:rFonts w:cs="宋体"/>
                <w:highlight w:val="none"/>
              </w:rPr>
            </w:pPr>
          </w:p>
        </w:tc>
      </w:tr>
      <w:tr w14:paraId="20F4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B0ED8B8">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18B54B6">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42B7C087">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6DFD832F">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409EDE7">
            <w:pPr>
              <w:pStyle w:val="16"/>
              <w:widowControl w:val="0"/>
              <w:spacing w:before="0" w:beforeAutospacing="0" w:after="0" w:afterAutospacing="0"/>
              <w:ind w:firstLine="480" w:firstLineChars="200"/>
              <w:jc w:val="center"/>
              <w:rPr>
                <w:rFonts w:cs="宋体"/>
                <w:highlight w:val="none"/>
              </w:rPr>
            </w:pPr>
          </w:p>
        </w:tc>
      </w:tr>
      <w:tr w14:paraId="1C2B6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ADA1F0F">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71A30F">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2B6E7EC">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55044321">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B5AA26D">
            <w:pPr>
              <w:pStyle w:val="16"/>
              <w:widowControl w:val="0"/>
              <w:spacing w:before="0" w:beforeAutospacing="0" w:after="0" w:afterAutospacing="0"/>
              <w:ind w:firstLine="480" w:firstLineChars="200"/>
              <w:jc w:val="center"/>
              <w:rPr>
                <w:rFonts w:cs="宋体"/>
                <w:highlight w:val="none"/>
              </w:rPr>
            </w:pPr>
          </w:p>
        </w:tc>
      </w:tr>
      <w:tr w14:paraId="430F9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ABCDDCB">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79C7CE5">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A86785E">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0D788135">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788EF8">
            <w:pPr>
              <w:pStyle w:val="16"/>
              <w:widowControl w:val="0"/>
              <w:spacing w:before="0" w:beforeAutospacing="0" w:after="0" w:afterAutospacing="0"/>
              <w:ind w:firstLine="480" w:firstLineChars="200"/>
              <w:jc w:val="center"/>
              <w:rPr>
                <w:rFonts w:cs="宋体"/>
                <w:highlight w:val="none"/>
              </w:rPr>
            </w:pPr>
          </w:p>
        </w:tc>
      </w:tr>
      <w:tr w14:paraId="340F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2CFE48E">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1528E6F">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45D555FC">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2E679A94">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A5A6BF4">
            <w:pPr>
              <w:pStyle w:val="16"/>
              <w:widowControl w:val="0"/>
              <w:spacing w:before="0" w:beforeAutospacing="0" w:after="0" w:afterAutospacing="0"/>
              <w:ind w:firstLine="480" w:firstLineChars="200"/>
              <w:jc w:val="center"/>
              <w:rPr>
                <w:rFonts w:cs="宋体"/>
                <w:highlight w:val="none"/>
              </w:rPr>
            </w:pPr>
          </w:p>
        </w:tc>
      </w:tr>
      <w:tr w14:paraId="0AD7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4CDE7E6">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BC057AC">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3A658F57">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02E2B6B7">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E075C21">
            <w:pPr>
              <w:pStyle w:val="16"/>
              <w:widowControl w:val="0"/>
              <w:spacing w:before="0" w:beforeAutospacing="0" w:after="0" w:afterAutospacing="0"/>
              <w:ind w:firstLine="480" w:firstLineChars="200"/>
              <w:jc w:val="center"/>
              <w:rPr>
                <w:rFonts w:cs="宋体"/>
                <w:highlight w:val="none"/>
              </w:rPr>
            </w:pPr>
          </w:p>
        </w:tc>
      </w:tr>
      <w:tr w14:paraId="0D6C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302F402">
            <w:pPr>
              <w:pStyle w:val="16"/>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89A0951">
            <w:pPr>
              <w:pStyle w:val="16"/>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7EF4240">
            <w:pPr>
              <w:pStyle w:val="16"/>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296D72E2">
            <w:pPr>
              <w:pStyle w:val="16"/>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DB1B897">
            <w:pPr>
              <w:pStyle w:val="16"/>
              <w:widowControl w:val="0"/>
              <w:spacing w:before="0" w:beforeAutospacing="0" w:after="0" w:afterAutospacing="0"/>
              <w:ind w:firstLine="480" w:firstLineChars="200"/>
              <w:jc w:val="center"/>
              <w:rPr>
                <w:rFonts w:cs="宋体"/>
                <w:highlight w:val="none"/>
              </w:rPr>
            </w:pPr>
          </w:p>
        </w:tc>
      </w:tr>
    </w:tbl>
    <w:p w14:paraId="391869AA">
      <w:pPr>
        <w:pStyle w:val="16"/>
        <w:widowControl w:val="0"/>
        <w:spacing w:before="0" w:beforeAutospacing="0" w:after="0" w:afterAutospacing="0"/>
        <w:rPr>
          <w:rFonts w:cs="宋体"/>
          <w:highlight w:val="none"/>
        </w:rPr>
      </w:pPr>
      <w:r>
        <w:rPr>
          <w:rFonts w:hint="eastAsia" w:cs="宋体"/>
          <w:highlight w:val="none"/>
        </w:rPr>
        <w:t>说明：</w:t>
      </w:r>
    </w:p>
    <w:p w14:paraId="004F908E">
      <w:pPr>
        <w:pStyle w:val="16"/>
        <w:widowControl w:val="0"/>
        <w:spacing w:before="0" w:beforeAutospacing="0" w:after="0" w:afterAutospacing="0"/>
        <w:ind w:firstLine="480" w:firstLineChars="200"/>
        <w:jc w:val="both"/>
        <w:rPr>
          <w:rFonts w:cs="宋体"/>
          <w:highlight w:val="none"/>
        </w:rPr>
      </w:pPr>
      <w:r>
        <w:rPr>
          <w:rFonts w:hint="eastAsia" w:cs="宋体"/>
          <w:highlight w:val="none"/>
        </w:rPr>
        <w:t>1.本表只填写谈判响应文件中与谈判文件有偏离（包括正偏离和负偏离）的内容，谈判响应文件中商务响应与谈判文件要求完全一致的，不用在此表中列出，但必须提交空白表。</w:t>
      </w:r>
    </w:p>
    <w:p w14:paraId="343D4038">
      <w:pPr>
        <w:pStyle w:val="16"/>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2.供应商必须据实填写，不得虚假响应，否则将取消其谈判或成交资格，并按有关规定进行处罚。</w:t>
      </w:r>
    </w:p>
    <w:p w14:paraId="4E20E859">
      <w:pPr>
        <w:pStyle w:val="16"/>
        <w:widowControl w:val="0"/>
        <w:spacing w:before="0" w:beforeAutospacing="0" w:after="0" w:afterAutospacing="0"/>
        <w:ind w:firstLine="480" w:firstLineChars="200"/>
        <w:jc w:val="center"/>
        <w:rPr>
          <w:rFonts w:cs="宋体"/>
          <w:highlight w:val="none"/>
        </w:rPr>
      </w:pPr>
    </w:p>
    <w:p w14:paraId="20F0128F">
      <w:pPr>
        <w:pStyle w:val="16"/>
        <w:widowControl w:val="0"/>
        <w:spacing w:before="0" w:beforeAutospacing="0" w:after="0" w:afterAutospacing="0"/>
        <w:ind w:firstLine="480" w:firstLineChars="200"/>
        <w:rPr>
          <w:rFonts w:cs="宋体"/>
          <w:highlight w:val="none"/>
        </w:rPr>
      </w:pPr>
      <w:r>
        <w:rPr>
          <w:rFonts w:hint="eastAsia" w:cs="宋体"/>
          <w:highlight w:val="none"/>
        </w:rPr>
        <w:t>供应商名称：                       （单位公章）</w:t>
      </w:r>
    </w:p>
    <w:p w14:paraId="06E2E713">
      <w:pPr>
        <w:pStyle w:val="16"/>
        <w:widowControl w:val="0"/>
        <w:spacing w:before="0" w:beforeAutospacing="0" w:after="0" w:afterAutospacing="0"/>
        <w:ind w:firstLine="480" w:firstLineChars="200"/>
        <w:jc w:val="center"/>
        <w:rPr>
          <w:rFonts w:cs="宋体"/>
          <w:highlight w:val="none"/>
        </w:rPr>
      </w:pPr>
    </w:p>
    <w:p w14:paraId="2B60B5D6">
      <w:pPr>
        <w:spacing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 xml:space="preserve">法定代表人或委托代理人：              （签字或盖章） </w:t>
      </w:r>
    </w:p>
    <w:p w14:paraId="57DFAB9E">
      <w:pPr>
        <w:jc w:val="center"/>
        <w:outlineLvl w:val="2"/>
        <w:rPr>
          <w:rFonts w:ascii="宋体" w:hAnsi="宋体" w:cs="宋体"/>
          <w:b/>
          <w:bCs/>
          <w:sz w:val="30"/>
          <w:szCs w:val="30"/>
          <w:highlight w:val="none"/>
        </w:rPr>
      </w:pPr>
      <w:r>
        <w:rPr>
          <w:rFonts w:hint="eastAsia" w:ascii="宋体" w:hAnsi="宋体" w:cs="宋体"/>
          <w:b/>
          <w:bCs/>
          <w:sz w:val="30"/>
          <w:szCs w:val="30"/>
          <w:highlight w:val="none"/>
        </w:rPr>
        <w:br w:type="page"/>
      </w:r>
      <w:bookmarkStart w:id="95" w:name="_Toc9972"/>
      <w:r>
        <w:rPr>
          <w:rFonts w:hint="eastAsia" w:ascii="宋体" w:hAnsi="宋体" w:cs="宋体"/>
          <w:b/>
          <w:bCs/>
          <w:sz w:val="30"/>
          <w:szCs w:val="30"/>
          <w:highlight w:val="none"/>
        </w:rPr>
        <w:t>五、陕西省政府采购供应商拒绝政府采购领域商业贿赂承诺书</w:t>
      </w:r>
      <w:bookmarkEnd w:id="95"/>
    </w:p>
    <w:p w14:paraId="4FA1B515">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为响应党中央、国务院关于治理政府采购领域商业贿赂行为的号召，我公司在此庄严承诺：</w:t>
      </w:r>
    </w:p>
    <w:p w14:paraId="66A76AED">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1、在参与政府采购活动中遵纪守法、诚信经营、公平竞标。</w:t>
      </w:r>
    </w:p>
    <w:p w14:paraId="1744CB82">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2、不向政府采购人、采购代理机构和政府采购评审专家进行任何形式的商业贿赂以谋取交易机会。</w:t>
      </w:r>
    </w:p>
    <w:p w14:paraId="28D37655">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3、不向政府采购代理机构和采购人提供虚假资质文件或采用虚假应标方式参与政府采购市场竞争并谋取中标、成交。</w:t>
      </w:r>
    </w:p>
    <w:p w14:paraId="665C5281">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4、不采取“围标、陪标”等商业欺诈手段获得政府采购订单。</w:t>
      </w:r>
    </w:p>
    <w:p w14:paraId="1926E029">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5、不采取不正当手段诋毁、排挤其他供应商。</w:t>
      </w:r>
    </w:p>
    <w:p w14:paraId="4DF4B92E">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6、不再提供商品和服务时“偷梁换柱、以次充好”损害采购人的合法权益。</w:t>
      </w:r>
    </w:p>
    <w:p w14:paraId="5903DC95">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7、不与采购人、采购代理机构政府采购评审专家或其它供应商恶意串通，进行质疑和投诉，维护政府采购市场秩序。</w:t>
      </w:r>
    </w:p>
    <w:p w14:paraId="2ACB6CF6">
      <w:pPr>
        <w:spacing w:line="600" w:lineRule="exact"/>
        <w:ind w:firstLine="480" w:firstLineChars="200"/>
        <w:jc w:val="left"/>
        <w:rPr>
          <w:rFonts w:ascii="宋体" w:hAnsi="宋体" w:cs="宋体"/>
          <w:sz w:val="24"/>
          <w:szCs w:val="32"/>
          <w:highlight w:val="none"/>
        </w:rPr>
      </w:pPr>
      <w:r>
        <w:rPr>
          <w:rFonts w:hint="eastAsia" w:ascii="宋体" w:hAnsi="宋体" w:cs="宋体"/>
          <w:sz w:val="24"/>
          <w:szCs w:val="32"/>
          <w:highlight w:val="none"/>
        </w:rPr>
        <w:t>8、尊重和接受政府采购监督管理部门的监督和政府采购代理机构招标采购要求，承担因违约行为给采购人造成的损失。</w:t>
      </w:r>
    </w:p>
    <w:p w14:paraId="474D7D79">
      <w:pPr>
        <w:spacing w:line="600" w:lineRule="exact"/>
        <w:ind w:left="681" w:leftChars="267" w:hanging="120" w:hangingChars="50"/>
        <w:jc w:val="left"/>
        <w:rPr>
          <w:rFonts w:ascii="宋体" w:hAnsi="宋体" w:cs="宋体"/>
          <w:sz w:val="24"/>
          <w:szCs w:val="32"/>
          <w:highlight w:val="none"/>
        </w:rPr>
      </w:pPr>
      <w:r>
        <w:rPr>
          <w:rFonts w:hint="eastAsia" w:ascii="宋体" w:hAnsi="宋体" w:cs="宋体"/>
          <w:sz w:val="24"/>
          <w:szCs w:val="32"/>
          <w:highlight w:val="none"/>
        </w:rPr>
        <w:t>9、不发生其他有悖于政府采购公开、公平、公正和诚信原则的行为。</w:t>
      </w:r>
    </w:p>
    <w:p w14:paraId="35265643">
      <w:pPr>
        <w:spacing w:line="600" w:lineRule="exact"/>
        <w:ind w:firstLine="720" w:firstLineChars="300"/>
        <w:jc w:val="left"/>
        <w:rPr>
          <w:rFonts w:ascii="宋体" w:hAnsi="宋体" w:cs="宋体"/>
          <w:sz w:val="24"/>
          <w:szCs w:val="32"/>
          <w:highlight w:val="none"/>
        </w:rPr>
      </w:pPr>
      <w:r>
        <w:rPr>
          <w:rFonts w:hint="eastAsia" w:ascii="宋体" w:hAnsi="宋体" w:cs="宋体"/>
          <w:sz w:val="24"/>
          <w:szCs w:val="32"/>
          <w:highlight w:val="none"/>
        </w:rPr>
        <w:t>承诺单位（盖章）：</w:t>
      </w:r>
    </w:p>
    <w:p w14:paraId="3924B4E2">
      <w:pPr>
        <w:spacing w:line="600" w:lineRule="exact"/>
        <w:ind w:firstLine="720" w:firstLineChars="300"/>
        <w:jc w:val="left"/>
        <w:rPr>
          <w:rFonts w:ascii="宋体" w:hAnsi="宋体" w:cs="宋体"/>
          <w:sz w:val="24"/>
          <w:szCs w:val="32"/>
          <w:highlight w:val="none"/>
        </w:rPr>
      </w:pPr>
      <w:r>
        <w:rPr>
          <w:rFonts w:hint="eastAsia" w:ascii="宋体" w:hAnsi="宋体" w:cs="宋体"/>
          <w:sz w:val="24"/>
          <w:szCs w:val="32"/>
          <w:highlight w:val="none"/>
        </w:rPr>
        <w:t>法定代表人或被授权代表（签字或盖章）：</w:t>
      </w:r>
    </w:p>
    <w:p w14:paraId="176285BE">
      <w:pPr>
        <w:spacing w:line="600" w:lineRule="exact"/>
        <w:ind w:firstLine="720" w:firstLineChars="300"/>
        <w:rPr>
          <w:rFonts w:ascii="宋体" w:hAnsi="宋体" w:cs="宋体"/>
          <w:sz w:val="24"/>
          <w:szCs w:val="32"/>
          <w:highlight w:val="none"/>
        </w:rPr>
      </w:pPr>
      <w:r>
        <w:rPr>
          <w:rFonts w:hint="eastAsia" w:ascii="宋体" w:hAnsi="宋体" w:cs="宋体"/>
          <w:sz w:val="24"/>
          <w:szCs w:val="32"/>
          <w:highlight w:val="none"/>
        </w:rPr>
        <w:t xml:space="preserve">地    址：                                                       </w:t>
      </w:r>
    </w:p>
    <w:p w14:paraId="0BCF4EB6">
      <w:pPr>
        <w:spacing w:line="600" w:lineRule="exact"/>
        <w:ind w:firstLine="720" w:firstLineChars="300"/>
        <w:rPr>
          <w:rFonts w:ascii="宋体" w:hAnsi="宋体" w:cs="宋体"/>
          <w:sz w:val="24"/>
          <w:szCs w:val="32"/>
          <w:highlight w:val="none"/>
        </w:rPr>
      </w:pPr>
      <w:r>
        <w:rPr>
          <w:rFonts w:hint="eastAsia" w:ascii="宋体" w:hAnsi="宋体" w:cs="宋体"/>
          <w:sz w:val="24"/>
          <w:szCs w:val="32"/>
          <w:highlight w:val="none"/>
        </w:rPr>
        <w:t xml:space="preserve">邮    编：                                                       </w:t>
      </w:r>
    </w:p>
    <w:p w14:paraId="1E9DDBAD">
      <w:pPr>
        <w:spacing w:line="600" w:lineRule="exact"/>
        <w:ind w:left="210" w:leftChars="100" w:firstLine="480" w:firstLineChars="200"/>
        <w:rPr>
          <w:rFonts w:ascii="宋体" w:hAnsi="宋体" w:cs="宋体"/>
          <w:sz w:val="24"/>
          <w:szCs w:val="32"/>
          <w:highlight w:val="none"/>
        </w:rPr>
      </w:pPr>
      <w:r>
        <w:rPr>
          <w:rFonts w:hint="eastAsia" w:ascii="宋体" w:hAnsi="宋体" w:cs="宋体"/>
          <w:sz w:val="24"/>
          <w:szCs w:val="32"/>
          <w:highlight w:val="none"/>
        </w:rPr>
        <w:t xml:space="preserve">电    话：                                                       </w:t>
      </w:r>
    </w:p>
    <w:p w14:paraId="6A748272">
      <w:pPr>
        <w:spacing w:line="600" w:lineRule="exact"/>
        <w:ind w:left="659" w:leftChars="314" w:firstLine="5280" w:firstLineChars="2200"/>
        <w:jc w:val="left"/>
        <w:rPr>
          <w:rFonts w:ascii="宋体" w:hAnsi="宋体" w:cs="宋体"/>
          <w:sz w:val="24"/>
          <w:szCs w:val="32"/>
          <w:highlight w:val="none"/>
        </w:rPr>
      </w:pPr>
      <w:r>
        <w:rPr>
          <w:rFonts w:hint="eastAsia" w:ascii="宋体" w:hAnsi="宋体" w:cs="宋体"/>
          <w:sz w:val="24"/>
          <w:szCs w:val="32"/>
          <w:highlight w:val="none"/>
        </w:rPr>
        <w:t>年    月    日</w:t>
      </w:r>
    </w:p>
    <w:p w14:paraId="1E652A01">
      <w:pPr>
        <w:rPr>
          <w:rFonts w:ascii="宋体" w:hAnsi="宋体" w:cs="宋体"/>
          <w:highlight w:val="none"/>
        </w:rPr>
      </w:pPr>
      <w:r>
        <w:rPr>
          <w:rFonts w:hint="eastAsia" w:ascii="宋体" w:hAnsi="宋体" w:cs="宋体"/>
          <w:highlight w:val="none"/>
        </w:rPr>
        <w:br w:type="page"/>
      </w:r>
    </w:p>
    <w:p w14:paraId="3AC39E0F">
      <w:pPr>
        <w:jc w:val="center"/>
        <w:outlineLvl w:val="2"/>
        <w:rPr>
          <w:rFonts w:ascii="宋体" w:hAnsi="宋体" w:cs="宋体"/>
          <w:b/>
          <w:bCs/>
          <w:sz w:val="30"/>
          <w:szCs w:val="30"/>
          <w:highlight w:val="none"/>
        </w:rPr>
      </w:pPr>
      <w:bookmarkStart w:id="96" w:name="_Toc23723"/>
      <w:r>
        <w:rPr>
          <w:rFonts w:hint="eastAsia" w:ascii="宋体" w:hAnsi="宋体" w:cs="宋体"/>
          <w:b/>
          <w:bCs/>
          <w:sz w:val="30"/>
          <w:szCs w:val="30"/>
          <w:highlight w:val="none"/>
        </w:rPr>
        <w:t>六、特定资格证明文件</w:t>
      </w:r>
      <w:bookmarkEnd w:id="93"/>
      <w:bookmarkEnd w:id="94"/>
      <w:bookmarkEnd w:id="96"/>
    </w:p>
    <w:p w14:paraId="7F3E399F">
      <w:pPr>
        <w:spacing w:line="56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(1)具有独⽴承担⺠事责任能⼒的法⼈、其他组织或⾃然⼈，并出具合法有效的统⼀社会信⽤代码的营业执照或事业单位法⼈证书等国家规定的相关证明，⾃然⼈参与的提供其⾝份证明；</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(2)提供法定代表⼈授权书(附法定代表⼈、被授权⼈⾝份证复印件及授权代表本单位证明(养⽼保险缴纳证明)，(法定代表⼈直接参加投标，须提供法定代表⼈⾝份证明及⾝份证复印件)；</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(3)提供2025年度经审计的财务报告（包括“四表⼀注”，即资产负债表、利润表、现⾦流量表、所有者权益变动表及其附注，符合《中⼩企业划型标准规定》的⼩型企业按照《⼩企业会计准则》执⾏。成⽴时间⾄提交谈判响应⽂件截⽌时间不⾜⼀年的可提供成⽴后任意时段的资产负债表），审计报告须具有注册会计师⾏业统⼀监管平台（http://acc.mof.gov.cn）赋予的验证码；或提供其开标前三个⽉内基本开⼾银⾏出具的资信证明；</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(4)提供递交竞争性谈判响应⽂件截⽌⽇前⼀年内已缴纳的⾄少⼀个⽉的纳税证明或完税证明（任意税种），依法免税的单位应提供相关证明材料；</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(5)提供递交竞争性谈判响应⽂件截⽌⽇前⼀年内已缴存的⾄少⼀个⽉的社会保障资⾦缴存单据或社保机构开具的社会保险参保缴费情况证明，依法不需要缴纳社会保障资⾦的单位应提供相关证明材料；</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(6)提供具有履⾏本合同所必需的设备和专业技术能⼒的说明及承诺书；</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(7)</w:t>
      </w:r>
      <w:r>
        <w:rPr>
          <w:rFonts w:hint="eastAsia" w:ascii="宋体" w:hAnsi="宋体" w:cs="宋体"/>
          <w:b w:val="0"/>
          <w:bCs w:val="0"/>
          <w:sz w:val="24"/>
          <w:szCs w:val="24"/>
          <w:highlight w:val="none"/>
          <w:lang w:val="en-US" w:eastAsia="zh-CN"/>
        </w:rPr>
        <w:t>提</w:t>
      </w:r>
      <w:r>
        <w:rPr>
          <w:rFonts w:hint="eastAsia" w:ascii="宋体" w:hAnsi="宋体" w:cs="宋体"/>
          <w:b w:val="0"/>
          <w:bCs w:val="0"/>
          <w:sz w:val="24"/>
          <w:szCs w:val="24"/>
          <w:highlight w:val="none"/>
        </w:rPr>
        <w:t>供《供应商信⽤记录书⾯声明函》供应商未被列⼊“信⽤中国”⽹站记录的“失信被执⾏⼈”或“重⼤税收违法案件当事⼈”名单；不处于“中国政府采购⽹”记录的“政府采购严重违法失信⾏为信息记录名单”中的禁⽌参加政府采购活动期间；</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(8)参加政府采购活动前3年内，在经营活动中没有重⼤违法记录的书⾯声明；</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(9)提供直接控股和管理关系清单。若与其他供应商存在单位负责⼈为同⼀⼈或者存在直接控股、管理关系的，则投标⽆效；</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(10)供应商应具备农产品质量安全检测机构考核合格证书(CATL)及检验检测机构资质认定证书(CMA);</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(11)本项⽬不接受联合体谈判（需提供承诺书）；</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(12)提供中⼩企业声明函或监狱企业的证明⽂件或残疾⼈福利性单位声明函；</w:t>
      </w:r>
    </w:p>
    <w:p w14:paraId="5100B513">
      <w:pPr>
        <w:rPr>
          <w:rFonts w:ascii="宋体" w:hAnsi="宋体" w:cs="宋体"/>
          <w:b/>
          <w:highlight w:val="none"/>
        </w:rPr>
      </w:pPr>
      <w:r>
        <w:rPr>
          <w:rFonts w:hint="eastAsia" w:ascii="宋体" w:hAnsi="宋体" w:cs="宋体"/>
          <w:b/>
          <w:bCs/>
          <w:sz w:val="28"/>
          <w:szCs w:val="28"/>
          <w:highlight w:val="none"/>
        </w:rPr>
        <w:t>后附相关格式：</w:t>
      </w:r>
      <w:r>
        <w:rPr>
          <w:rFonts w:hint="eastAsia" w:ascii="宋体" w:hAnsi="宋体" w:cs="宋体"/>
          <w:b/>
          <w:bCs/>
          <w:sz w:val="30"/>
          <w:szCs w:val="30"/>
          <w:highlight w:val="none"/>
        </w:rPr>
        <w:br w:type="page"/>
      </w:r>
    </w:p>
    <w:p w14:paraId="7E28FD34">
      <w:pPr>
        <w:jc w:val="center"/>
        <w:outlineLvl w:val="2"/>
        <w:rPr>
          <w:rFonts w:ascii="宋体" w:hAnsi="宋体" w:cs="宋体"/>
          <w:b/>
          <w:bCs/>
          <w:sz w:val="30"/>
          <w:szCs w:val="30"/>
          <w:highlight w:val="none"/>
        </w:rPr>
      </w:pPr>
      <w:bookmarkStart w:id="97" w:name="_Toc27372"/>
      <w:r>
        <w:rPr>
          <w:rFonts w:hint="eastAsia" w:ascii="宋体" w:hAnsi="宋体" w:cs="宋体"/>
          <w:b/>
          <w:bCs/>
          <w:sz w:val="30"/>
          <w:szCs w:val="30"/>
          <w:highlight w:val="none"/>
        </w:rPr>
        <w:t>七、其它</w:t>
      </w:r>
      <w:bookmarkEnd w:id="97"/>
    </w:p>
    <w:p w14:paraId="67EBF324">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1、依据竞争性谈判文件要求，供应商认为有必要说明的其他内容</w:t>
      </w:r>
    </w:p>
    <w:p w14:paraId="6E1F00A0">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0F8F3E65">
      <w:pPr>
        <w:rPr>
          <w:rFonts w:ascii="宋体" w:hAnsi="宋体" w:cs="宋体"/>
          <w:sz w:val="24"/>
          <w:szCs w:val="24"/>
          <w:highlight w:val="none"/>
        </w:rPr>
      </w:pPr>
      <w:r>
        <w:rPr>
          <w:rFonts w:hint="eastAsia" w:ascii="宋体" w:hAnsi="宋体" w:cs="宋体"/>
          <w:sz w:val="24"/>
          <w:szCs w:val="24"/>
          <w:highlight w:val="none"/>
        </w:rPr>
        <w:br w:type="page"/>
      </w:r>
    </w:p>
    <w:p w14:paraId="71B84C3B">
      <w:pPr>
        <w:spacing w:before="156" w:beforeLines="50" w:after="156" w:afterLines="50" w:line="500" w:lineRule="exact"/>
        <w:rPr>
          <w:rFonts w:ascii="宋体" w:hAnsi="宋体" w:cs="宋体"/>
          <w:b/>
          <w:sz w:val="28"/>
          <w:szCs w:val="28"/>
          <w:highlight w:val="none"/>
        </w:rPr>
      </w:pPr>
      <w:r>
        <w:rPr>
          <w:rFonts w:hint="eastAsia" w:ascii="宋体" w:hAnsi="宋体" w:cs="宋体"/>
          <w:b/>
          <w:sz w:val="28"/>
          <w:szCs w:val="28"/>
          <w:highlight w:val="none"/>
        </w:rPr>
        <w:t>附件1：</w:t>
      </w:r>
    </w:p>
    <w:p w14:paraId="565A6046">
      <w:pPr>
        <w:keepNext/>
        <w:spacing w:before="312" w:beforeLines="100" w:line="360" w:lineRule="auto"/>
        <w:jc w:val="center"/>
        <w:rPr>
          <w:rFonts w:ascii="宋体" w:hAnsi="宋体" w:cs="宋体"/>
          <w:sz w:val="32"/>
          <w:szCs w:val="32"/>
          <w:highlight w:val="none"/>
        </w:rPr>
      </w:pPr>
      <w:bookmarkStart w:id="98" w:name="_Toc403077649"/>
      <w:bookmarkStart w:id="99" w:name="_Toc363474028"/>
      <w:r>
        <w:rPr>
          <w:rFonts w:hint="eastAsia" w:ascii="宋体" w:hAnsi="宋体" w:cs="宋体"/>
          <w:sz w:val="32"/>
          <w:szCs w:val="32"/>
          <w:highlight w:val="none"/>
        </w:rPr>
        <w:t>法定代表人身份证明/法定代表人授权书</w:t>
      </w:r>
      <w:bookmarkEnd w:id="98"/>
      <w:bookmarkEnd w:id="99"/>
    </w:p>
    <w:p w14:paraId="561E577E">
      <w:pPr>
        <w:rPr>
          <w:rFonts w:ascii="宋体" w:hAnsi="宋体" w:cs="宋体"/>
          <w:b/>
          <w:bCs/>
          <w:szCs w:val="32"/>
          <w:highlight w:val="none"/>
        </w:rPr>
      </w:pPr>
      <w:r>
        <w:rPr>
          <w:rFonts w:hint="eastAsia" w:ascii="宋体" w:hAnsi="宋体" w:cs="宋体"/>
          <w:highlight w:val="none"/>
        </w:rPr>
        <w:t xml:space="preserve">      </w:t>
      </w:r>
      <w:r>
        <w:rPr>
          <w:rFonts w:hint="eastAsia" w:ascii="宋体" w:hAnsi="宋体" w:cs="宋体"/>
          <w:szCs w:val="32"/>
          <w:highlight w:val="none"/>
        </w:rPr>
        <w:t xml:space="preserve"> </w:t>
      </w:r>
    </w:p>
    <w:p w14:paraId="1A7152FE">
      <w:pPr>
        <w:pStyle w:val="8"/>
        <w:jc w:val="center"/>
        <w:rPr>
          <w:rFonts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5BF1D82C">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供应商名称：</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w:t>
      </w:r>
    </w:p>
    <w:p w14:paraId="5648B190">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统一社会信用代码：</w:t>
      </w:r>
      <w:r>
        <w:rPr>
          <w:rFonts w:hint="eastAsia" w:ascii="宋体" w:hAnsi="宋体" w:cs="宋体"/>
          <w:sz w:val="24"/>
          <w:szCs w:val="28"/>
          <w:highlight w:val="none"/>
          <w:u w:val="single"/>
        </w:rPr>
        <w:t xml:space="preserve">                </w:t>
      </w:r>
    </w:p>
    <w:p w14:paraId="04B034CB">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注册地址：</w:t>
      </w:r>
      <w:r>
        <w:rPr>
          <w:rFonts w:hint="eastAsia" w:ascii="宋体" w:hAnsi="宋体" w:cs="宋体"/>
          <w:sz w:val="24"/>
          <w:szCs w:val="28"/>
          <w:highlight w:val="none"/>
          <w:u w:val="single"/>
        </w:rPr>
        <w:t xml:space="preserve">                        </w:t>
      </w:r>
    </w:p>
    <w:p w14:paraId="10CD2C55">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成立时间：</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年 </w:t>
      </w:r>
      <w:r>
        <w:rPr>
          <w:rFonts w:hint="eastAsia" w:ascii="宋体" w:hAnsi="宋体" w:cs="宋体"/>
          <w:sz w:val="24"/>
          <w:szCs w:val="28"/>
          <w:highlight w:val="none"/>
          <w:u w:val="single"/>
        </w:rPr>
        <w:t xml:space="preserve">  </w:t>
      </w:r>
      <w:r>
        <w:rPr>
          <w:rFonts w:hint="eastAsia" w:ascii="宋体" w:hAnsi="宋体" w:cs="宋体"/>
          <w:sz w:val="24"/>
          <w:szCs w:val="28"/>
          <w:highlight w:val="none"/>
        </w:rPr>
        <w:t>月</w:t>
      </w:r>
      <w:r>
        <w:rPr>
          <w:rFonts w:hint="eastAsia" w:ascii="宋体" w:hAnsi="宋体" w:cs="宋体"/>
          <w:sz w:val="24"/>
          <w:szCs w:val="28"/>
          <w:highlight w:val="none"/>
          <w:u w:val="single"/>
        </w:rPr>
        <w:t xml:space="preserve">  </w:t>
      </w:r>
      <w:r>
        <w:rPr>
          <w:rFonts w:hint="eastAsia" w:ascii="宋体" w:hAnsi="宋体" w:cs="宋体"/>
          <w:sz w:val="24"/>
          <w:szCs w:val="28"/>
          <w:highlight w:val="none"/>
        </w:rPr>
        <w:t>日</w:t>
      </w:r>
    </w:p>
    <w:p w14:paraId="677F736C">
      <w:pPr>
        <w:autoSpaceDE w:val="0"/>
        <w:autoSpaceDN w:val="0"/>
        <w:adjustRightInd w:val="0"/>
        <w:snapToGrid w:val="0"/>
        <w:spacing w:before="156" w:beforeLines="50" w:line="360" w:lineRule="auto"/>
        <w:jc w:val="left"/>
        <w:rPr>
          <w:rFonts w:ascii="宋体" w:hAnsi="宋体" w:cs="宋体"/>
          <w:sz w:val="24"/>
          <w:szCs w:val="28"/>
          <w:highlight w:val="none"/>
          <w:u w:val="single"/>
        </w:rPr>
      </w:pPr>
      <w:r>
        <w:rPr>
          <w:rFonts w:hint="eastAsia" w:ascii="宋体" w:hAnsi="宋体" w:cs="宋体"/>
          <w:sz w:val="24"/>
          <w:szCs w:val="28"/>
          <w:highlight w:val="none"/>
        </w:rPr>
        <w:t>经营期限：</w:t>
      </w:r>
      <w:r>
        <w:rPr>
          <w:rFonts w:hint="eastAsia" w:ascii="宋体" w:hAnsi="宋体" w:cs="宋体"/>
          <w:sz w:val="24"/>
          <w:szCs w:val="28"/>
          <w:highlight w:val="none"/>
          <w:u w:val="single"/>
        </w:rPr>
        <w:t xml:space="preserve">                  </w:t>
      </w:r>
    </w:p>
    <w:p w14:paraId="4BFF6BD9">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姓名：</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性别：</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年龄：</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系</w:t>
      </w:r>
      <w:r>
        <w:rPr>
          <w:rFonts w:hint="eastAsia" w:ascii="宋体" w:hAnsi="宋体" w:cs="宋体"/>
          <w:sz w:val="24"/>
          <w:szCs w:val="28"/>
          <w:highlight w:val="none"/>
          <w:u w:val="single"/>
        </w:rPr>
        <w:t xml:space="preserve">            </w:t>
      </w:r>
      <w:r>
        <w:rPr>
          <w:rFonts w:hint="eastAsia" w:ascii="宋体" w:hAnsi="宋体" w:cs="宋体"/>
          <w:sz w:val="24"/>
          <w:szCs w:val="28"/>
          <w:highlight w:val="none"/>
        </w:rPr>
        <w:t>（供应商名称）的法定代表人。</w:t>
      </w:r>
    </w:p>
    <w:p w14:paraId="63954F16">
      <w:pPr>
        <w:autoSpaceDE w:val="0"/>
        <w:autoSpaceDN w:val="0"/>
        <w:adjustRightInd w:val="0"/>
        <w:snapToGrid w:val="0"/>
        <w:spacing w:before="156" w:beforeLines="50" w:line="360" w:lineRule="auto"/>
        <w:jc w:val="left"/>
        <w:rPr>
          <w:rFonts w:ascii="宋体" w:hAnsi="宋体" w:cs="宋体"/>
          <w:sz w:val="24"/>
          <w:szCs w:val="28"/>
          <w:highlight w:val="none"/>
        </w:rPr>
      </w:pPr>
      <w:r>
        <w:rPr>
          <w:rFonts w:hint="eastAsia" w:ascii="宋体" w:hAnsi="宋体" w:cs="宋体"/>
          <w:sz w:val="24"/>
          <w:szCs w:val="28"/>
          <w:highlight w:val="none"/>
        </w:rPr>
        <w:t>特此证明。</w:t>
      </w:r>
    </w:p>
    <w:p w14:paraId="27CCCFE1">
      <w:pPr>
        <w:autoSpaceDE w:val="0"/>
        <w:autoSpaceDN w:val="0"/>
        <w:adjustRightInd w:val="0"/>
        <w:snapToGrid w:val="0"/>
        <w:spacing w:before="156" w:beforeLines="50" w:line="360" w:lineRule="auto"/>
        <w:jc w:val="left"/>
        <w:rPr>
          <w:rFonts w:ascii="宋体" w:hAnsi="宋体" w:cs="宋体"/>
          <w:sz w:val="24"/>
          <w:szCs w:val="24"/>
          <w:highlight w:val="none"/>
        </w:rPr>
      </w:pPr>
      <w:r>
        <w:rPr>
          <w:rFonts w:hint="eastAsia" w:ascii="宋体" w:hAnsi="宋体" w:cs="宋体"/>
          <w:sz w:val="24"/>
          <w:szCs w:val="24"/>
          <w:highlight w:val="none"/>
        </w:rPr>
        <w:t>附：法定代表人身份证复印件</w:t>
      </w:r>
    </w:p>
    <w:tbl>
      <w:tblPr>
        <w:tblStyle w:val="17"/>
        <w:tblpPr w:leftFromText="180" w:rightFromText="180" w:vertAnchor="text" w:horzAnchor="margin" w:tblpXSpec="center" w:tblpY="104"/>
        <w:tblW w:w="5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0"/>
      </w:tblGrid>
      <w:tr w14:paraId="67CB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5440" w:type="dxa"/>
            <w:vAlign w:val="center"/>
          </w:tcPr>
          <w:p w14:paraId="5B170375">
            <w:pPr>
              <w:snapToGrid w:val="0"/>
              <w:spacing w:line="480" w:lineRule="auto"/>
              <w:jc w:val="center"/>
              <w:rPr>
                <w:rFonts w:ascii="宋体" w:hAnsi="宋体" w:cs="宋体"/>
                <w:sz w:val="24"/>
                <w:szCs w:val="24"/>
                <w:highlight w:val="none"/>
              </w:rPr>
            </w:pPr>
          </w:p>
          <w:p w14:paraId="00572E4A">
            <w:pPr>
              <w:snapToGrid w:val="0"/>
              <w:spacing w:line="480" w:lineRule="auto"/>
              <w:jc w:val="center"/>
              <w:rPr>
                <w:rFonts w:ascii="宋体" w:hAnsi="宋体" w:cs="宋体"/>
                <w:sz w:val="24"/>
                <w:szCs w:val="24"/>
                <w:highlight w:val="none"/>
              </w:rPr>
            </w:pPr>
          </w:p>
          <w:p w14:paraId="2E8F3A3E">
            <w:pPr>
              <w:autoSpaceDE w:val="0"/>
              <w:autoSpaceDN w:val="0"/>
              <w:adjustRightInd w:val="0"/>
              <w:snapToGrid w:val="0"/>
              <w:spacing w:before="156" w:beforeLines="50" w:line="360" w:lineRule="auto"/>
              <w:jc w:val="center"/>
              <w:rPr>
                <w:rFonts w:ascii="宋体" w:hAnsi="宋体" w:cs="宋体"/>
                <w:sz w:val="24"/>
                <w:szCs w:val="24"/>
                <w:highlight w:val="none"/>
              </w:rPr>
            </w:pPr>
            <w:r>
              <w:rPr>
                <w:rFonts w:hint="eastAsia" w:ascii="宋体" w:hAnsi="宋体" w:cs="宋体"/>
                <w:sz w:val="24"/>
                <w:szCs w:val="24"/>
                <w:highlight w:val="none"/>
              </w:rPr>
              <w:t>法定代表人身份证复印件粘贴处</w:t>
            </w:r>
          </w:p>
          <w:p w14:paraId="5AA05F99">
            <w:pPr>
              <w:pStyle w:val="8"/>
              <w:jc w:val="center"/>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pacing w:val="0"/>
                <w:sz w:val="24"/>
                <w:szCs w:val="24"/>
                <w:highlight w:val="none"/>
              </w:rPr>
              <w:t>正反面）</w:t>
            </w:r>
          </w:p>
          <w:p w14:paraId="67786B63">
            <w:pPr>
              <w:snapToGrid w:val="0"/>
              <w:spacing w:line="480" w:lineRule="auto"/>
              <w:jc w:val="center"/>
              <w:rPr>
                <w:rFonts w:ascii="宋体" w:hAnsi="宋体" w:cs="宋体"/>
                <w:sz w:val="24"/>
                <w:szCs w:val="24"/>
                <w:highlight w:val="none"/>
              </w:rPr>
            </w:pPr>
          </w:p>
          <w:p w14:paraId="6E1644E2">
            <w:pPr>
              <w:snapToGrid w:val="0"/>
              <w:spacing w:line="480" w:lineRule="auto"/>
              <w:jc w:val="center"/>
              <w:rPr>
                <w:rFonts w:ascii="宋体" w:hAnsi="宋体" w:cs="宋体"/>
                <w:sz w:val="24"/>
                <w:szCs w:val="24"/>
                <w:highlight w:val="none"/>
              </w:rPr>
            </w:pPr>
          </w:p>
        </w:tc>
      </w:tr>
    </w:tbl>
    <w:p w14:paraId="715D249B">
      <w:pPr>
        <w:snapToGrid w:val="0"/>
        <w:spacing w:line="480" w:lineRule="auto"/>
        <w:rPr>
          <w:rFonts w:ascii="宋体" w:hAnsi="宋体" w:cs="宋体"/>
          <w:sz w:val="24"/>
          <w:szCs w:val="24"/>
          <w:highlight w:val="none"/>
        </w:rPr>
      </w:pPr>
    </w:p>
    <w:p w14:paraId="30AEFF34">
      <w:pPr>
        <w:snapToGrid w:val="0"/>
        <w:rPr>
          <w:rFonts w:ascii="宋体" w:hAnsi="宋体" w:cs="宋体"/>
          <w:sz w:val="24"/>
          <w:szCs w:val="24"/>
          <w:highlight w:val="none"/>
        </w:rPr>
      </w:pPr>
    </w:p>
    <w:p w14:paraId="7E0ECB6A">
      <w:pPr>
        <w:snapToGrid w:val="0"/>
        <w:rPr>
          <w:rFonts w:ascii="宋体" w:hAnsi="宋体" w:cs="宋体"/>
          <w:sz w:val="24"/>
          <w:szCs w:val="24"/>
          <w:highlight w:val="none"/>
        </w:rPr>
      </w:pPr>
    </w:p>
    <w:p w14:paraId="0A633B58">
      <w:pPr>
        <w:snapToGrid w:val="0"/>
        <w:rPr>
          <w:rFonts w:ascii="宋体" w:hAnsi="宋体" w:cs="宋体"/>
          <w:sz w:val="24"/>
          <w:szCs w:val="24"/>
          <w:highlight w:val="none"/>
        </w:rPr>
      </w:pPr>
    </w:p>
    <w:p w14:paraId="1C7DD23F">
      <w:pPr>
        <w:snapToGrid w:val="0"/>
        <w:rPr>
          <w:rFonts w:ascii="宋体" w:hAnsi="宋体" w:cs="宋体"/>
          <w:sz w:val="24"/>
          <w:szCs w:val="24"/>
          <w:highlight w:val="none"/>
        </w:rPr>
      </w:pPr>
    </w:p>
    <w:p w14:paraId="631204C5">
      <w:pPr>
        <w:adjustRightInd w:val="0"/>
        <w:snapToGrid w:val="0"/>
        <w:spacing w:line="360" w:lineRule="auto"/>
        <w:rPr>
          <w:rFonts w:ascii="宋体" w:hAnsi="宋体" w:cs="宋体"/>
          <w:sz w:val="24"/>
          <w:szCs w:val="28"/>
          <w:highlight w:val="none"/>
        </w:rPr>
      </w:pPr>
    </w:p>
    <w:p w14:paraId="234C1ABE">
      <w:pPr>
        <w:adjustRightInd w:val="0"/>
        <w:snapToGrid w:val="0"/>
        <w:spacing w:line="360" w:lineRule="auto"/>
        <w:ind w:right="420"/>
        <w:rPr>
          <w:rFonts w:ascii="宋体" w:hAnsi="宋体" w:cs="宋体"/>
          <w:sz w:val="24"/>
          <w:szCs w:val="28"/>
          <w:highlight w:val="none"/>
        </w:rPr>
      </w:pPr>
    </w:p>
    <w:p w14:paraId="79B03482">
      <w:pPr>
        <w:adjustRightInd w:val="0"/>
        <w:snapToGrid w:val="0"/>
        <w:spacing w:line="360" w:lineRule="auto"/>
        <w:ind w:right="420"/>
        <w:rPr>
          <w:rFonts w:ascii="宋体" w:hAnsi="宋体" w:cs="宋体"/>
          <w:sz w:val="24"/>
          <w:szCs w:val="28"/>
          <w:highlight w:val="none"/>
        </w:rPr>
      </w:pPr>
    </w:p>
    <w:p w14:paraId="2135F387">
      <w:pPr>
        <w:adjustRightInd w:val="0"/>
        <w:snapToGrid w:val="0"/>
        <w:spacing w:line="360" w:lineRule="auto"/>
        <w:ind w:right="420"/>
        <w:rPr>
          <w:rFonts w:ascii="宋体" w:hAnsi="宋体" w:cs="宋体"/>
          <w:sz w:val="24"/>
          <w:szCs w:val="28"/>
          <w:highlight w:val="none"/>
        </w:rPr>
      </w:pPr>
    </w:p>
    <w:p w14:paraId="4A100EFA">
      <w:pPr>
        <w:adjustRightInd w:val="0"/>
        <w:snapToGrid w:val="0"/>
        <w:spacing w:line="360" w:lineRule="auto"/>
        <w:ind w:right="420"/>
        <w:rPr>
          <w:rFonts w:ascii="宋体" w:hAnsi="宋体" w:cs="宋体"/>
          <w:sz w:val="24"/>
          <w:szCs w:val="28"/>
          <w:highlight w:val="none"/>
        </w:rPr>
      </w:pPr>
    </w:p>
    <w:p w14:paraId="14BB2D15">
      <w:pPr>
        <w:adjustRightInd w:val="0"/>
        <w:snapToGrid w:val="0"/>
        <w:spacing w:line="360" w:lineRule="auto"/>
        <w:ind w:right="420"/>
        <w:rPr>
          <w:rFonts w:ascii="宋体" w:hAnsi="宋体" w:cs="宋体"/>
          <w:sz w:val="24"/>
          <w:szCs w:val="28"/>
          <w:highlight w:val="none"/>
        </w:rPr>
      </w:pPr>
    </w:p>
    <w:p w14:paraId="7FD8C04D">
      <w:pPr>
        <w:adjustRightInd w:val="0"/>
        <w:snapToGrid w:val="0"/>
        <w:spacing w:line="360" w:lineRule="auto"/>
        <w:ind w:right="420"/>
        <w:rPr>
          <w:rFonts w:ascii="宋体" w:hAnsi="宋体" w:cs="宋体"/>
          <w:sz w:val="24"/>
          <w:szCs w:val="28"/>
          <w:highlight w:val="none"/>
        </w:rPr>
      </w:pPr>
      <w:r>
        <w:rPr>
          <w:rFonts w:hint="eastAsia" w:ascii="宋体" w:hAnsi="宋体" w:cs="宋体"/>
          <w:sz w:val="24"/>
          <w:szCs w:val="28"/>
          <w:highlight w:val="none"/>
        </w:rPr>
        <w:t>供应商名称（公章）：</w:t>
      </w:r>
    </w:p>
    <w:p w14:paraId="4A7BD40B">
      <w:pPr>
        <w:adjustRightInd w:val="0"/>
        <w:snapToGrid w:val="0"/>
        <w:spacing w:line="360" w:lineRule="auto"/>
        <w:ind w:right="420"/>
        <w:rPr>
          <w:rFonts w:ascii="宋体" w:hAnsi="宋体" w:cs="宋体"/>
          <w:sz w:val="24"/>
          <w:szCs w:val="28"/>
          <w:highlight w:val="none"/>
        </w:rPr>
      </w:pPr>
      <w:r>
        <w:rPr>
          <w:rFonts w:hint="eastAsia" w:ascii="宋体" w:hAnsi="宋体" w:cs="宋体"/>
          <w:sz w:val="24"/>
          <w:szCs w:val="28"/>
          <w:highlight w:val="none"/>
        </w:rPr>
        <w:t>日期：    年  月  日</w:t>
      </w:r>
    </w:p>
    <w:p w14:paraId="3D4E4DE7">
      <w:pPr>
        <w:pStyle w:val="8"/>
        <w:rPr>
          <w:rFonts w:ascii="宋体" w:hAnsi="宋体" w:eastAsia="宋体" w:cs="宋体"/>
          <w:highlight w:val="none"/>
        </w:rPr>
      </w:pPr>
    </w:p>
    <w:p w14:paraId="076B58C8">
      <w:pPr>
        <w:spacing w:line="360" w:lineRule="auto"/>
        <w:jc w:val="left"/>
        <w:rPr>
          <w:rFonts w:ascii="宋体" w:hAnsi="宋体" w:cs="宋体"/>
          <w:spacing w:val="4"/>
          <w:szCs w:val="24"/>
          <w:highlight w:val="none"/>
        </w:rPr>
      </w:pPr>
    </w:p>
    <w:p w14:paraId="768B2201">
      <w:pPr>
        <w:keepNext/>
        <w:spacing w:before="312" w:beforeLines="100"/>
        <w:jc w:val="center"/>
        <w:rPr>
          <w:rFonts w:ascii="宋体" w:hAnsi="宋体" w:cs="宋体"/>
          <w:b/>
          <w:bCs/>
          <w:sz w:val="32"/>
          <w:szCs w:val="32"/>
          <w:highlight w:val="none"/>
        </w:rPr>
      </w:pPr>
      <w:r>
        <w:rPr>
          <w:rFonts w:hint="eastAsia" w:ascii="宋体" w:hAnsi="宋体" w:cs="宋体"/>
          <w:b/>
          <w:bCs/>
          <w:sz w:val="32"/>
          <w:szCs w:val="32"/>
          <w:highlight w:val="none"/>
        </w:rPr>
        <w:t>法定代表人授权书</w:t>
      </w:r>
    </w:p>
    <w:p w14:paraId="3D21E464">
      <w:pPr>
        <w:spacing w:line="500" w:lineRule="exact"/>
        <w:jc w:val="left"/>
        <w:rPr>
          <w:rFonts w:ascii="宋体" w:hAnsi="宋体" w:cs="宋体"/>
          <w:spacing w:val="4"/>
          <w:sz w:val="24"/>
          <w:szCs w:val="32"/>
          <w:highlight w:val="none"/>
        </w:rPr>
      </w:pPr>
      <w:r>
        <w:rPr>
          <w:rFonts w:hint="eastAsia" w:ascii="宋体" w:hAnsi="宋体" w:cs="宋体"/>
          <w:spacing w:val="4"/>
          <w:sz w:val="24"/>
          <w:szCs w:val="32"/>
          <w:highlight w:val="none"/>
        </w:rPr>
        <w:t>致：</w:t>
      </w:r>
      <w:r>
        <w:rPr>
          <w:rFonts w:hint="eastAsia" w:ascii="宋体" w:hAnsi="宋体" w:cs="宋体"/>
          <w:spacing w:val="4"/>
          <w:sz w:val="24"/>
          <w:szCs w:val="32"/>
          <w:highlight w:val="none"/>
          <w:u w:val="single"/>
        </w:rPr>
        <w:t xml:space="preserve">陕西至诚项目管理集团有限公司 </w:t>
      </w:r>
    </w:p>
    <w:p w14:paraId="23762EDE">
      <w:pPr>
        <w:spacing w:line="500" w:lineRule="exact"/>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u w:val="single"/>
        </w:rPr>
        <w:t>(供应商名称)</w:t>
      </w:r>
      <w:r>
        <w:rPr>
          <w:rFonts w:hint="eastAsia" w:ascii="宋体" w:hAnsi="宋体" w:cs="宋体"/>
          <w:spacing w:val="4"/>
          <w:sz w:val="24"/>
          <w:szCs w:val="32"/>
          <w:highlight w:val="none"/>
        </w:rPr>
        <w:t>按中华人民共和国法律于</w:t>
      </w:r>
      <w:r>
        <w:rPr>
          <w:rFonts w:hint="eastAsia" w:ascii="宋体" w:hAnsi="宋体" w:cs="宋体"/>
          <w:spacing w:val="4"/>
          <w:sz w:val="24"/>
          <w:szCs w:val="32"/>
          <w:highlight w:val="none"/>
          <w:u w:val="single"/>
        </w:rPr>
        <w:t>（  年  月  日 ）</w:t>
      </w:r>
      <w:r>
        <w:rPr>
          <w:rFonts w:hint="eastAsia" w:ascii="宋体" w:hAnsi="宋体" w:cs="宋体"/>
          <w:spacing w:val="4"/>
          <w:sz w:val="24"/>
          <w:szCs w:val="32"/>
          <w:highlight w:val="none"/>
        </w:rPr>
        <w:t>成立。</w:t>
      </w:r>
      <w:r>
        <w:rPr>
          <w:rFonts w:hint="eastAsia" w:ascii="宋体" w:hAnsi="宋体" w:cs="宋体"/>
          <w:spacing w:val="4"/>
          <w:sz w:val="24"/>
          <w:szCs w:val="32"/>
          <w:highlight w:val="none"/>
          <w:u w:val="single"/>
        </w:rPr>
        <w:t>(法定代表人姓名)</w:t>
      </w:r>
      <w:r>
        <w:rPr>
          <w:rFonts w:hint="eastAsia" w:ascii="宋体" w:hAnsi="宋体" w:cs="宋体"/>
          <w:spacing w:val="4"/>
          <w:sz w:val="24"/>
          <w:szCs w:val="32"/>
          <w:highlight w:val="none"/>
        </w:rPr>
        <w:t>特授权</w:t>
      </w:r>
      <w:r>
        <w:rPr>
          <w:rFonts w:hint="eastAsia" w:ascii="宋体" w:hAnsi="宋体" w:cs="宋体"/>
          <w:spacing w:val="4"/>
          <w:sz w:val="24"/>
          <w:szCs w:val="32"/>
          <w:highlight w:val="none"/>
          <w:u w:val="single"/>
        </w:rPr>
        <w:t xml:space="preserve">（ </w:t>
      </w:r>
      <w:r>
        <w:rPr>
          <w:rFonts w:hint="eastAsia" w:ascii="宋体" w:hAnsi="宋体" w:cs="宋体"/>
          <w:sz w:val="24"/>
          <w:szCs w:val="32"/>
          <w:highlight w:val="none"/>
          <w:u w:val="single"/>
        </w:rPr>
        <w:t>授权代表</w:t>
      </w:r>
      <w:r>
        <w:rPr>
          <w:rFonts w:hint="eastAsia" w:ascii="宋体" w:hAnsi="宋体" w:cs="宋体"/>
          <w:spacing w:val="4"/>
          <w:sz w:val="24"/>
          <w:szCs w:val="32"/>
          <w:highlight w:val="none"/>
          <w:u w:val="single"/>
        </w:rPr>
        <w:t>姓名 ）</w:t>
      </w:r>
      <w:r>
        <w:rPr>
          <w:rFonts w:hint="eastAsia" w:ascii="宋体" w:hAnsi="宋体" w:cs="宋体"/>
          <w:spacing w:val="4"/>
          <w:sz w:val="24"/>
          <w:szCs w:val="32"/>
          <w:highlight w:val="none"/>
        </w:rPr>
        <w:t xml:space="preserve">代表我公司全权办理针对本次 </w:t>
      </w:r>
      <w:r>
        <w:rPr>
          <w:rFonts w:hint="eastAsia" w:ascii="宋体" w:hAnsi="宋体" w:cs="宋体"/>
          <w:spacing w:val="4"/>
          <w:sz w:val="24"/>
          <w:szCs w:val="32"/>
          <w:highlight w:val="none"/>
          <w:u w:val="single"/>
        </w:rPr>
        <w:t>（项目编号 ）</w:t>
      </w:r>
      <w:r>
        <w:rPr>
          <w:rFonts w:hint="eastAsia" w:ascii="宋体" w:hAnsi="宋体" w:cs="宋体"/>
          <w:spacing w:val="4"/>
          <w:sz w:val="24"/>
          <w:szCs w:val="32"/>
          <w:highlight w:val="none"/>
        </w:rPr>
        <w:t>项目的谈判、签约等具体工作，并签署全部有关的文件、协议及合同。</w:t>
      </w:r>
    </w:p>
    <w:p w14:paraId="0CE75643">
      <w:pPr>
        <w:spacing w:line="500" w:lineRule="exact"/>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我公司对</w:t>
      </w:r>
      <w:r>
        <w:rPr>
          <w:rFonts w:hint="eastAsia" w:ascii="宋体" w:hAnsi="宋体" w:cs="宋体"/>
          <w:sz w:val="24"/>
          <w:szCs w:val="32"/>
          <w:highlight w:val="none"/>
        </w:rPr>
        <w:t>授权代表</w:t>
      </w:r>
      <w:r>
        <w:rPr>
          <w:rFonts w:hint="eastAsia" w:ascii="宋体" w:hAnsi="宋体" w:cs="宋体"/>
          <w:spacing w:val="4"/>
          <w:sz w:val="24"/>
          <w:szCs w:val="32"/>
          <w:highlight w:val="none"/>
        </w:rPr>
        <w:t>的签名负全部责任。</w:t>
      </w:r>
    </w:p>
    <w:p w14:paraId="4CC21CB4">
      <w:pPr>
        <w:spacing w:line="500" w:lineRule="exact"/>
        <w:ind w:right="540" w:rightChars="257" w:firstLine="480" w:firstLineChars="200"/>
        <w:jc w:val="left"/>
        <w:rPr>
          <w:rFonts w:ascii="宋体" w:hAnsi="宋体" w:cs="宋体"/>
          <w:sz w:val="24"/>
          <w:szCs w:val="32"/>
          <w:highlight w:val="none"/>
        </w:rPr>
      </w:pPr>
      <w:r>
        <w:rPr>
          <w:rFonts w:hint="eastAsia" w:ascii="宋体" w:hAnsi="宋体" w:cs="宋体"/>
          <w:sz w:val="24"/>
          <w:szCs w:val="32"/>
          <w:highlight w:val="none"/>
        </w:rPr>
        <w:t>委托期限：</w:t>
      </w:r>
      <w:r>
        <w:rPr>
          <w:rFonts w:hint="eastAsia" w:ascii="宋体" w:hAnsi="宋体" w:cs="宋体"/>
          <w:sz w:val="24"/>
          <w:szCs w:val="32"/>
          <w:highlight w:val="none"/>
          <w:lang w:val="zh-CN"/>
        </w:rPr>
        <w:t>自谈判之日起</w:t>
      </w:r>
      <w:r>
        <w:rPr>
          <w:rFonts w:hint="eastAsia" w:ascii="宋体" w:hAnsi="宋体" w:cs="宋体"/>
          <w:sz w:val="24"/>
          <w:szCs w:val="32"/>
          <w:highlight w:val="none"/>
          <w:u w:val="single"/>
        </w:rPr>
        <w:t>90</w:t>
      </w:r>
      <w:r>
        <w:rPr>
          <w:rFonts w:hint="eastAsia" w:ascii="宋体" w:hAnsi="宋体" w:cs="宋体"/>
          <w:sz w:val="24"/>
          <w:szCs w:val="32"/>
          <w:highlight w:val="none"/>
          <w:lang w:val="zh-CN"/>
        </w:rPr>
        <w:t>天。</w:t>
      </w:r>
    </w:p>
    <w:tbl>
      <w:tblPr>
        <w:tblStyle w:val="17"/>
        <w:tblW w:w="8190" w:type="dxa"/>
        <w:tblInd w:w="633" w:type="dxa"/>
        <w:tblLayout w:type="fixed"/>
        <w:tblCellMar>
          <w:top w:w="0" w:type="dxa"/>
          <w:left w:w="108" w:type="dxa"/>
          <w:bottom w:w="0" w:type="dxa"/>
          <w:right w:w="108" w:type="dxa"/>
        </w:tblCellMar>
      </w:tblPr>
      <w:tblGrid>
        <w:gridCol w:w="4200"/>
        <w:gridCol w:w="3990"/>
      </w:tblGrid>
      <w:tr w14:paraId="58BB691C">
        <w:tblPrEx>
          <w:tblCellMar>
            <w:top w:w="0" w:type="dxa"/>
            <w:left w:w="108" w:type="dxa"/>
            <w:bottom w:w="0" w:type="dxa"/>
            <w:right w:w="108" w:type="dxa"/>
          </w:tblCellMar>
        </w:tblPrEx>
        <w:trPr>
          <w:trHeight w:val="600" w:hRule="atLeast"/>
        </w:trPr>
        <w:tc>
          <w:tcPr>
            <w:tcW w:w="4200" w:type="dxa"/>
          </w:tcPr>
          <w:p w14:paraId="4DD23C93">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被授权人签字或盖章：</w:t>
            </w:r>
          </w:p>
        </w:tc>
        <w:tc>
          <w:tcPr>
            <w:tcW w:w="3990" w:type="dxa"/>
          </w:tcPr>
          <w:p w14:paraId="6C58A402">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法定代表人签字或盖章：</w:t>
            </w:r>
          </w:p>
        </w:tc>
      </w:tr>
      <w:tr w14:paraId="05981D9D">
        <w:tblPrEx>
          <w:tblCellMar>
            <w:top w:w="0" w:type="dxa"/>
            <w:left w:w="108" w:type="dxa"/>
            <w:bottom w:w="0" w:type="dxa"/>
            <w:right w:w="108" w:type="dxa"/>
          </w:tblCellMar>
        </w:tblPrEx>
        <w:trPr>
          <w:trHeight w:val="600" w:hRule="atLeast"/>
        </w:trPr>
        <w:tc>
          <w:tcPr>
            <w:tcW w:w="4200" w:type="dxa"/>
          </w:tcPr>
          <w:p w14:paraId="5A450ADC">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职务：</w:t>
            </w:r>
          </w:p>
        </w:tc>
        <w:tc>
          <w:tcPr>
            <w:tcW w:w="3990" w:type="dxa"/>
          </w:tcPr>
          <w:p w14:paraId="745842E9">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职务：</w:t>
            </w:r>
          </w:p>
        </w:tc>
      </w:tr>
      <w:tr w14:paraId="086F58AB">
        <w:tblPrEx>
          <w:tblCellMar>
            <w:top w:w="0" w:type="dxa"/>
            <w:left w:w="108" w:type="dxa"/>
            <w:bottom w:w="0" w:type="dxa"/>
            <w:right w:w="108" w:type="dxa"/>
          </w:tblCellMar>
        </w:tblPrEx>
        <w:trPr>
          <w:trHeight w:val="600" w:hRule="atLeast"/>
        </w:trPr>
        <w:tc>
          <w:tcPr>
            <w:tcW w:w="4200" w:type="dxa"/>
          </w:tcPr>
          <w:p w14:paraId="6416141F">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身份证号：</w:t>
            </w:r>
          </w:p>
        </w:tc>
        <w:tc>
          <w:tcPr>
            <w:tcW w:w="3990" w:type="dxa"/>
          </w:tcPr>
          <w:p w14:paraId="485271C1">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身份证号：</w:t>
            </w:r>
          </w:p>
        </w:tc>
      </w:tr>
      <w:tr w14:paraId="1A8EBD44">
        <w:tblPrEx>
          <w:tblCellMar>
            <w:top w:w="0" w:type="dxa"/>
            <w:left w:w="108" w:type="dxa"/>
            <w:bottom w:w="0" w:type="dxa"/>
            <w:right w:w="108" w:type="dxa"/>
          </w:tblCellMar>
        </w:tblPrEx>
        <w:trPr>
          <w:trHeight w:val="600" w:hRule="atLeast"/>
        </w:trPr>
        <w:tc>
          <w:tcPr>
            <w:tcW w:w="4200" w:type="dxa"/>
          </w:tcPr>
          <w:p w14:paraId="61D0E45B">
            <w:pPr>
              <w:spacing w:line="360" w:lineRule="auto"/>
              <w:jc w:val="left"/>
              <w:rPr>
                <w:rFonts w:ascii="宋体" w:hAnsi="宋体" w:cs="宋体"/>
                <w:spacing w:val="4"/>
                <w:sz w:val="24"/>
                <w:szCs w:val="32"/>
                <w:highlight w:val="none"/>
              </w:rPr>
            </w:pPr>
            <w:r>
              <w:rPr>
                <w:rFonts w:hint="eastAsia" w:ascii="宋体" w:hAnsi="宋体" w:cs="宋体"/>
                <w:spacing w:val="4"/>
                <w:sz w:val="24"/>
                <w:szCs w:val="32"/>
                <w:highlight w:val="none"/>
              </w:rPr>
              <w:t>所在部门：</w:t>
            </w:r>
          </w:p>
        </w:tc>
        <w:tc>
          <w:tcPr>
            <w:tcW w:w="3990" w:type="dxa"/>
          </w:tcPr>
          <w:p w14:paraId="56FE18A5">
            <w:pPr>
              <w:spacing w:line="360" w:lineRule="auto"/>
              <w:jc w:val="left"/>
              <w:rPr>
                <w:rFonts w:ascii="宋体" w:hAnsi="宋体" w:cs="宋体"/>
                <w:spacing w:val="4"/>
                <w:sz w:val="24"/>
                <w:szCs w:val="32"/>
                <w:highlight w:val="none"/>
              </w:rPr>
            </w:pPr>
          </w:p>
        </w:tc>
      </w:tr>
    </w:tbl>
    <w:p w14:paraId="37A271DF">
      <w:pPr>
        <w:spacing w:line="360" w:lineRule="auto"/>
        <w:ind w:firstLine="505" w:firstLineChars="204"/>
        <w:rPr>
          <w:rFonts w:ascii="宋体" w:hAnsi="宋体" w:cs="宋体"/>
          <w:spacing w:val="4"/>
          <w:sz w:val="24"/>
          <w:szCs w:val="32"/>
          <w:highlight w:val="none"/>
        </w:rPr>
      </w:pPr>
      <w:r>
        <w:rPr>
          <w:rFonts w:hint="eastAsia" w:ascii="宋体" w:hAnsi="宋体" w:cs="宋体"/>
          <w:spacing w:val="4"/>
          <w:sz w:val="24"/>
          <w:szCs w:val="32"/>
          <w:highlight w:val="none"/>
        </w:rPr>
        <w:t>附：法定代表人、被授权人身份证复印件</w:t>
      </w:r>
    </w:p>
    <w:p w14:paraId="30B3D704">
      <w:pPr>
        <w:spacing w:line="360" w:lineRule="auto"/>
        <w:rPr>
          <w:rFonts w:ascii="宋体" w:hAnsi="宋体" w:cs="宋体"/>
          <w:spacing w:val="4"/>
          <w:sz w:val="24"/>
          <w:szCs w:val="32"/>
          <w:highlight w:val="none"/>
        </w:rPr>
      </w:pPr>
    </w:p>
    <w:tbl>
      <w:tblPr>
        <w:tblStyle w:val="17"/>
        <w:tblW w:w="8357" w:type="dxa"/>
        <w:tblInd w:w="540" w:type="dxa"/>
        <w:tblLayout w:type="fixed"/>
        <w:tblCellMar>
          <w:top w:w="0" w:type="dxa"/>
          <w:left w:w="108" w:type="dxa"/>
          <w:bottom w:w="0" w:type="dxa"/>
          <w:right w:w="108" w:type="dxa"/>
        </w:tblCellMar>
      </w:tblPr>
      <w:tblGrid>
        <w:gridCol w:w="4246"/>
        <w:gridCol w:w="4111"/>
      </w:tblGrid>
      <w:tr w14:paraId="2BD506CB">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03519BDA">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法定代表人身份证复印件粘贴处</w:t>
            </w:r>
          </w:p>
          <w:p w14:paraId="44FBBC58">
            <w:pPr>
              <w:spacing w:line="360" w:lineRule="auto"/>
              <w:jc w:val="center"/>
              <w:rPr>
                <w:rFonts w:ascii="宋体" w:hAnsi="宋体" w:cs="宋体"/>
                <w:sz w:val="24"/>
                <w:szCs w:val="24"/>
                <w:highlight w:val="none"/>
                <w:u w:val="single"/>
              </w:rPr>
            </w:pPr>
            <w:r>
              <w:rPr>
                <w:rFonts w:hint="eastAsia" w:ascii="宋体" w:hAnsi="宋体" w:cs="宋体"/>
                <w:sz w:val="24"/>
                <w:szCs w:val="24"/>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7CEABB7F">
            <w:pPr>
              <w:spacing w:line="360" w:lineRule="auto"/>
              <w:jc w:val="center"/>
              <w:rPr>
                <w:rFonts w:ascii="宋体" w:hAnsi="宋体" w:cs="宋体"/>
                <w:sz w:val="24"/>
                <w:szCs w:val="24"/>
                <w:highlight w:val="none"/>
                <w:lang w:val="zh-CN"/>
              </w:rPr>
            </w:pPr>
            <w:r>
              <w:rPr>
                <w:rFonts w:hint="eastAsia" w:ascii="宋体" w:hAnsi="宋体" w:cs="宋体"/>
                <w:sz w:val="24"/>
                <w:szCs w:val="24"/>
                <w:highlight w:val="none"/>
                <w:lang w:val="zh-CN"/>
              </w:rPr>
              <w:t>授权代表身份证复印件粘贴处</w:t>
            </w:r>
          </w:p>
          <w:p w14:paraId="426EF483">
            <w:pPr>
              <w:spacing w:line="360" w:lineRule="auto"/>
              <w:jc w:val="center"/>
              <w:rPr>
                <w:rFonts w:ascii="宋体" w:hAnsi="宋体" w:cs="宋体"/>
                <w:sz w:val="24"/>
                <w:szCs w:val="28"/>
                <w:highlight w:val="none"/>
                <w:u w:val="single"/>
              </w:rPr>
            </w:pPr>
            <w:r>
              <w:rPr>
                <w:rFonts w:hint="eastAsia" w:ascii="宋体" w:hAnsi="宋体" w:cs="宋体"/>
                <w:sz w:val="24"/>
                <w:szCs w:val="24"/>
                <w:highlight w:val="none"/>
                <w:lang w:val="zh-CN"/>
              </w:rPr>
              <w:t>（正反面）</w:t>
            </w:r>
          </w:p>
        </w:tc>
      </w:tr>
    </w:tbl>
    <w:p w14:paraId="4FFABCA0">
      <w:pPr>
        <w:spacing w:line="360" w:lineRule="auto"/>
        <w:ind w:firstLine="510"/>
        <w:rPr>
          <w:rFonts w:ascii="宋体" w:hAnsi="宋体" w:cs="宋体"/>
          <w:spacing w:val="4"/>
          <w:sz w:val="24"/>
          <w:szCs w:val="32"/>
          <w:highlight w:val="none"/>
        </w:rPr>
      </w:pPr>
    </w:p>
    <w:p w14:paraId="6078409A">
      <w:pPr>
        <w:spacing w:before="156" w:beforeLines="50" w:after="156" w:afterLines="50" w:line="360" w:lineRule="auto"/>
        <w:rPr>
          <w:rFonts w:ascii="宋体" w:hAnsi="宋体" w:cs="宋体"/>
          <w:spacing w:val="4"/>
          <w:sz w:val="24"/>
          <w:szCs w:val="32"/>
          <w:highlight w:val="none"/>
        </w:rPr>
      </w:pPr>
      <w:r>
        <w:rPr>
          <w:rFonts w:hint="eastAsia" w:ascii="宋体" w:hAnsi="宋体" w:cs="宋体"/>
          <w:spacing w:val="4"/>
          <w:sz w:val="24"/>
          <w:szCs w:val="32"/>
          <w:highlight w:val="none"/>
        </w:rPr>
        <w:t>供应商名称：</w:t>
      </w:r>
      <w:r>
        <w:rPr>
          <w:rFonts w:hint="eastAsia" w:ascii="宋体" w:hAnsi="宋体" w:cs="宋体"/>
          <w:sz w:val="24"/>
          <w:szCs w:val="28"/>
          <w:highlight w:val="none"/>
          <w:u w:val="single"/>
        </w:rPr>
        <w:t xml:space="preserve">      （加盖单位公章）       </w:t>
      </w:r>
    </w:p>
    <w:p w14:paraId="5F3EA943">
      <w:pPr>
        <w:spacing w:before="156" w:beforeLines="50" w:after="156" w:afterLines="50" w:line="360" w:lineRule="auto"/>
        <w:rPr>
          <w:rFonts w:ascii="宋体" w:hAnsi="宋体" w:cs="宋体"/>
          <w:sz w:val="24"/>
          <w:szCs w:val="28"/>
          <w:highlight w:val="none"/>
        </w:rPr>
      </w:pPr>
      <w:r>
        <w:rPr>
          <w:rFonts w:hint="eastAsia" w:ascii="宋体" w:hAnsi="宋体" w:cs="宋体"/>
          <w:spacing w:val="4"/>
          <w:sz w:val="24"/>
          <w:szCs w:val="32"/>
          <w:highlight w:val="none"/>
        </w:rPr>
        <w:t>日期：</w:t>
      </w:r>
    </w:p>
    <w:p w14:paraId="7F33DE77">
      <w:pPr>
        <w:rPr>
          <w:rFonts w:hint="eastAsia" w:ascii="宋体" w:hAnsi="宋体" w:cs="宋体"/>
          <w:sz w:val="28"/>
          <w:szCs w:val="28"/>
          <w:highlight w:val="none"/>
          <w:u w:val="single"/>
        </w:rPr>
      </w:pPr>
      <w:r>
        <w:rPr>
          <w:rFonts w:hint="eastAsia" w:ascii="宋体" w:hAnsi="宋体" w:cs="宋体"/>
          <w:sz w:val="28"/>
          <w:szCs w:val="28"/>
          <w:highlight w:val="none"/>
          <w:u w:val="single"/>
        </w:rPr>
        <w:br w:type="page"/>
      </w:r>
    </w:p>
    <w:p w14:paraId="3FE55DE3">
      <w:pPr>
        <w:jc w:val="center"/>
        <w:rPr>
          <w:rFonts w:ascii="宋体" w:hAnsi="宋体" w:cs="宋体"/>
          <w:b/>
          <w:bCs/>
          <w:sz w:val="28"/>
          <w:szCs w:val="28"/>
          <w:highlight w:val="none"/>
          <w:u w:val="single"/>
        </w:rPr>
      </w:pPr>
      <w:r>
        <w:rPr>
          <w:rFonts w:hint="eastAsia"/>
          <w:b/>
          <w:bCs/>
          <w:lang w:val="en-US" w:eastAsia="zh-CN"/>
        </w:rPr>
        <w:t>法定代表⼈授权代表参加的，授权代表本单位证明（养⽼保险缴纳证明）；</w:t>
      </w:r>
      <w:r>
        <w:rPr>
          <w:rFonts w:hint="eastAsia" w:ascii="宋体" w:hAnsi="宋体" w:cs="宋体"/>
          <w:b/>
          <w:bCs/>
          <w:sz w:val="28"/>
          <w:szCs w:val="28"/>
          <w:highlight w:val="none"/>
          <w:u w:val="single"/>
        </w:rPr>
        <w:br w:type="page"/>
      </w:r>
    </w:p>
    <w:p w14:paraId="71448E81">
      <w:pPr>
        <w:spacing w:before="156" w:beforeLines="50" w:after="156" w:afterLines="50" w:line="500" w:lineRule="exact"/>
        <w:rPr>
          <w:rFonts w:ascii="宋体" w:hAnsi="宋体" w:cs="宋体"/>
          <w:b/>
          <w:sz w:val="28"/>
          <w:szCs w:val="28"/>
          <w:highlight w:val="none"/>
        </w:rPr>
      </w:pPr>
      <w:r>
        <w:rPr>
          <w:rFonts w:hint="eastAsia" w:ascii="宋体" w:hAnsi="宋体" w:cs="宋体"/>
          <w:b/>
          <w:sz w:val="28"/>
          <w:szCs w:val="28"/>
          <w:highlight w:val="none"/>
        </w:rPr>
        <w:t>附件2：</w:t>
      </w:r>
    </w:p>
    <w:p w14:paraId="1C5076BD">
      <w:pPr>
        <w:widowControl/>
        <w:spacing w:line="360" w:lineRule="auto"/>
        <w:ind w:left="1" w:firstLine="321" w:firstLineChars="100"/>
        <w:jc w:val="center"/>
        <w:rPr>
          <w:rFonts w:hAnsi="宋体" w:cs="宋体"/>
          <w:b/>
          <w:sz w:val="32"/>
          <w:szCs w:val="32"/>
          <w:highlight w:val="none"/>
        </w:rPr>
      </w:pPr>
      <w:r>
        <w:rPr>
          <w:rFonts w:hint="eastAsia" w:hAnsi="宋体" w:cs="宋体"/>
          <w:b/>
          <w:sz w:val="32"/>
          <w:szCs w:val="32"/>
          <w:highlight w:val="none"/>
        </w:rPr>
        <w:t>参加政府采购活动前3年内在经营活动中没有重大违法纪录的书面声明</w:t>
      </w:r>
    </w:p>
    <w:p w14:paraId="744EAE76">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5DDEF12F">
      <w:pPr>
        <w:pStyle w:val="16"/>
        <w:wordWrap w:val="0"/>
        <w:spacing w:beforeAutospacing="0" w:afterAutospacing="0" w:line="560" w:lineRule="exact"/>
        <w:rPr>
          <w:rFonts w:cs="宋体"/>
          <w:highlight w:val="none"/>
          <w:u w:val="single"/>
          <w:shd w:val="clear" w:color="auto" w:fill="FFFFFF"/>
        </w:rPr>
      </w:pPr>
      <w:r>
        <w:rPr>
          <w:rFonts w:hint="eastAsia" w:cs="宋体"/>
          <w:highlight w:val="none"/>
          <w:u w:val="single"/>
          <w:shd w:val="clear" w:color="auto" w:fill="FFFFFF"/>
        </w:rPr>
        <w:t xml:space="preserve"> </w:t>
      </w:r>
      <w:r>
        <w:rPr>
          <w:rFonts w:hint="eastAsia" w:ascii="宋体" w:hAnsi="宋体" w:cs="宋体"/>
          <w:spacing w:val="4"/>
          <w:sz w:val="24"/>
          <w:szCs w:val="32"/>
          <w:highlight w:val="none"/>
          <w:u w:val="single"/>
        </w:rPr>
        <w:t>陕西至诚项目管理集团有限公司</w:t>
      </w:r>
      <w:r>
        <w:rPr>
          <w:rFonts w:hint="eastAsia" w:cs="宋体"/>
          <w:highlight w:val="none"/>
          <w:u w:val="single"/>
          <w:shd w:val="clear" w:color="auto" w:fill="FFFFFF"/>
        </w:rPr>
        <w:t xml:space="preserve">   ：</w:t>
      </w:r>
    </w:p>
    <w:p w14:paraId="01E10D55">
      <w:pPr>
        <w:pStyle w:val="16"/>
        <w:wordWrap w:val="0"/>
        <w:spacing w:beforeAutospacing="0" w:afterAutospacing="0" w:line="560" w:lineRule="exact"/>
        <w:ind w:firstLine="640"/>
        <w:rPr>
          <w:rFonts w:cs="宋体"/>
          <w:highlight w:val="none"/>
        </w:rPr>
      </w:pPr>
      <w:r>
        <w:rPr>
          <w:rFonts w:hint="eastAsia" w:cs="宋体"/>
          <w:highlight w:val="none"/>
          <w:shd w:val="clear" w:color="auto" w:fill="FFFFFF"/>
        </w:rPr>
        <w:t>我方作为项目名称</w:t>
      </w:r>
      <w:r>
        <w:rPr>
          <w:rFonts w:hint="eastAsia" w:cs="宋体"/>
          <w:highlight w:val="none"/>
          <w:u w:val="single"/>
          <w:shd w:val="clear" w:color="auto" w:fill="FFFFFF"/>
        </w:rPr>
        <w:t xml:space="preserve">             </w:t>
      </w:r>
      <w:r>
        <w:rPr>
          <w:rFonts w:hint="eastAsia" w:cs="宋体"/>
          <w:highlight w:val="none"/>
          <w:shd w:val="clear" w:color="auto" w:fill="FFFFFF"/>
        </w:rPr>
        <w:t>（项目编号：</w:t>
      </w:r>
      <w:r>
        <w:rPr>
          <w:rFonts w:hint="eastAsia" w:cs="宋体"/>
          <w:i/>
          <w:iCs/>
          <w:highlight w:val="none"/>
          <w:u w:val="single"/>
          <w:shd w:val="clear" w:color="auto" w:fill="FFFFFF"/>
        </w:rPr>
        <w:t xml:space="preserve">          </w:t>
      </w:r>
      <w:r>
        <w:rPr>
          <w:rFonts w:hint="eastAsia" w:cs="宋体"/>
          <w:highlight w:val="none"/>
          <w:shd w:val="clear" w:color="auto" w:fill="FFFFFF"/>
        </w:rPr>
        <w:t xml:space="preserve">）的供应商，在此郑重声明： </w:t>
      </w:r>
    </w:p>
    <w:p w14:paraId="57C027CA">
      <w:pPr>
        <w:pStyle w:val="16"/>
        <w:wordWrap w:val="0"/>
        <w:spacing w:beforeAutospacing="0" w:afterAutospacing="0" w:line="560" w:lineRule="exact"/>
        <w:ind w:firstLine="420"/>
        <w:rPr>
          <w:rFonts w:cs="宋体"/>
          <w:highlight w:val="none"/>
        </w:rPr>
      </w:pPr>
      <w:r>
        <w:rPr>
          <w:rFonts w:hint="eastAsia" w:cs="宋体"/>
          <w:highlight w:val="none"/>
          <w:shd w:val="clear" w:color="auto" w:fill="FFFFFF"/>
        </w:rPr>
        <w:t>在参加本次政府采购活动前3年内的经营活动中</w:t>
      </w:r>
      <w:r>
        <w:rPr>
          <w:rFonts w:hint="eastAsia" w:cs="宋体"/>
          <w:highlight w:val="none"/>
          <w:u w:val="single"/>
          <w:shd w:val="clear" w:color="auto" w:fill="FFFFFF"/>
        </w:rPr>
        <w:t xml:space="preserve">          </w:t>
      </w:r>
      <w:r>
        <w:rPr>
          <w:rFonts w:hint="eastAsia" w:cs="宋体"/>
          <w:highlight w:val="none"/>
          <w:shd w:val="clear" w:color="auto" w:fill="FFFFFF"/>
        </w:rPr>
        <w:t>（填“没有”或“有”）重大违法记录</w:t>
      </w:r>
      <w:r>
        <w:rPr>
          <w:rFonts w:hint="eastAsia" w:ascii="宋体" w:hAnsi="宋体" w:eastAsia="宋体" w:cs="宋体"/>
          <w:sz w:val="24"/>
          <w:szCs w:val="24"/>
          <w:highlight w:val="none"/>
        </w:rPr>
        <w:t>，以及未被列入失信被执行人、重大税收违法案件当事人名单、政府采购严重违法失信行为记录名单的书面声明</w:t>
      </w:r>
      <w:r>
        <w:rPr>
          <w:rFonts w:hint="eastAsia" w:cs="宋体"/>
          <w:highlight w:val="none"/>
          <w:shd w:val="clear" w:color="auto" w:fill="FFFFFF"/>
        </w:rPr>
        <w:t xml:space="preserve">。供应商在参加政府采购活动前3年内因违法经营被禁止在一定期限内参加政府采购活动，期限届满的，可以参加政府采购活动，但应提供期限届满的证明材料。 </w:t>
      </w:r>
    </w:p>
    <w:p w14:paraId="4F640D0F">
      <w:pPr>
        <w:pStyle w:val="16"/>
        <w:wordWrap w:val="0"/>
        <w:spacing w:beforeAutospacing="0" w:afterAutospacing="0" w:line="560" w:lineRule="exact"/>
        <w:ind w:firstLine="420"/>
        <w:rPr>
          <w:rFonts w:cs="宋体"/>
          <w:highlight w:val="none"/>
        </w:rPr>
      </w:pPr>
      <w:r>
        <w:rPr>
          <w:rFonts w:hint="eastAsia" w:cs="宋体"/>
          <w:highlight w:val="none"/>
          <w:shd w:val="clear" w:color="auto" w:fill="FFFFFF"/>
        </w:rPr>
        <w:t xml:space="preserve">如有不实，我方将无条件地退出本项目的采购活动，并遵照《中华人民共和国政府采购法》有关“提供虚假材料的规定”接受处罚。 </w:t>
      </w:r>
    </w:p>
    <w:p w14:paraId="5774CC47">
      <w:pPr>
        <w:pStyle w:val="16"/>
        <w:wordWrap w:val="0"/>
        <w:spacing w:beforeAutospacing="0" w:afterAutospacing="0" w:line="560" w:lineRule="exact"/>
        <w:ind w:firstLine="420"/>
        <w:rPr>
          <w:rFonts w:cs="宋体"/>
          <w:highlight w:val="none"/>
          <w:shd w:val="clear" w:color="auto" w:fill="FFFFFF"/>
        </w:rPr>
      </w:pPr>
      <w:r>
        <w:rPr>
          <w:rFonts w:hint="eastAsia" w:cs="宋体"/>
          <w:highlight w:val="none"/>
          <w:shd w:val="clear" w:color="auto" w:fill="FFFFFF"/>
        </w:rPr>
        <w:t>特此声明！</w:t>
      </w:r>
    </w:p>
    <w:p w14:paraId="2A589A15">
      <w:pPr>
        <w:pStyle w:val="16"/>
        <w:wordWrap w:val="0"/>
        <w:spacing w:beforeAutospacing="0" w:afterAutospacing="0" w:line="560" w:lineRule="exact"/>
        <w:ind w:firstLine="420"/>
        <w:rPr>
          <w:rFonts w:cs="宋体"/>
          <w:highlight w:val="none"/>
          <w:shd w:val="clear" w:color="auto" w:fill="FFFFFF"/>
        </w:rPr>
      </w:pPr>
    </w:p>
    <w:p w14:paraId="01E0E7D3">
      <w:pPr>
        <w:spacing w:line="480" w:lineRule="auto"/>
        <w:ind w:firstLine="294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0CAE594D">
      <w:pPr>
        <w:pStyle w:val="24"/>
        <w:spacing w:before="156" w:beforeLines="50"/>
        <w:ind w:firstLine="294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57D4E29A">
      <w:pPr>
        <w:rPr>
          <w:rFonts w:ascii="宋体" w:hAnsi="宋体" w:cs="宋体"/>
          <w:sz w:val="28"/>
          <w:szCs w:val="28"/>
          <w:highlight w:val="none"/>
          <w:u w:val="single"/>
        </w:rPr>
      </w:pPr>
      <w:r>
        <w:rPr>
          <w:rFonts w:hint="eastAsia" w:ascii="宋体" w:hAnsi="宋体" w:cs="宋体"/>
          <w:sz w:val="28"/>
          <w:szCs w:val="28"/>
          <w:highlight w:val="none"/>
          <w:u w:val="single"/>
        </w:rPr>
        <w:br w:type="page"/>
      </w:r>
    </w:p>
    <w:p w14:paraId="7C1EAB59">
      <w:pPr>
        <w:spacing w:before="156" w:beforeLines="50" w:after="156" w:afterLines="50" w:line="500" w:lineRule="exact"/>
        <w:rPr>
          <w:rFonts w:ascii="宋体" w:hAnsi="宋体" w:cs="宋体"/>
          <w:b/>
          <w:sz w:val="28"/>
          <w:szCs w:val="28"/>
          <w:highlight w:val="none"/>
        </w:rPr>
      </w:pPr>
      <w:r>
        <w:rPr>
          <w:rFonts w:hint="eastAsia" w:ascii="宋体" w:hAnsi="宋体" w:cs="宋体"/>
          <w:b/>
          <w:sz w:val="28"/>
          <w:szCs w:val="28"/>
          <w:highlight w:val="none"/>
        </w:rPr>
        <w:t>附件3：</w:t>
      </w:r>
    </w:p>
    <w:p w14:paraId="7B297A12">
      <w:pPr>
        <w:adjustRightInd w:val="0"/>
        <w:snapToGrid w:val="0"/>
        <w:spacing w:line="360" w:lineRule="auto"/>
        <w:jc w:val="center"/>
        <w:rPr>
          <w:rFonts w:hint="eastAsia" w:hAnsi="宋体" w:eastAsia="宋体" w:cs="宋体"/>
          <w:b/>
          <w:sz w:val="28"/>
          <w:szCs w:val="28"/>
          <w:highlight w:val="none"/>
          <w:lang w:eastAsia="zh-CN"/>
        </w:rPr>
      </w:pPr>
      <w:r>
        <w:rPr>
          <w:rFonts w:hint="eastAsia" w:hAnsi="宋体" w:cs="宋体"/>
          <w:b/>
          <w:sz w:val="32"/>
          <w:szCs w:val="32"/>
          <w:highlight w:val="none"/>
        </w:rPr>
        <w:t>具有履行本合同所必需的设备和专业技术能力的</w:t>
      </w:r>
      <w:r>
        <w:rPr>
          <w:rFonts w:hint="eastAsia" w:hAnsi="宋体" w:cs="宋体"/>
          <w:b/>
          <w:sz w:val="32"/>
          <w:szCs w:val="32"/>
          <w:highlight w:val="none"/>
          <w:lang w:val="en-US" w:eastAsia="zh-CN"/>
        </w:rPr>
        <w:t>承诺函</w:t>
      </w:r>
    </w:p>
    <w:p w14:paraId="0ECB39CB">
      <w:pPr>
        <w:widowControl/>
        <w:spacing w:line="360" w:lineRule="auto"/>
        <w:ind w:left="1"/>
        <w:jc w:val="center"/>
        <w:rPr>
          <w:rFonts w:hAnsi="宋体" w:cs="宋体"/>
          <w:b/>
          <w:sz w:val="28"/>
          <w:szCs w:val="28"/>
          <w:highlight w:val="none"/>
        </w:rPr>
      </w:pPr>
      <w:r>
        <w:rPr>
          <w:rFonts w:hint="eastAsia" w:hAnsi="宋体" w:cs="宋体"/>
          <w:b/>
          <w:sz w:val="28"/>
          <w:szCs w:val="28"/>
          <w:highlight w:val="none"/>
        </w:rPr>
        <w:t>（格式）</w:t>
      </w:r>
    </w:p>
    <w:p w14:paraId="73152ED1">
      <w:pPr>
        <w:rPr>
          <w:rFonts w:hAnsi="宋体" w:cs="宋体"/>
          <w:highlight w:val="none"/>
        </w:rPr>
      </w:pPr>
    </w:p>
    <w:p w14:paraId="59B2ACFE">
      <w:pPr>
        <w:pStyle w:val="11"/>
        <w:adjustRightInd w:val="0"/>
        <w:snapToGrid w:val="0"/>
        <w:spacing w:line="720" w:lineRule="exact"/>
        <w:jc w:val="center"/>
        <w:rPr>
          <w:rFonts w:hAnsi="宋体"/>
          <w:b/>
          <w:sz w:val="28"/>
          <w:szCs w:val="28"/>
          <w:highlight w:val="none"/>
        </w:rPr>
      </w:pPr>
    </w:p>
    <w:p w14:paraId="6EFAD00D">
      <w:pPr>
        <w:spacing w:line="720" w:lineRule="exact"/>
        <w:rPr>
          <w:rFonts w:hAnsi="宋体" w:cs="宋体"/>
          <w:spacing w:val="4"/>
          <w:highlight w:val="none"/>
          <w:u w:val="single"/>
        </w:rPr>
      </w:pPr>
      <w:r>
        <w:rPr>
          <w:rFonts w:hint="eastAsia" w:hAnsi="宋体" w:cs="宋体"/>
          <w:spacing w:val="4"/>
          <w:highlight w:val="none"/>
          <w:u w:val="single"/>
        </w:rPr>
        <w:t xml:space="preserve"> </w:t>
      </w:r>
      <w:r>
        <w:rPr>
          <w:rFonts w:hint="eastAsia" w:ascii="宋体" w:hAnsi="宋体" w:cs="宋体"/>
          <w:spacing w:val="4"/>
          <w:sz w:val="24"/>
          <w:szCs w:val="32"/>
          <w:highlight w:val="none"/>
          <w:u w:val="single"/>
        </w:rPr>
        <w:t>陕西至诚项目管理集团有限公司</w:t>
      </w:r>
      <w:r>
        <w:rPr>
          <w:rFonts w:hint="eastAsia" w:hAnsi="宋体" w:cs="宋体"/>
          <w:spacing w:val="4"/>
          <w:highlight w:val="none"/>
          <w:u w:val="single"/>
        </w:rPr>
        <w:t xml:space="preserve"> ：</w:t>
      </w:r>
    </w:p>
    <w:p w14:paraId="15B9457C">
      <w:pPr>
        <w:pStyle w:val="11"/>
        <w:adjustRightInd w:val="0"/>
        <w:snapToGrid w:val="0"/>
        <w:spacing w:line="720" w:lineRule="exact"/>
        <w:rPr>
          <w:rFonts w:hAnsi="宋体"/>
          <w:spacing w:val="4"/>
          <w:sz w:val="24"/>
          <w:szCs w:val="24"/>
          <w:highlight w:val="none"/>
        </w:rPr>
      </w:pPr>
      <w:r>
        <w:rPr>
          <w:rFonts w:hint="eastAsia" w:hAnsi="宋体"/>
          <w:spacing w:val="4"/>
          <w:sz w:val="24"/>
          <w:szCs w:val="24"/>
          <w:highlight w:val="none"/>
        </w:rPr>
        <w:t xml:space="preserve">   </w:t>
      </w:r>
      <w:r>
        <w:rPr>
          <w:rFonts w:hint="eastAsia" w:hAnsi="宋体"/>
          <w:spacing w:val="4"/>
          <w:sz w:val="24"/>
          <w:szCs w:val="24"/>
          <w:highlight w:val="none"/>
          <w:u w:val="single"/>
        </w:rPr>
        <w:t xml:space="preserve">      （供应商名称）    </w:t>
      </w:r>
      <w:r>
        <w:rPr>
          <w:rFonts w:hint="eastAsia" w:hAnsi="宋体"/>
          <w:spacing w:val="4"/>
          <w:sz w:val="24"/>
          <w:szCs w:val="24"/>
          <w:highlight w:val="none"/>
        </w:rPr>
        <w:t xml:space="preserve"> 于</w:t>
      </w:r>
      <w:r>
        <w:rPr>
          <w:rFonts w:hint="eastAsia" w:hAnsi="宋体"/>
          <w:spacing w:val="4"/>
          <w:sz w:val="24"/>
          <w:szCs w:val="24"/>
          <w:highlight w:val="none"/>
          <w:u w:val="single"/>
        </w:rPr>
        <w:t xml:space="preserve">     </w:t>
      </w:r>
      <w:r>
        <w:rPr>
          <w:rFonts w:hint="eastAsia" w:hAnsi="宋体"/>
          <w:spacing w:val="4"/>
          <w:sz w:val="24"/>
          <w:szCs w:val="24"/>
          <w:highlight w:val="none"/>
        </w:rPr>
        <w:t>年</w:t>
      </w:r>
      <w:r>
        <w:rPr>
          <w:rFonts w:hint="eastAsia" w:hAnsi="宋体"/>
          <w:spacing w:val="4"/>
          <w:sz w:val="24"/>
          <w:szCs w:val="24"/>
          <w:highlight w:val="none"/>
          <w:u w:val="single"/>
        </w:rPr>
        <w:t xml:space="preserve">    </w:t>
      </w:r>
      <w:r>
        <w:rPr>
          <w:rFonts w:hint="eastAsia" w:hAnsi="宋体"/>
          <w:spacing w:val="4"/>
          <w:sz w:val="24"/>
          <w:szCs w:val="24"/>
          <w:highlight w:val="none"/>
        </w:rPr>
        <w:t>月</w:t>
      </w:r>
      <w:r>
        <w:rPr>
          <w:rFonts w:hint="eastAsia" w:hAnsi="宋体"/>
          <w:spacing w:val="4"/>
          <w:sz w:val="24"/>
          <w:szCs w:val="24"/>
          <w:highlight w:val="none"/>
          <w:u w:val="single"/>
        </w:rPr>
        <w:t xml:space="preserve">   </w:t>
      </w:r>
      <w:r>
        <w:rPr>
          <w:rFonts w:hint="eastAsia" w:hAnsi="宋体"/>
          <w:spacing w:val="4"/>
          <w:sz w:val="24"/>
          <w:szCs w:val="24"/>
          <w:highlight w:val="none"/>
        </w:rPr>
        <w:t>日在中华人民共和国境内</w:t>
      </w:r>
      <w:r>
        <w:rPr>
          <w:rFonts w:hint="eastAsia" w:hAnsi="宋体"/>
          <w:spacing w:val="4"/>
          <w:sz w:val="24"/>
          <w:szCs w:val="24"/>
          <w:highlight w:val="none"/>
          <w:u w:val="single"/>
        </w:rPr>
        <w:t xml:space="preserve">               （详细注册地址）     </w:t>
      </w:r>
      <w:r>
        <w:rPr>
          <w:rFonts w:hint="eastAsia" w:hAnsi="宋体"/>
          <w:spacing w:val="4"/>
          <w:sz w:val="24"/>
          <w:szCs w:val="24"/>
          <w:highlight w:val="none"/>
        </w:rPr>
        <w:t>合法注册并经营，公司主营业务为</w:t>
      </w:r>
      <w:r>
        <w:rPr>
          <w:rFonts w:hint="eastAsia" w:hAnsi="宋体"/>
          <w:spacing w:val="4"/>
          <w:sz w:val="24"/>
          <w:szCs w:val="24"/>
          <w:highlight w:val="none"/>
          <w:u w:val="single"/>
        </w:rPr>
        <w:t xml:space="preserve">                        </w:t>
      </w:r>
      <w:r>
        <w:rPr>
          <w:rFonts w:hint="eastAsia" w:hAnsi="宋体"/>
          <w:spacing w:val="4"/>
          <w:sz w:val="24"/>
          <w:szCs w:val="24"/>
          <w:highlight w:val="none"/>
        </w:rPr>
        <w:t>。</w:t>
      </w:r>
    </w:p>
    <w:p w14:paraId="43DE7EAD">
      <w:pPr>
        <w:pStyle w:val="11"/>
        <w:adjustRightInd w:val="0"/>
        <w:snapToGrid w:val="0"/>
        <w:spacing w:line="720" w:lineRule="exact"/>
        <w:ind w:firstLine="550" w:firstLineChars="222"/>
        <w:rPr>
          <w:rFonts w:hAnsi="宋体"/>
          <w:spacing w:val="4"/>
          <w:sz w:val="24"/>
          <w:szCs w:val="24"/>
          <w:highlight w:val="none"/>
        </w:rPr>
      </w:pPr>
      <w:r>
        <w:rPr>
          <w:rFonts w:hint="eastAsia" w:hAnsi="宋体"/>
          <w:spacing w:val="4"/>
          <w:sz w:val="24"/>
          <w:szCs w:val="24"/>
          <w:highlight w:val="none"/>
        </w:rPr>
        <w:t>我公司郑重承诺，我公司具有履行本合同所必需的设备和专业技术能力，合同履约中将无条件增加相关设备、人员，直至满足项目需求。</w:t>
      </w:r>
    </w:p>
    <w:p w14:paraId="2CCBBA61">
      <w:pPr>
        <w:pStyle w:val="11"/>
        <w:adjustRightInd w:val="0"/>
        <w:snapToGrid w:val="0"/>
        <w:spacing w:line="720" w:lineRule="exact"/>
        <w:rPr>
          <w:rFonts w:hAnsi="宋体"/>
          <w:spacing w:val="4"/>
          <w:sz w:val="24"/>
          <w:szCs w:val="24"/>
          <w:highlight w:val="none"/>
        </w:rPr>
      </w:pPr>
    </w:p>
    <w:p w14:paraId="4779AE05">
      <w:pPr>
        <w:pStyle w:val="11"/>
        <w:adjustRightInd w:val="0"/>
        <w:snapToGrid w:val="0"/>
        <w:spacing w:line="720" w:lineRule="exact"/>
        <w:rPr>
          <w:rFonts w:hAnsi="宋体"/>
          <w:spacing w:val="4"/>
          <w:sz w:val="24"/>
          <w:szCs w:val="24"/>
          <w:highlight w:val="none"/>
        </w:rPr>
      </w:pPr>
    </w:p>
    <w:p w14:paraId="02D7062A">
      <w:pPr>
        <w:pStyle w:val="11"/>
        <w:adjustRightInd w:val="0"/>
        <w:snapToGrid w:val="0"/>
        <w:spacing w:line="720" w:lineRule="exact"/>
        <w:rPr>
          <w:rFonts w:hAnsi="宋体"/>
          <w:spacing w:val="4"/>
          <w:sz w:val="24"/>
          <w:szCs w:val="24"/>
          <w:highlight w:val="none"/>
        </w:rPr>
      </w:pPr>
    </w:p>
    <w:p w14:paraId="2C732353">
      <w:pPr>
        <w:spacing w:line="480" w:lineRule="auto"/>
        <w:ind w:firstLine="2940" w:firstLineChars="1400"/>
        <w:rPr>
          <w:rFonts w:hAnsi="宋体" w:cs="宋体"/>
          <w:highlight w:val="none"/>
        </w:rPr>
      </w:pPr>
      <w:r>
        <w:rPr>
          <w:rFonts w:hint="eastAsia" w:hAnsi="宋体" w:cs="宋体"/>
          <w:highlight w:val="none"/>
        </w:rPr>
        <w:t>供应商名称：</w:t>
      </w:r>
      <w:r>
        <w:rPr>
          <w:rFonts w:hint="eastAsia" w:hAnsi="宋体" w:cs="宋体"/>
          <w:highlight w:val="none"/>
          <w:u w:val="single"/>
        </w:rPr>
        <w:t xml:space="preserve">               </w:t>
      </w:r>
      <w:r>
        <w:rPr>
          <w:rFonts w:hint="eastAsia" w:hAnsi="宋体" w:cs="宋体"/>
          <w:highlight w:val="none"/>
        </w:rPr>
        <w:t>（盖章）</w:t>
      </w:r>
    </w:p>
    <w:p w14:paraId="2BDA7663">
      <w:pPr>
        <w:pStyle w:val="24"/>
        <w:spacing w:before="156" w:beforeLines="50"/>
        <w:ind w:firstLine="2940" w:firstLineChars="1400"/>
        <w:rPr>
          <w:rFonts w:ascii="宋体" w:hAnsi="宋体" w:cs="宋体"/>
          <w:szCs w:val="24"/>
          <w:highlight w:val="none"/>
        </w:rPr>
      </w:pPr>
      <w:r>
        <w:rPr>
          <w:rFonts w:hint="eastAsia" w:ascii="宋体" w:hAnsi="宋体" w:cs="宋体"/>
          <w:szCs w:val="24"/>
          <w:highlight w:val="none"/>
        </w:rPr>
        <w:t>日        期：</w:t>
      </w:r>
      <w:r>
        <w:rPr>
          <w:rFonts w:hint="eastAsia" w:ascii="宋体" w:hAnsi="宋体" w:cs="宋体"/>
          <w:szCs w:val="24"/>
          <w:highlight w:val="none"/>
          <w:u w:val="single"/>
        </w:rPr>
        <w:t xml:space="preserve">      </w:t>
      </w:r>
      <w:r>
        <w:rPr>
          <w:rFonts w:hint="eastAsia" w:ascii="宋体" w:hAnsi="宋体" w:cs="宋体"/>
          <w:szCs w:val="24"/>
          <w:highlight w:val="none"/>
        </w:rPr>
        <w:t>年</w:t>
      </w:r>
      <w:r>
        <w:rPr>
          <w:rFonts w:hint="eastAsia" w:ascii="宋体" w:hAnsi="宋体" w:cs="宋体"/>
          <w:szCs w:val="24"/>
          <w:highlight w:val="none"/>
          <w:u w:val="single"/>
        </w:rPr>
        <w:t xml:space="preserve">     </w:t>
      </w:r>
      <w:r>
        <w:rPr>
          <w:rFonts w:hint="eastAsia" w:ascii="宋体" w:hAnsi="宋体" w:cs="宋体"/>
          <w:szCs w:val="24"/>
          <w:highlight w:val="none"/>
        </w:rPr>
        <w:t>月</w:t>
      </w:r>
      <w:r>
        <w:rPr>
          <w:rFonts w:hint="eastAsia" w:ascii="宋体" w:hAnsi="宋体" w:cs="宋体"/>
          <w:szCs w:val="24"/>
          <w:highlight w:val="none"/>
          <w:u w:val="single"/>
        </w:rPr>
        <w:t xml:space="preserve">     </w:t>
      </w:r>
      <w:r>
        <w:rPr>
          <w:rFonts w:hint="eastAsia" w:ascii="宋体" w:hAnsi="宋体" w:cs="宋体"/>
          <w:szCs w:val="24"/>
          <w:highlight w:val="none"/>
        </w:rPr>
        <w:t>日</w:t>
      </w:r>
    </w:p>
    <w:p w14:paraId="4A36BEA8">
      <w:pPr>
        <w:spacing w:before="156" w:beforeLines="50" w:after="156" w:afterLines="50"/>
        <w:rPr>
          <w:rFonts w:ascii="宋体" w:hAnsi="宋体" w:cs="宋体"/>
          <w:highlight w:val="none"/>
        </w:rPr>
      </w:pPr>
      <w:r>
        <w:rPr>
          <w:rFonts w:hint="eastAsia" w:ascii="宋体" w:hAnsi="宋体" w:cs="宋体"/>
          <w:sz w:val="28"/>
          <w:szCs w:val="28"/>
          <w:highlight w:val="none"/>
          <w:u w:val="single"/>
        </w:rPr>
        <w:br w:type="page"/>
      </w:r>
      <w:r>
        <w:rPr>
          <w:rFonts w:hint="eastAsia" w:ascii="宋体" w:hAnsi="宋体" w:cs="宋体"/>
          <w:b/>
          <w:bCs/>
          <w:sz w:val="28"/>
          <w:szCs w:val="28"/>
          <w:highlight w:val="none"/>
        </w:rPr>
        <w:t>附件4：</w:t>
      </w:r>
    </w:p>
    <w:p w14:paraId="4E73FFEE">
      <w:pPr>
        <w:spacing w:before="156" w:beforeLines="50" w:after="156" w:afterLines="50" w:line="360" w:lineRule="auto"/>
        <w:jc w:val="center"/>
        <w:rPr>
          <w:rFonts w:hAnsi="宋体" w:cs="宋体"/>
          <w:szCs w:val="24"/>
          <w:highlight w:val="none"/>
        </w:rPr>
      </w:pPr>
      <w:r>
        <w:rPr>
          <w:rFonts w:hint="eastAsia" w:hAnsi="宋体" w:cs="宋体"/>
          <w:b/>
          <w:sz w:val="28"/>
          <w:szCs w:val="28"/>
          <w:highlight w:val="none"/>
        </w:rPr>
        <w:t>中小企业声明函</w:t>
      </w:r>
    </w:p>
    <w:p w14:paraId="7711BB42">
      <w:pPr>
        <w:tabs>
          <w:tab w:val="left" w:pos="1620"/>
          <w:tab w:val="left" w:pos="1800"/>
        </w:tabs>
        <w:spacing w:line="500" w:lineRule="exact"/>
        <w:ind w:firstLine="480" w:firstLineChars="200"/>
        <w:rPr>
          <w:rFonts w:hAnsi="宋体" w:cs="宋体"/>
          <w:sz w:val="24"/>
          <w:szCs w:val="32"/>
          <w:highlight w:val="none"/>
        </w:rPr>
      </w:pPr>
      <w:r>
        <w:rPr>
          <w:rFonts w:hint="eastAsia" w:hAnsi="宋体" w:cs="宋体"/>
          <w:sz w:val="24"/>
          <w:szCs w:val="32"/>
          <w:highlight w:val="none"/>
        </w:rPr>
        <w:t>本公司郑重声明，根据《政府采购促进中小企业发展管理办法》（财库﹝2020﹞46 号）的规定，本公司参加</w:t>
      </w:r>
      <w:r>
        <w:rPr>
          <w:rFonts w:hint="eastAsia" w:hAnsi="宋体" w:cs="宋体"/>
          <w:sz w:val="24"/>
          <w:szCs w:val="32"/>
          <w:highlight w:val="none"/>
          <w:u w:val="single"/>
        </w:rPr>
        <w:t>（单位名称）</w:t>
      </w:r>
      <w:r>
        <w:rPr>
          <w:rFonts w:hint="eastAsia" w:hAnsi="宋体" w:cs="宋体"/>
          <w:sz w:val="24"/>
          <w:szCs w:val="32"/>
          <w:highlight w:val="none"/>
        </w:rPr>
        <w:t>的</w:t>
      </w:r>
      <w:r>
        <w:rPr>
          <w:rFonts w:hint="eastAsia" w:hAnsi="宋体" w:cs="宋体"/>
          <w:sz w:val="24"/>
          <w:szCs w:val="32"/>
          <w:highlight w:val="none"/>
          <w:u w:val="single"/>
        </w:rPr>
        <w:t>（项目名称）</w:t>
      </w:r>
      <w:r>
        <w:rPr>
          <w:rFonts w:hint="eastAsia" w:hAnsi="宋体" w:cs="宋体"/>
          <w:sz w:val="24"/>
          <w:szCs w:val="32"/>
          <w:highlight w:val="none"/>
        </w:rPr>
        <w:t>采购活动，工程的施工单位全部为符合政策要求的中小企业（或者：服务全部由符合政策要求的中小企业承接）。相关企业的具体情况如下：</w:t>
      </w:r>
    </w:p>
    <w:p w14:paraId="47C4FDE3">
      <w:pPr>
        <w:tabs>
          <w:tab w:val="left" w:pos="1620"/>
          <w:tab w:val="left" w:pos="1800"/>
        </w:tabs>
        <w:spacing w:line="500" w:lineRule="exact"/>
        <w:ind w:firstLine="480" w:firstLineChars="200"/>
        <w:rPr>
          <w:rFonts w:hAnsi="宋体" w:cs="宋体"/>
          <w:sz w:val="24"/>
          <w:szCs w:val="32"/>
          <w:highlight w:val="none"/>
        </w:rPr>
      </w:pPr>
      <w:r>
        <w:rPr>
          <w:rFonts w:hint="eastAsia" w:hAnsi="宋体" w:cs="宋体"/>
          <w:sz w:val="24"/>
          <w:szCs w:val="32"/>
          <w:highlight w:val="none"/>
        </w:rPr>
        <w:t>1.</w:t>
      </w:r>
      <w:r>
        <w:rPr>
          <w:rFonts w:hint="eastAsia" w:hAnsi="宋体" w:cs="宋体"/>
          <w:sz w:val="24"/>
          <w:szCs w:val="32"/>
          <w:highlight w:val="none"/>
          <w:u w:val="single"/>
        </w:rPr>
        <w:t>（标的名称）</w:t>
      </w:r>
      <w:r>
        <w:rPr>
          <w:rFonts w:hint="eastAsia" w:hAnsi="宋体" w:cs="宋体"/>
          <w:sz w:val="24"/>
          <w:szCs w:val="32"/>
          <w:highlight w:val="none"/>
        </w:rPr>
        <w:t>，属于</w:t>
      </w:r>
      <w:r>
        <w:rPr>
          <w:rFonts w:hint="eastAsia" w:hAnsi="宋体" w:cs="宋体"/>
          <w:sz w:val="24"/>
          <w:szCs w:val="32"/>
          <w:highlight w:val="none"/>
          <w:u w:val="single"/>
        </w:rPr>
        <w:t>（采购文件中明确的所属行业）</w:t>
      </w:r>
      <w:r>
        <w:rPr>
          <w:rFonts w:hint="eastAsia" w:hAnsi="宋体" w:cs="宋体"/>
          <w:sz w:val="24"/>
          <w:szCs w:val="32"/>
          <w:highlight w:val="none"/>
        </w:rPr>
        <w:t>；承建（承接）企业为</w:t>
      </w:r>
      <w:r>
        <w:rPr>
          <w:rFonts w:hint="eastAsia" w:hAnsi="宋体" w:cs="宋体"/>
          <w:sz w:val="24"/>
          <w:szCs w:val="32"/>
          <w:highlight w:val="none"/>
          <w:u w:val="single"/>
        </w:rPr>
        <w:t>（企业名称）</w:t>
      </w:r>
      <w:r>
        <w:rPr>
          <w:rFonts w:hint="eastAsia" w:hAnsi="宋体" w:cs="宋体"/>
          <w:sz w:val="24"/>
          <w:szCs w:val="32"/>
          <w:highlight w:val="none"/>
        </w:rPr>
        <w:t>，从业人员</w:t>
      </w:r>
      <w:r>
        <w:rPr>
          <w:rFonts w:hint="eastAsia" w:hAnsi="宋体" w:cs="宋体"/>
          <w:sz w:val="24"/>
          <w:szCs w:val="32"/>
          <w:highlight w:val="none"/>
          <w:u w:val="single"/>
        </w:rPr>
        <w:t xml:space="preserve"> </w:t>
      </w:r>
      <w:r>
        <w:rPr>
          <w:rFonts w:hint="eastAsia" w:hAnsi="宋体" w:cs="宋体"/>
          <w:sz w:val="24"/>
          <w:szCs w:val="32"/>
          <w:highlight w:val="none"/>
          <w:u w:val="single"/>
        </w:rPr>
        <w:tab/>
      </w:r>
      <w:r>
        <w:rPr>
          <w:rFonts w:hint="eastAsia" w:hAnsi="宋体" w:cs="宋体"/>
          <w:sz w:val="24"/>
          <w:szCs w:val="32"/>
          <w:highlight w:val="none"/>
        </w:rPr>
        <w:t>人，营业收入</w:t>
      </w:r>
      <w:r>
        <w:rPr>
          <w:rFonts w:hint="eastAsia" w:hAnsi="宋体" w:cs="宋体"/>
          <w:sz w:val="24"/>
          <w:szCs w:val="32"/>
          <w:highlight w:val="none"/>
          <w:u w:val="single"/>
        </w:rPr>
        <w:t xml:space="preserve">为 </w:t>
      </w:r>
      <w:r>
        <w:rPr>
          <w:rFonts w:hint="eastAsia" w:hAnsi="宋体" w:cs="宋体"/>
          <w:sz w:val="24"/>
          <w:szCs w:val="32"/>
          <w:highlight w:val="none"/>
          <w:u w:val="single"/>
        </w:rPr>
        <w:tab/>
      </w:r>
      <w:r>
        <w:rPr>
          <w:rFonts w:hint="eastAsia" w:hAnsi="宋体" w:cs="宋体"/>
          <w:sz w:val="24"/>
          <w:szCs w:val="32"/>
          <w:highlight w:val="none"/>
        </w:rPr>
        <w:t>万元，资产总额为</w:t>
      </w:r>
      <w:r>
        <w:rPr>
          <w:rFonts w:hint="eastAsia" w:hAnsi="宋体" w:cs="宋体"/>
          <w:sz w:val="24"/>
          <w:szCs w:val="32"/>
          <w:highlight w:val="none"/>
          <w:u w:val="single"/>
        </w:rPr>
        <w:t xml:space="preserve">      </w:t>
      </w:r>
      <w:r>
        <w:rPr>
          <w:rFonts w:hint="eastAsia" w:hAnsi="宋体" w:cs="宋体"/>
          <w:sz w:val="24"/>
          <w:szCs w:val="32"/>
          <w:highlight w:val="none"/>
        </w:rPr>
        <w:t>万元，属于</w:t>
      </w:r>
      <w:r>
        <w:rPr>
          <w:rFonts w:hint="eastAsia" w:hAnsi="宋体" w:cs="宋体"/>
          <w:sz w:val="24"/>
          <w:szCs w:val="32"/>
          <w:highlight w:val="none"/>
          <w:u w:val="single"/>
        </w:rPr>
        <w:t>（中型企业、小型企业、微型企业）</w:t>
      </w:r>
      <w:r>
        <w:rPr>
          <w:rFonts w:hint="eastAsia" w:hAnsi="宋体" w:cs="宋体"/>
          <w:sz w:val="24"/>
          <w:szCs w:val="32"/>
          <w:highlight w:val="none"/>
        </w:rPr>
        <w:t>；</w:t>
      </w:r>
    </w:p>
    <w:p w14:paraId="2E7D627E">
      <w:pPr>
        <w:tabs>
          <w:tab w:val="left" w:pos="1620"/>
          <w:tab w:val="left" w:pos="1800"/>
        </w:tabs>
        <w:spacing w:line="500" w:lineRule="exact"/>
        <w:ind w:firstLine="480" w:firstLineChars="200"/>
        <w:rPr>
          <w:rFonts w:hAnsi="宋体" w:cs="宋体"/>
          <w:sz w:val="24"/>
          <w:szCs w:val="32"/>
          <w:highlight w:val="none"/>
        </w:rPr>
      </w:pPr>
      <w:r>
        <w:rPr>
          <w:rFonts w:hint="eastAsia" w:hAnsi="宋体" w:cs="宋体"/>
          <w:sz w:val="24"/>
          <w:szCs w:val="32"/>
          <w:highlight w:val="none"/>
        </w:rPr>
        <w:t>2.</w:t>
      </w:r>
      <w:r>
        <w:rPr>
          <w:rFonts w:hint="eastAsia" w:hAnsi="宋体" w:cs="宋体"/>
          <w:sz w:val="24"/>
          <w:szCs w:val="32"/>
          <w:highlight w:val="none"/>
          <w:u w:val="single"/>
        </w:rPr>
        <w:t>（标的名称）</w:t>
      </w:r>
      <w:r>
        <w:rPr>
          <w:rFonts w:hint="eastAsia" w:hAnsi="宋体" w:cs="宋体"/>
          <w:sz w:val="24"/>
          <w:szCs w:val="32"/>
          <w:highlight w:val="none"/>
        </w:rPr>
        <w:t>，属于</w:t>
      </w:r>
      <w:r>
        <w:rPr>
          <w:rFonts w:hint="eastAsia" w:hAnsi="宋体" w:cs="宋体"/>
          <w:sz w:val="24"/>
          <w:szCs w:val="32"/>
          <w:highlight w:val="none"/>
          <w:u w:val="single"/>
        </w:rPr>
        <w:t>（采购文件中明确的所属行业</w:t>
      </w:r>
      <w:r>
        <w:rPr>
          <w:rFonts w:hint="eastAsia" w:hAnsi="宋体" w:cs="宋体"/>
          <w:sz w:val="24"/>
          <w:szCs w:val="32"/>
          <w:highlight w:val="none"/>
        </w:rPr>
        <w:t>）；承建（承接）企业为</w:t>
      </w:r>
      <w:r>
        <w:rPr>
          <w:rFonts w:hint="eastAsia" w:hAnsi="宋体" w:cs="宋体"/>
          <w:sz w:val="24"/>
          <w:szCs w:val="32"/>
          <w:highlight w:val="none"/>
          <w:u w:val="single"/>
        </w:rPr>
        <w:t>（企业名称）</w:t>
      </w:r>
      <w:r>
        <w:rPr>
          <w:rFonts w:hint="eastAsia" w:hAnsi="宋体" w:cs="宋体"/>
          <w:sz w:val="24"/>
          <w:szCs w:val="32"/>
          <w:highlight w:val="none"/>
        </w:rPr>
        <w:t>，从业人员</w:t>
      </w:r>
      <w:r>
        <w:rPr>
          <w:rFonts w:hint="eastAsia" w:hAnsi="宋体" w:cs="宋体"/>
          <w:sz w:val="24"/>
          <w:szCs w:val="32"/>
          <w:highlight w:val="none"/>
          <w:u w:val="single"/>
        </w:rPr>
        <w:t xml:space="preserve"> </w:t>
      </w:r>
      <w:r>
        <w:rPr>
          <w:rFonts w:hint="eastAsia" w:hAnsi="宋体" w:cs="宋体"/>
          <w:sz w:val="24"/>
          <w:szCs w:val="32"/>
          <w:highlight w:val="none"/>
          <w:u w:val="single"/>
        </w:rPr>
        <w:tab/>
      </w:r>
      <w:r>
        <w:rPr>
          <w:rFonts w:hint="eastAsia" w:hAnsi="宋体" w:cs="宋体"/>
          <w:sz w:val="24"/>
          <w:szCs w:val="32"/>
          <w:highlight w:val="none"/>
        </w:rPr>
        <w:t>人，营业收入为</w:t>
      </w:r>
      <w:r>
        <w:rPr>
          <w:rFonts w:hint="eastAsia" w:hAnsi="宋体" w:cs="宋体"/>
          <w:sz w:val="24"/>
          <w:szCs w:val="32"/>
          <w:highlight w:val="none"/>
          <w:u w:val="single"/>
        </w:rPr>
        <w:t xml:space="preserve"> </w:t>
      </w:r>
      <w:r>
        <w:rPr>
          <w:rFonts w:hint="eastAsia" w:hAnsi="宋体" w:cs="宋体"/>
          <w:sz w:val="24"/>
          <w:szCs w:val="32"/>
          <w:highlight w:val="none"/>
          <w:u w:val="single"/>
        </w:rPr>
        <w:tab/>
      </w:r>
      <w:r>
        <w:rPr>
          <w:rFonts w:hint="eastAsia" w:hAnsi="宋体" w:cs="宋体"/>
          <w:sz w:val="24"/>
          <w:szCs w:val="32"/>
          <w:highlight w:val="none"/>
        </w:rPr>
        <w:t>万元，资产总额为</w:t>
      </w:r>
      <w:r>
        <w:rPr>
          <w:rFonts w:hint="eastAsia" w:hAnsi="宋体" w:cs="宋体"/>
          <w:sz w:val="24"/>
          <w:szCs w:val="32"/>
          <w:highlight w:val="none"/>
          <w:u w:val="single"/>
        </w:rPr>
        <w:t xml:space="preserve"> </w:t>
      </w:r>
      <w:r>
        <w:rPr>
          <w:rFonts w:hint="eastAsia" w:hAnsi="宋体" w:cs="宋体"/>
          <w:sz w:val="24"/>
          <w:szCs w:val="32"/>
          <w:highlight w:val="none"/>
          <w:u w:val="single"/>
        </w:rPr>
        <w:tab/>
      </w:r>
      <w:r>
        <w:rPr>
          <w:rFonts w:hint="eastAsia" w:hAnsi="宋体" w:cs="宋体"/>
          <w:sz w:val="24"/>
          <w:szCs w:val="32"/>
          <w:highlight w:val="none"/>
          <w:u w:val="single"/>
        </w:rPr>
        <w:t xml:space="preserve">   </w:t>
      </w:r>
      <w:r>
        <w:rPr>
          <w:rFonts w:hint="eastAsia" w:hAnsi="宋体" w:cs="宋体"/>
          <w:sz w:val="24"/>
          <w:szCs w:val="32"/>
          <w:highlight w:val="none"/>
        </w:rPr>
        <w:t>万元，属于</w:t>
      </w:r>
      <w:r>
        <w:rPr>
          <w:rFonts w:hint="eastAsia" w:hAnsi="宋体" w:cs="宋体"/>
          <w:sz w:val="24"/>
          <w:szCs w:val="32"/>
          <w:highlight w:val="none"/>
          <w:u w:val="single"/>
        </w:rPr>
        <w:t>（中型企业、小型企业、微型企业）</w:t>
      </w:r>
      <w:r>
        <w:rPr>
          <w:rFonts w:hint="eastAsia" w:hAnsi="宋体" w:cs="宋体"/>
          <w:sz w:val="24"/>
          <w:szCs w:val="32"/>
          <w:highlight w:val="none"/>
        </w:rPr>
        <w:t>；</w:t>
      </w:r>
    </w:p>
    <w:p w14:paraId="4D29CC01">
      <w:pPr>
        <w:tabs>
          <w:tab w:val="left" w:pos="1620"/>
          <w:tab w:val="left" w:pos="1800"/>
        </w:tabs>
        <w:spacing w:line="500" w:lineRule="exact"/>
        <w:rPr>
          <w:rFonts w:hAnsi="宋体" w:cs="宋体"/>
          <w:sz w:val="24"/>
          <w:szCs w:val="32"/>
          <w:highlight w:val="none"/>
        </w:rPr>
      </w:pPr>
      <w:r>
        <w:rPr>
          <w:rFonts w:hint="eastAsia" w:hAnsi="宋体" w:cs="宋体"/>
          <w:sz w:val="24"/>
          <w:szCs w:val="32"/>
          <w:highlight w:val="none"/>
        </w:rPr>
        <w:t>……</w:t>
      </w:r>
    </w:p>
    <w:p w14:paraId="4738E92B">
      <w:pPr>
        <w:tabs>
          <w:tab w:val="left" w:pos="1620"/>
          <w:tab w:val="left" w:pos="1800"/>
        </w:tabs>
        <w:spacing w:line="500" w:lineRule="exact"/>
        <w:ind w:firstLine="480" w:firstLineChars="200"/>
        <w:rPr>
          <w:rFonts w:hAnsi="宋体" w:cs="宋体"/>
          <w:sz w:val="24"/>
          <w:szCs w:val="32"/>
          <w:highlight w:val="none"/>
        </w:rPr>
      </w:pPr>
      <w:r>
        <w:rPr>
          <w:rFonts w:hint="eastAsia" w:hAnsi="宋体" w:cs="宋体"/>
          <w:sz w:val="24"/>
          <w:szCs w:val="32"/>
          <w:highlight w:val="none"/>
        </w:rPr>
        <w:t>以上企业，不属于大企业的分支机构，不存在控股股东为大企业的情形，也不存在与大企业的负责人为同一人的情形。</w:t>
      </w:r>
    </w:p>
    <w:p w14:paraId="009542ED">
      <w:pPr>
        <w:tabs>
          <w:tab w:val="left" w:pos="1620"/>
          <w:tab w:val="left" w:pos="1800"/>
        </w:tabs>
        <w:spacing w:line="500" w:lineRule="exact"/>
        <w:ind w:firstLine="480" w:firstLineChars="200"/>
        <w:rPr>
          <w:rFonts w:hAnsi="宋体" w:cs="宋体"/>
          <w:sz w:val="24"/>
          <w:szCs w:val="32"/>
          <w:highlight w:val="none"/>
        </w:rPr>
      </w:pPr>
      <w:r>
        <w:rPr>
          <w:rFonts w:hint="eastAsia" w:hAnsi="宋体" w:cs="宋体"/>
          <w:sz w:val="24"/>
          <w:szCs w:val="32"/>
          <w:highlight w:val="none"/>
        </w:rPr>
        <w:t>本企业对上述声明内容的真实性负责。如有虚假，将依法承担相应责任。</w:t>
      </w:r>
    </w:p>
    <w:p w14:paraId="41D4CD1B">
      <w:pPr>
        <w:tabs>
          <w:tab w:val="left" w:pos="1620"/>
          <w:tab w:val="left" w:pos="1800"/>
        </w:tabs>
        <w:spacing w:line="500" w:lineRule="exact"/>
        <w:rPr>
          <w:rFonts w:hAnsi="宋体" w:cs="宋体"/>
          <w:sz w:val="24"/>
          <w:szCs w:val="32"/>
          <w:highlight w:val="none"/>
        </w:rPr>
      </w:pPr>
    </w:p>
    <w:p w14:paraId="406A349D">
      <w:pPr>
        <w:tabs>
          <w:tab w:val="left" w:pos="1620"/>
          <w:tab w:val="left" w:pos="1800"/>
        </w:tabs>
        <w:spacing w:line="500" w:lineRule="exact"/>
        <w:rPr>
          <w:rFonts w:hAnsi="宋体" w:cs="宋体"/>
          <w:sz w:val="24"/>
          <w:szCs w:val="32"/>
          <w:highlight w:val="none"/>
        </w:rPr>
      </w:pPr>
    </w:p>
    <w:p w14:paraId="0324FA38">
      <w:pPr>
        <w:tabs>
          <w:tab w:val="left" w:pos="1620"/>
          <w:tab w:val="left" w:pos="1800"/>
        </w:tabs>
        <w:spacing w:line="500" w:lineRule="exact"/>
        <w:ind w:firstLine="4800" w:firstLineChars="2000"/>
        <w:rPr>
          <w:rFonts w:hAnsi="宋体" w:cs="宋体"/>
          <w:sz w:val="24"/>
          <w:szCs w:val="32"/>
          <w:highlight w:val="none"/>
        </w:rPr>
      </w:pPr>
      <w:r>
        <w:rPr>
          <w:rFonts w:hint="eastAsia" w:hAnsi="宋体" w:cs="宋体"/>
          <w:sz w:val="24"/>
          <w:szCs w:val="32"/>
          <w:highlight w:val="none"/>
        </w:rPr>
        <w:t>企业名称（盖章）：</w:t>
      </w:r>
    </w:p>
    <w:p w14:paraId="036692CC">
      <w:pPr>
        <w:tabs>
          <w:tab w:val="left" w:pos="1620"/>
          <w:tab w:val="left" w:pos="1800"/>
        </w:tabs>
        <w:spacing w:line="500" w:lineRule="exact"/>
        <w:ind w:firstLine="4800" w:firstLineChars="2000"/>
        <w:rPr>
          <w:rFonts w:hAnsi="宋体" w:cs="宋体"/>
          <w:sz w:val="24"/>
          <w:szCs w:val="32"/>
          <w:highlight w:val="none"/>
        </w:rPr>
      </w:pPr>
      <w:r>
        <w:rPr>
          <w:rFonts w:hint="eastAsia" w:hAnsi="宋体" w:cs="宋体"/>
          <w:sz w:val="24"/>
          <w:szCs w:val="32"/>
          <w:highlight w:val="none"/>
        </w:rPr>
        <w:t>日期：</w:t>
      </w:r>
    </w:p>
    <w:p w14:paraId="1654FD8F">
      <w:pPr>
        <w:rPr>
          <w:rFonts w:hAnsi="宋体" w:cs="宋体"/>
          <w:b/>
          <w:sz w:val="28"/>
          <w:szCs w:val="28"/>
          <w:highlight w:val="none"/>
        </w:rPr>
      </w:pPr>
      <w:r>
        <w:rPr>
          <w:rFonts w:hint="eastAsia" w:hAnsi="宋体" w:cs="宋体"/>
          <w:b/>
          <w:sz w:val="28"/>
          <w:szCs w:val="28"/>
          <w:highlight w:val="none"/>
        </w:rPr>
        <w:br w:type="page"/>
      </w:r>
    </w:p>
    <w:p w14:paraId="1BC49FB7">
      <w:pPr>
        <w:spacing w:before="100" w:beforeAutospacing="1" w:after="156" w:afterLines="50" w:line="360" w:lineRule="auto"/>
        <w:rPr>
          <w:rFonts w:ascii="宋体" w:hAnsi="宋体" w:cs="宋体"/>
          <w:b/>
          <w:bCs/>
          <w:spacing w:val="6"/>
          <w:sz w:val="28"/>
          <w:szCs w:val="28"/>
          <w:highlight w:val="none"/>
        </w:rPr>
      </w:pPr>
      <w:r>
        <w:rPr>
          <w:rFonts w:hint="eastAsia" w:ascii="宋体" w:hAnsi="宋体" w:cs="宋体"/>
          <w:b/>
          <w:bCs/>
          <w:spacing w:val="6"/>
          <w:sz w:val="28"/>
          <w:szCs w:val="28"/>
          <w:highlight w:val="none"/>
        </w:rPr>
        <w:t>附件5（如有）：</w:t>
      </w:r>
    </w:p>
    <w:p w14:paraId="67D443E1">
      <w:pPr>
        <w:spacing w:line="588" w:lineRule="exact"/>
        <w:jc w:val="center"/>
        <w:rPr>
          <w:rFonts w:ascii="宋体" w:hAnsi="宋体" w:cs="宋体"/>
          <w:b/>
          <w:spacing w:val="6"/>
          <w:sz w:val="32"/>
          <w:szCs w:val="32"/>
          <w:highlight w:val="none"/>
        </w:rPr>
      </w:pPr>
      <w:bookmarkStart w:id="100" w:name="OLE_LINK13"/>
      <w:bookmarkStart w:id="101" w:name="OLE_LINK14"/>
      <w:r>
        <w:rPr>
          <w:rFonts w:hint="eastAsia" w:ascii="宋体" w:hAnsi="宋体" w:cs="宋体"/>
          <w:b/>
          <w:spacing w:val="6"/>
          <w:sz w:val="32"/>
          <w:szCs w:val="32"/>
          <w:highlight w:val="none"/>
        </w:rPr>
        <w:t>残疾人福利性单位声明函</w:t>
      </w:r>
    </w:p>
    <w:bookmarkEnd w:id="100"/>
    <w:bookmarkEnd w:id="101"/>
    <w:p w14:paraId="1A686744">
      <w:pPr>
        <w:spacing w:line="588" w:lineRule="exact"/>
        <w:rPr>
          <w:rFonts w:ascii="宋体" w:hAnsi="宋体" w:cs="宋体"/>
          <w:b/>
          <w:spacing w:val="6"/>
          <w:sz w:val="30"/>
          <w:szCs w:val="30"/>
          <w:highlight w:val="none"/>
        </w:rPr>
      </w:pPr>
    </w:p>
    <w:p w14:paraId="5D7069ED">
      <w:pPr>
        <w:spacing w:line="588" w:lineRule="exact"/>
        <w:ind w:firstLine="504" w:firstLineChars="200"/>
        <w:rPr>
          <w:rFonts w:ascii="宋体" w:hAnsi="宋体" w:cs="宋体"/>
          <w:spacing w:val="6"/>
          <w:sz w:val="24"/>
          <w:szCs w:val="32"/>
          <w:highlight w:val="none"/>
        </w:rPr>
      </w:pPr>
      <w:r>
        <w:rPr>
          <w:rFonts w:hint="eastAsia" w:ascii="宋体" w:hAnsi="宋体" w:cs="宋体"/>
          <w:spacing w:val="6"/>
          <w:sz w:val="24"/>
          <w:szCs w:val="32"/>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221252">
      <w:pPr>
        <w:spacing w:line="588" w:lineRule="exact"/>
        <w:ind w:firstLine="504" w:firstLineChars="200"/>
        <w:rPr>
          <w:rFonts w:ascii="宋体" w:hAnsi="宋体" w:cs="宋体"/>
          <w:spacing w:val="6"/>
          <w:sz w:val="24"/>
          <w:szCs w:val="32"/>
          <w:highlight w:val="none"/>
        </w:rPr>
      </w:pPr>
      <w:r>
        <w:rPr>
          <w:rFonts w:hint="eastAsia" w:ascii="宋体" w:hAnsi="宋体" w:cs="宋体"/>
          <w:spacing w:val="6"/>
          <w:sz w:val="24"/>
          <w:szCs w:val="32"/>
          <w:highlight w:val="none"/>
        </w:rPr>
        <w:t>本单位对上述声明的真实性负责。如有虚假，将依法承担相应责任。</w:t>
      </w:r>
    </w:p>
    <w:p w14:paraId="6B8A1AFD">
      <w:pPr>
        <w:spacing w:line="588" w:lineRule="exact"/>
        <w:ind w:firstLine="504" w:firstLineChars="200"/>
        <w:rPr>
          <w:rFonts w:ascii="宋体" w:hAnsi="宋体" w:cs="宋体"/>
          <w:spacing w:val="6"/>
          <w:sz w:val="24"/>
          <w:szCs w:val="32"/>
          <w:highlight w:val="none"/>
        </w:rPr>
      </w:pPr>
    </w:p>
    <w:p w14:paraId="28B876ED">
      <w:pPr>
        <w:spacing w:line="588" w:lineRule="exact"/>
        <w:ind w:firstLine="504" w:firstLineChars="200"/>
        <w:rPr>
          <w:rFonts w:ascii="宋体" w:hAnsi="宋体" w:cs="宋体"/>
          <w:spacing w:val="6"/>
          <w:sz w:val="24"/>
          <w:szCs w:val="32"/>
          <w:highlight w:val="none"/>
        </w:rPr>
      </w:pPr>
    </w:p>
    <w:p w14:paraId="456ABB14">
      <w:pPr>
        <w:spacing w:line="588" w:lineRule="exact"/>
        <w:ind w:firstLine="504" w:firstLineChars="200"/>
        <w:rPr>
          <w:rFonts w:ascii="宋体" w:hAnsi="宋体" w:cs="宋体"/>
          <w:spacing w:val="6"/>
          <w:sz w:val="24"/>
          <w:szCs w:val="32"/>
          <w:highlight w:val="none"/>
        </w:rPr>
      </w:pPr>
    </w:p>
    <w:p w14:paraId="22E255D2">
      <w:pPr>
        <w:spacing w:line="588" w:lineRule="exact"/>
        <w:ind w:firstLine="504" w:firstLineChars="200"/>
        <w:rPr>
          <w:rFonts w:ascii="宋体" w:hAnsi="宋体" w:cs="宋体"/>
          <w:spacing w:val="6"/>
          <w:sz w:val="24"/>
          <w:szCs w:val="32"/>
          <w:highlight w:val="none"/>
        </w:rPr>
      </w:pPr>
    </w:p>
    <w:p w14:paraId="6DB90F2F">
      <w:pPr>
        <w:tabs>
          <w:tab w:val="left" w:pos="4860"/>
        </w:tabs>
        <w:spacing w:line="588" w:lineRule="exact"/>
        <w:ind w:right="1560" w:firstLine="504" w:firstLineChars="200"/>
        <w:jc w:val="center"/>
        <w:rPr>
          <w:rFonts w:ascii="宋体" w:hAnsi="宋体" w:cs="宋体"/>
          <w:spacing w:val="6"/>
          <w:sz w:val="24"/>
          <w:szCs w:val="32"/>
          <w:highlight w:val="none"/>
        </w:rPr>
      </w:pPr>
      <w:r>
        <w:rPr>
          <w:rFonts w:hint="eastAsia" w:ascii="宋体" w:hAnsi="宋体" w:cs="宋体"/>
          <w:spacing w:val="6"/>
          <w:sz w:val="24"/>
          <w:szCs w:val="32"/>
          <w:highlight w:val="none"/>
        </w:rPr>
        <w:t xml:space="preserve">               单位名称（盖章）：</w:t>
      </w:r>
    </w:p>
    <w:p w14:paraId="0FD06F4C">
      <w:pPr>
        <w:tabs>
          <w:tab w:val="left" w:pos="4860"/>
        </w:tabs>
        <w:spacing w:line="588" w:lineRule="exact"/>
        <w:ind w:right="1560" w:firstLine="504" w:firstLineChars="200"/>
        <w:jc w:val="center"/>
        <w:rPr>
          <w:rFonts w:ascii="宋体" w:hAnsi="宋体" w:cs="宋体"/>
          <w:spacing w:val="6"/>
          <w:sz w:val="24"/>
          <w:szCs w:val="32"/>
          <w:highlight w:val="none"/>
        </w:rPr>
      </w:pPr>
      <w:r>
        <w:rPr>
          <w:rFonts w:hint="eastAsia" w:ascii="宋体" w:hAnsi="宋体" w:cs="宋体"/>
          <w:spacing w:val="6"/>
          <w:sz w:val="24"/>
          <w:szCs w:val="32"/>
          <w:highlight w:val="none"/>
        </w:rPr>
        <w:t xml:space="preserve">       日    期：</w:t>
      </w:r>
    </w:p>
    <w:p w14:paraId="1802BE7C">
      <w:pPr>
        <w:rPr>
          <w:rFonts w:ascii="宋体" w:hAnsi="宋体" w:cs="宋体"/>
          <w:b/>
          <w:bCs/>
          <w:spacing w:val="6"/>
          <w:sz w:val="28"/>
          <w:szCs w:val="28"/>
          <w:highlight w:val="none"/>
        </w:rPr>
      </w:pPr>
      <w:r>
        <w:rPr>
          <w:rFonts w:hint="eastAsia" w:ascii="宋体" w:hAnsi="宋体" w:cs="宋体"/>
          <w:highlight w:val="none"/>
        </w:rPr>
        <w:br w:type="page"/>
      </w:r>
      <w:r>
        <w:rPr>
          <w:rFonts w:hint="eastAsia" w:ascii="宋体" w:hAnsi="宋体" w:cs="宋体"/>
          <w:b/>
          <w:bCs/>
          <w:spacing w:val="6"/>
          <w:sz w:val="28"/>
          <w:szCs w:val="28"/>
          <w:highlight w:val="none"/>
        </w:rPr>
        <w:t>附件6：</w:t>
      </w:r>
    </w:p>
    <w:p w14:paraId="3CF9C9EF">
      <w:pPr>
        <w:spacing w:line="588" w:lineRule="exact"/>
        <w:jc w:val="center"/>
        <w:rPr>
          <w:rFonts w:ascii="宋体" w:hAnsi="宋体" w:cs="宋体"/>
          <w:b/>
          <w:spacing w:val="6"/>
          <w:sz w:val="32"/>
          <w:szCs w:val="32"/>
          <w:highlight w:val="none"/>
        </w:rPr>
      </w:pPr>
      <w:r>
        <w:rPr>
          <w:rFonts w:hint="eastAsia" w:ascii="宋体" w:hAnsi="宋体" w:cs="宋体"/>
          <w:b/>
          <w:spacing w:val="6"/>
          <w:sz w:val="32"/>
          <w:szCs w:val="32"/>
          <w:highlight w:val="none"/>
        </w:rPr>
        <w:t>供应商企业关系关联承诺书（供应商承诺书）</w:t>
      </w:r>
    </w:p>
    <w:p w14:paraId="03F60DF7">
      <w:pPr>
        <w:pStyle w:val="16"/>
        <w:spacing w:before="312" w:beforeLines="100" w:beforeAutospacing="0" w:after="312" w:afterLines="100" w:afterAutospacing="0" w:line="480" w:lineRule="auto"/>
        <w:ind w:firstLine="420"/>
        <w:rPr>
          <w:highlight w:val="none"/>
        </w:rPr>
      </w:pPr>
      <w:r>
        <w:rPr>
          <w:rFonts w:hint="eastAsia"/>
          <w:color w:val="000000"/>
          <w:highlight w:val="none"/>
        </w:rPr>
        <w:t>1</w:t>
      </w:r>
      <w:r>
        <w:rPr>
          <w:color w:val="000000"/>
          <w:highlight w:val="none"/>
        </w:rPr>
        <w:t>、</w:t>
      </w:r>
      <w:r>
        <w:rPr>
          <w:rFonts w:hint="eastAsia"/>
          <w:color w:val="000000"/>
          <w:highlight w:val="none"/>
        </w:rPr>
        <w:t>谈判</w:t>
      </w:r>
      <w:r>
        <w:rPr>
          <w:color w:val="000000"/>
          <w:highlight w:val="none"/>
        </w:rPr>
        <w:t>单位在本项目</w:t>
      </w:r>
      <w:r>
        <w:rPr>
          <w:rFonts w:hint="eastAsia"/>
          <w:color w:val="000000"/>
          <w:highlight w:val="none"/>
        </w:rPr>
        <w:t>谈判</w:t>
      </w:r>
      <w:r>
        <w:rPr>
          <w:color w:val="000000"/>
          <w:highlight w:val="none"/>
        </w:rPr>
        <w:t>中，不存在与其它</w:t>
      </w:r>
      <w:r>
        <w:rPr>
          <w:rFonts w:hint="eastAsia"/>
          <w:color w:val="000000"/>
          <w:highlight w:val="none"/>
        </w:rPr>
        <w:t>谈判</w:t>
      </w:r>
      <w:r>
        <w:rPr>
          <w:color w:val="000000"/>
          <w:highlight w:val="none"/>
        </w:rPr>
        <w:t>单位负责人为同一人，有控股、管理等关联关系承诺。</w:t>
      </w:r>
    </w:p>
    <w:p w14:paraId="4E95B50E">
      <w:pPr>
        <w:pStyle w:val="16"/>
        <w:spacing w:before="0" w:after="0"/>
        <w:ind w:firstLine="420"/>
        <w:rPr>
          <w:highlight w:val="none"/>
        </w:rPr>
      </w:pPr>
      <w:r>
        <w:rPr>
          <w:color w:val="000000"/>
          <w:highlight w:val="none"/>
        </w:rPr>
        <w:t>2-1、管理关系说明：</w:t>
      </w:r>
    </w:p>
    <w:p w14:paraId="4413196C">
      <w:pPr>
        <w:pStyle w:val="16"/>
        <w:spacing w:before="0" w:after="0"/>
        <w:ind w:firstLine="420"/>
        <w:rPr>
          <w:highlight w:val="none"/>
        </w:rPr>
      </w:pPr>
      <w:r>
        <w:rPr>
          <w:color w:val="000000"/>
          <w:highlight w:val="none"/>
        </w:rPr>
        <w:t>我单位管理的具有独立法人的下属单位有</w:t>
      </w:r>
      <w:r>
        <w:rPr>
          <w:color w:val="000000"/>
          <w:highlight w:val="none"/>
          <w:u w:val="single"/>
        </w:rPr>
        <w:t xml:space="preserve">： </w:t>
      </w:r>
      <w:r>
        <w:rPr>
          <w:rFonts w:hint="eastAsia"/>
          <w:color w:val="000000"/>
          <w:highlight w:val="none"/>
          <w:u w:val="single"/>
        </w:rPr>
        <w:t xml:space="preserve">     （没有填无）</w:t>
      </w:r>
      <w:r>
        <w:rPr>
          <w:color w:val="000000"/>
          <w:highlight w:val="none"/>
          <w:u w:val="single"/>
        </w:rPr>
        <w:t>。</w:t>
      </w:r>
    </w:p>
    <w:p w14:paraId="1369F49D">
      <w:pPr>
        <w:pStyle w:val="16"/>
        <w:spacing w:before="0" w:after="0"/>
        <w:ind w:firstLine="420"/>
        <w:rPr>
          <w:highlight w:val="none"/>
        </w:rPr>
      </w:pPr>
      <w:r>
        <w:rPr>
          <w:color w:val="000000"/>
          <w:highlight w:val="none"/>
        </w:rPr>
        <w:t>我单位的上级管理单位有</w:t>
      </w:r>
      <w:r>
        <w:rPr>
          <w:color w:val="000000"/>
          <w:highlight w:val="none"/>
          <w:u w:val="single"/>
        </w:rPr>
        <w:t xml:space="preserve"> </w:t>
      </w:r>
      <w:r>
        <w:rPr>
          <w:rFonts w:hint="eastAsia"/>
          <w:color w:val="000000"/>
          <w:highlight w:val="none"/>
          <w:u w:val="single"/>
        </w:rPr>
        <w:t xml:space="preserve">          （没有填无）</w:t>
      </w:r>
      <w:r>
        <w:rPr>
          <w:color w:val="000000"/>
          <w:highlight w:val="none"/>
          <w:u w:val="single"/>
        </w:rPr>
        <w:t xml:space="preserve"> </w:t>
      </w:r>
      <w:r>
        <w:rPr>
          <w:color w:val="000000"/>
          <w:highlight w:val="none"/>
        </w:rPr>
        <w:t>。</w:t>
      </w:r>
    </w:p>
    <w:p w14:paraId="43D8CD43">
      <w:pPr>
        <w:pStyle w:val="16"/>
        <w:spacing w:before="0" w:after="0"/>
        <w:ind w:firstLine="420"/>
        <w:rPr>
          <w:highlight w:val="none"/>
        </w:rPr>
      </w:pPr>
      <w:r>
        <w:rPr>
          <w:color w:val="000000"/>
          <w:highlight w:val="none"/>
        </w:rPr>
        <w:t>2-2、股权关系说明：</w:t>
      </w:r>
    </w:p>
    <w:p w14:paraId="5F0A0C0E">
      <w:pPr>
        <w:pStyle w:val="16"/>
        <w:spacing w:before="0" w:after="0"/>
        <w:ind w:firstLine="420"/>
        <w:rPr>
          <w:highlight w:val="none"/>
        </w:rPr>
      </w:pPr>
      <w:r>
        <w:rPr>
          <w:color w:val="000000"/>
          <w:highlight w:val="none"/>
        </w:rPr>
        <w:t>我单位控股的单位有</w:t>
      </w:r>
      <w:r>
        <w:rPr>
          <w:color w:val="000000"/>
          <w:highlight w:val="none"/>
          <w:u w:val="single"/>
        </w:rPr>
        <w:t xml:space="preserve"> </w:t>
      </w:r>
      <w:r>
        <w:rPr>
          <w:rFonts w:hint="eastAsia"/>
          <w:color w:val="000000"/>
          <w:highlight w:val="none"/>
          <w:u w:val="single"/>
        </w:rPr>
        <w:t xml:space="preserve">         （没有填无）</w:t>
      </w:r>
      <w:r>
        <w:rPr>
          <w:color w:val="000000"/>
          <w:highlight w:val="none"/>
        </w:rPr>
        <w:t xml:space="preserve"> 。</w:t>
      </w:r>
    </w:p>
    <w:p w14:paraId="2F2519D8">
      <w:pPr>
        <w:pStyle w:val="16"/>
        <w:spacing w:before="0" w:after="0"/>
        <w:ind w:firstLine="420"/>
        <w:rPr>
          <w:highlight w:val="none"/>
        </w:rPr>
      </w:pPr>
      <w:r>
        <w:rPr>
          <w:color w:val="000000"/>
          <w:highlight w:val="none"/>
        </w:rPr>
        <w:t>我单位被</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（没有填无）</w:t>
      </w:r>
      <w:r>
        <w:rPr>
          <w:color w:val="000000"/>
          <w:highlight w:val="none"/>
        </w:rPr>
        <w:t>单位控股。</w:t>
      </w:r>
    </w:p>
    <w:p w14:paraId="42924D0F">
      <w:pPr>
        <w:pStyle w:val="16"/>
        <w:spacing w:before="0" w:after="0"/>
        <w:ind w:firstLine="420"/>
        <w:rPr>
          <w:highlight w:val="none"/>
        </w:rPr>
      </w:pPr>
      <w:r>
        <w:rPr>
          <w:color w:val="000000"/>
          <w:highlight w:val="none"/>
        </w:rPr>
        <w:t>2-3、单位负责人：</w:t>
      </w:r>
    </w:p>
    <w:p w14:paraId="64F74AD0">
      <w:pPr>
        <w:pStyle w:val="16"/>
        <w:spacing w:before="0" w:after="0"/>
        <w:ind w:firstLine="420"/>
        <w:rPr>
          <w:highlight w:val="none"/>
        </w:rPr>
      </w:pPr>
      <w:r>
        <w:rPr>
          <w:color w:val="000000"/>
          <w:highlight w:val="none"/>
        </w:rPr>
        <w:t>3、其他与本项目有关的利害关系说明：</w:t>
      </w:r>
    </w:p>
    <w:p w14:paraId="1814508C">
      <w:pPr>
        <w:pStyle w:val="16"/>
        <w:spacing w:before="0" w:after="0"/>
        <w:ind w:firstLine="420"/>
        <w:rPr>
          <w:rFonts w:cs="宋体"/>
          <w:highlight w:val="none"/>
        </w:rPr>
      </w:pPr>
      <w:r>
        <w:rPr>
          <w:color w:val="000000"/>
          <w:highlight w:val="none"/>
        </w:rPr>
        <w:t>我单位承诺以上说明真实有效，无虚假内容或隐瞒。</w:t>
      </w:r>
    </w:p>
    <w:p w14:paraId="09ADC199">
      <w:pPr>
        <w:spacing w:line="480" w:lineRule="auto"/>
        <w:jc w:val="center"/>
        <w:rPr>
          <w:rFonts w:ascii="宋体" w:hAnsi="宋体" w:cs="宋体"/>
          <w:sz w:val="24"/>
          <w:szCs w:val="28"/>
          <w:highlight w:val="none"/>
        </w:rPr>
      </w:pPr>
      <w:r>
        <w:rPr>
          <w:rFonts w:hint="eastAsia" w:ascii="宋体" w:hAnsi="宋体" w:cs="宋体"/>
          <w:sz w:val="24"/>
          <w:szCs w:val="28"/>
          <w:highlight w:val="none"/>
        </w:rPr>
        <w:t xml:space="preserve">                                             供应商名称（公章）： </w:t>
      </w:r>
    </w:p>
    <w:p w14:paraId="2E74DBCF">
      <w:pPr>
        <w:spacing w:line="480" w:lineRule="auto"/>
        <w:jc w:val="right"/>
        <w:rPr>
          <w:rFonts w:ascii="宋体" w:hAnsi="宋体" w:cs="宋体"/>
          <w:sz w:val="24"/>
          <w:szCs w:val="28"/>
          <w:highlight w:val="none"/>
        </w:rPr>
      </w:pPr>
      <w:r>
        <w:rPr>
          <w:rFonts w:hint="eastAsia" w:ascii="宋体" w:hAnsi="宋体" w:cs="宋体"/>
          <w:sz w:val="24"/>
          <w:szCs w:val="28"/>
          <w:highlight w:val="none"/>
        </w:rPr>
        <w:t>日    期：          年      月      日</w:t>
      </w:r>
    </w:p>
    <w:p w14:paraId="629E58E2">
      <w:pPr>
        <w:rPr>
          <w:rFonts w:ascii="宋体" w:hAnsi="宋体" w:cs="宋体"/>
          <w:highlight w:val="none"/>
        </w:rPr>
      </w:pPr>
      <w:r>
        <w:rPr>
          <w:rFonts w:hint="eastAsia" w:ascii="宋体" w:hAnsi="宋体" w:cs="宋体"/>
          <w:highlight w:val="none"/>
        </w:rPr>
        <w:br w:type="page"/>
      </w:r>
    </w:p>
    <w:p w14:paraId="49E417CF">
      <w:pPr>
        <w:spacing w:line="360" w:lineRule="auto"/>
        <w:rPr>
          <w:rFonts w:ascii="宋体" w:hAnsi="宋体" w:cs="宋体"/>
          <w:b/>
          <w:sz w:val="28"/>
          <w:szCs w:val="28"/>
          <w:highlight w:val="none"/>
        </w:rPr>
      </w:pPr>
      <w:r>
        <w:rPr>
          <w:rFonts w:hint="eastAsia" w:ascii="宋体" w:hAnsi="宋体" w:cs="宋体"/>
          <w:b/>
          <w:sz w:val="28"/>
          <w:szCs w:val="28"/>
          <w:highlight w:val="none"/>
        </w:rPr>
        <w:t>附件7：</w:t>
      </w:r>
    </w:p>
    <w:p w14:paraId="31C5E5F8">
      <w:pPr>
        <w:jc w:val="center"/>
        <w:rPr>
          <w:rFonts w:ascii="宋体" w:hAnsi="宋体" w:cs="宋体"/>
          <w:b/>
          <w:bCs/>
          <w:sz w:val="44"/>
          <w:szCs w:val="44"/>
          <w:highlight w:val="none"/>
        </w:rPr>
      </w:pPr>
      <w:r>
        <w:rPr>
          <w:rFonts w:hint="eastAsia" w:ascii="宋体" w:hAnsi="宋体" w:cs="宋体"/>
          <w:b/>
          <w:bCs/>
          <w:sz w:val="44"/>
          <w:szCs w:val="44"/>
          <w:highlight w:val="none"/>
        </w:rPr>
        <w:t>质疑函范本</w:t>
      </w:r>
    </w:p>
    <w:p w14:paraId="0D1AFE2A">
      <w:pPr>
        <w:adjustRightInd w:val="0"/>
        <w:snapToGrid w:val="0"/>
        <w:spacing w:before="312" w:beforeLines="100" w:line="360" w:lineRule="auto"/>
        <w:rPr>
          <w:rFonts w:ascii="宋体" w:hAnsi="宋体" w:cs="宋体"/>
          <w:bCs/>
          <w:sz w:val="24"/>
          <w:szCs w:val="24"/>
          <w:highlight w:val="none"/>
        </w:rPr>
      </w:pPr>
      <w:r>
        <w:rPr>
          <w:rFonts w:hint="eastAsia" w:ascii="宋体" w:hAnsi="宋体" w:cs="宋体"/>
          <w:bCs/>
          <w:sz w:val="24"/>
          <w:szCs w:val="24"/>
          <w:highlight w:val="none"/>
        </w:rPr>
        <w:t>一、质疑供应商基本信息</w:t>
      </w:r>
    </w:p>
    <w:p w14:paraId="5470D225">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质疑供应商：</w:t>
      </w:r>
      <w:r>
        <w:rPr>
          <w:rFonts w:hint="eastAsia" w:ascii="宋体" w:hAnsi="宋体" w:cs="宋体"/>
          <w:sz w:val="24"/>
          <w:szCs w:val="24"/>
          <w:highlight w:val="none"/>
          <w:u w:val="dotted"/>
        </w:rPr>
        <w:t xml:space="preserve">                                        </w:t>
      </w:r>
    </w:p>
    <w:p w14:paraId="352551DB">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6A96BDF6">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52080C84">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p>
    <w:p w14:paraId="612BBEE4">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19B55DE7">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63CC2720">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二、质疑项目基本情况</w:t>
      </w:r>
    </w:p>
    <w:p w14:paraId="38A29A83">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质疑项目的名称：</w:t>
      </w:r>
      <w:r>
        <w:rPr>
          <w:rFonts w:hint="eastAsia" w:ascii="宋体" w:hAnsi="宋体" w:cs="宋体"/>
          <w:sz w:val="24"/>
          <w:szCs w:val="24"/>
          <w:highlight w:val="none"/>
          <w:u w:val="dotted"/>
        </w:rPr>
        <w:t xml:space="preserve">                                      </w:t>
      </w:r>
    </w:p>
    <w:p w14:paraId="6B9E7F9D">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416A39FE">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p>
    <w:p w14:paraId="16088445">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采购文件获取日期：</w:t>
      </w:r>
      <w:r>
        <w:rPr>
          <w:rFonts w:hint="eastAsia" w:ascii="宋体" w:hAnsi="宋体" w:cs="宋体"/>
          <w:sz w:val="24"/>
          <w:szCs w:val="24"/>
          <w:highlight w:val="none"/>
          <w:u w:val="dotted"/>
        </w:rPr>
        <w:t xml:space="preserve">                                           </w:t>
      </w:r>
    </w:p>
    <w:p w14:paraId="5A330D34">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三、质疑事项具体内容</w:t>
      </w:r>
    </w:p>
    <w:p w14:paraId="03B9EEEE">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质疑事项1：</w:t>
      </w:r>
      <w:r>
        <w:rPr>
          <w:rFonts w:hint="eastAsia" w:ascii="宋体" w:hAnsi="宋体" w:cs="宋体"/>
          <w:sz w:val="24"/>
          <w:szCs w:val="24"/>
          <w:highlight w:val="none"/>
          <w:u w:val="dotted"/>
        </w:rPr>
        <w:t xml:space="preserve">                                         </w:t>
      </w:r>
    </w:p>
    <w:p w14:paraId="037581DD">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74C2515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u w:val="dotted"/>
        </w:rPr>
        <w:t xml:space="preserve">                                                       </w:t>
      </w:r>
    </w:p>
    <w:p w14:paraId="7944C1A3">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55AE3C4C">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7C68C560">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质疑事项2</w:t>
      </w:r>
    </w:p>
    <w:p w14:paraId="7426267A">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w:t>
      </w:r>
    </w:p>
    <w:p w14:paraId="46F13932">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四、与质疑事项相关的质疑请求</w:t>
      </w:r>
    </w:p>
    <w:p w14:paraId="27525714">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p>
    <w:p w14:paraId="67F0F4FA">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55573177">
      <w:pPr>
        <w:rPr>
          <w:rFonts w:ascii="宋体" w:hAnsi="宋体" w:cs="宋体"/>
          <w:sz w:val="24"/>
          <w:szCs w:val="24"/>
          <w:highlight w:val="none"/>
        </w:rPr>
      </w:pPr>
      <w:r>
        <w:rPr>
          <w:rFonts w:hint="eastAsia" w:ascii="宋体" w:hAnsi="宋体" w:cs="宋体"/>
          <w:sz w:val="24"/>
          <w:szCs w:val="24"/>
          <w:highlight w:val="none"/>
        </w:rPr>
        <w:t xml:space="preserve">日期：    </w:t>
      </w:r>
    </w:p>
    <w:p w14:paraId="051978A0">
      <w:pPr>
        <w:jc w:val="center"/>
        <w:rPr>
          <w:rFonts w:ascii="宋体" w:hAnsi="宋体" w:cs="宋体"/>
          <w:b/>
          <w:sz w:val="44"/>
          <w:szCs w:val="44"/>
          <w:highlight w:val="none"/>
        </w:rPr>
      </w:pPr>
    </w:p>
    <w:p w14:paraId="0757C00B">
      <w:pPr>
        <w:rPr>
          <w:rFonts w:ascii="宋体" w:hAnsi="宋体" w:cs="宋体"/>
          <w:b/>
          <w:sz w:val="44"/>
          <w:szCs w:val="44"/>
          <w:highlight w:val="none"/>
        </w:rPr>
      </w:pPr>
      <w:r>
        <w:rPr>
          <w:rFonts w:hint="eastAsia" w:ascii="宋体" w:hAnsi="宋体" w:cs="宋体"/>
          <w:b/>
          <w:sz w:val="44"/>
          <w:szCs w:val="44"/>
          <w:highlight w:val="none"/>
        </w:rPr>
        <w:br w:type="page"/>
      </w:r>
    </w:p>
    <w:p w14:paraId="2B370DCA">
      <w:pPr>
        <w:jc w:val="center"/>
        <w:rPr>
          <w:rFonts w:ascii="宋体" w:hAnsi="宋体" w:cs="宋体"/>
          <w:b/>
          <w:sz w:val="44"/>
          <w:szCs w:val="44"/>
          <w:highlight w:val="none"/>
        </w:rPr>
      </w:pPr>
      <w:r>
        <w:rPr>
          <w:rFonts w:hint="eastAsia" w:ascii="宋体" w:hAnsi="宋体" w:cs="宋体"/>
          <w:b/>
          <w:sz w:val="44"/>
          <w:szCs w:val="44"/>
          <w:highlight w:val="none"/>
        </w:rPr>
        <w:t>投诉书范本</w:t>
      </w:r>
    </w:p>
    <w:p w14:paraId="67555577">
      <w:pPr>
        <w:rPr>
          <w:rFonts w:ascii="宋体" w:hAnsi="宋体" w:cs="宋体"/>
          <w:sz w:val="24"/>
          <w:szCs w:val="24"/>
          <w:highlight w:val="none"/>
        </w:rPr>
      </w:pPr>
      <w:r>
        <w:rPr>
          <w:rFonts w:hint="eastAsia" w:ascii="宋体" w:hAnsi="宋体" w:cs="宋体"/>
          <w:sz w:val="24"/>
          <w:szCs w:val="24"/>
          <w:highlight w:val="none"/>
        </w:rPr>
        <w:t>一、投诉相关主体基本情况</w:t>
      </w:r>
    </w:p>
    <w:p w14:paraId="199072FA">
      <w:pPr>
        <w:rPr>
          <w:rFonts w:ascii="宋体" w:hAnsi="宋体" w:cs="宋体"/>
          <w:sz w:val="24"/>
          <w:szCs w:val="24"/>
          <w:highlight w:val="none"/>
          <w:u w:val="dotted"/>
        </w:rPr>
      </w:pPr>
      <w:r>
        <w:rPr>
          <w:rFonts w:hint="eastAsia" w:ascii="宋体" w:hAnsi="宋体" w:cs="宋体"/>
          <w:sz w:val="24"/>
          <w:szCs w:val="24"/>
          <w:highlight w:val="none"/>
        </w:rPr>
        <w:t>投诉人：</w:t>
      </w:r>
      <w:r>
        <w:rPr>
          <w:rFonts w:hint="eastAsia" w:ascii="宋体" w:hAnsi="宋体" w:cs="宋体"/>
          <w:sz w:val="24"/>
          <w:szCs w:val="24"/>
          <w:highlight w:val="none"/>
          <w:u w:val="dotted"/>
        </w:rPr>
        <w:t xml:space="preserve">                                               </w:t>
      </w:r>
    </w:p>
    <w:p w14:paraId="29EC40C6">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15F529E7">
      <w:pPr>
        <w:tabs>
          <w:tab w:val="left" w:pos="6510"/>
        </w:tabs>
        <w:jc w:val="left"/>
        <w:rPr>
          <w:rFonts w:ascii="宋体" w:hAnsi="宋体" w:cs="宋体"/>
          <w:sz w:val="24"/>
          <w:szCs w:val="24"/>
          <w:highlight w:val="none"/>
        </w:rPr>
      </w:pPr>
      <w:r>
        <w:rPr>
          <w:rFonts w:hint="eastAsia" w:ascii="宋体" w:hAnsi="宋体" w:cs="宋体"/>
          <w:sz w:val="24"/>
          <w:szCs w:val="24"/>
          <w:highlight w:val="none"/>
        </w:rPr>
        <w:t>法定代表人/主要负责人：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60572890">
      <w:pPr>
        <w:tabs>
          <w:tab w:val="left" w:pos="6510"/>
        </w:tabs>
        <w:rPr>
          <w:rFonts w:ascii="宋体" w:hAnsi="宋体" w:cs="宋体"/>
          <w:sz w:val="24"/>
          <w:szCs w:val="24"/>
          <w:highlight w:val="none"/>
          <w:u w:val="dotted"/>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01694C42">
      <w:pPr>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30D93F4B">
      <w:pPr>
        <w:rPr>
          <w:rFonts w:ascii="宋体" w:hAnsi="宋体" w:cs="宋体"/>
          <w:sz w:val="24"/>
          <w:szCs w:val="24"/>
          <w:highlight w:val="none"/>
          <w:u w:val="dotted"/>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dotted"/>
        </w:rPr>
        <w:t xml:space="preserve">                   </w:t>
      </w:r>
    </w:p>
    <w:p w14:paraId="77A9FA42">
      <w:pPr>
        <w:rPr>
          <w:rFonts w:ascii="宋体" w:hAnsi="宋体" w:cs="宋体"/>
          <w:sz w:val="24"/>
          <w:szCs w:val="24"/>
          <w:highlight w:val="none"/>
          <w:u w:val="single"/>
        </w:rPr>
      </w:pPr>
      <w:r>
        <w:rPr>
          <w:rFonts w:hint="eastAsia" w:ascii="宋体" w:hAnsi="宋体" w:cs="宋体"/>
          <w:sz w:val="24"/>
          <w:szCs w:val="24"/>
          <w:highlight w:val="none"/>
        </w:rPr>
        <w:t>被投诉人1：</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0534A86C">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1F269DE">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7A6607BD">
      <w:pPr>
        <w:rPr>
          <w:rFonts w:ascii="宋体" w:hAnsi="宋体" w:cs="宋体"/>
          <w:sz w:val="24"/>
          <w:szCs w:val="24"/>
          <w:highlight w:val="none"/>
        </w:rPr>
      </w:pPr>
      <w:r>
        <w:rPr>
          <w:rFonts w:hint="eastAsia" w:ascii="宋体" w:hAnsi="宋体" w:cs="宋体"/>
          <w:sz w:val="24"/>
          <w:szCs w:val="24"/>
          <w:highlight w:val="none"/>
        </w:rPr>
        <w:t>被投诉人2</w:t>
      </w:r>
    </w:p>
    <w:p w14:paraId="3EE51D7D">
      <w:pPr>
        <w:rPr>
          <w:rFonts w:ascii="宋体" w:hAnsi="宋体" w:cs="宋体"/>
          <w:sz w:val="24"/>
          <w:szCs w:val="24"/>
          <w:highlight w:val="none"/>
          <w:u w:val="dotted"/>
        </w:rPr>
      </w:pPr>
      <w:r>
        <w:rPr>
          <w:rFonts w:hint="eastAsia" w:ascii="宋体" w:hAnsi="宋体" w:cs="宋体"/>
          <w:sz w:val="24"/>
          <w:szCs w:val="24"/>
          <w:highlight w:val="none"/>
        </w:rPr>
        <w:t>……</w:t>
      </w:r>
    </w:p>
    <w:p w14:paraId="5862A8A4">
      <w:pPr>
        <w:rPr>
          <w:rFonts w:ascii="宋体" w:hAnsi="宋体" w:cs="宋体"/>
          <w:sz w:val="24"/>
          <w:szCs w:val="24"/>
          <w:highlight w:val="none"/>
          <w:u w:val="single"/>
        </w:rPr>
      </w:pPr>
      <w:r>
        <w:rPr>
          <w:rFonts w:hint="eastAsia" w:ascii="宋体" w:hAnsi="宋体" w:cs="宋体"/>
          <w:sz w:val="24"/>
          <w:szCs w:val="24"/>
          <w:highlight w:val="none"/>
        </w:rPr>
        <w:t>相关供应商：</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4FBCCE2B">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584BE157">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DA05F1D">
      <w:pPr>
        <w:rPr>
          <w:rFonts w:ascii="宋体" w:hAnsi="宋体" w:cs="宋体"/>
          <w:sz w:val="24"/>
          <w:szCs w:val="24"/>
          <w:highlight w:val="none"/>
        </w:rPr>
      </w:pPr>
      <w:r>
        <w:rPr>
          <w:rFonts w:hint="eastAsia" w:ascii="宋体" w:hAnsi="宋体" w:cs="宋体"/>
          <w:sz w:val="24"/>
          <w:szCs w:val="24"/>
          <w:highlight w:val="none"/>
        </w:rPr>
        <w:t>二、投诉项目基本情况</w:t>
      </w:r>
    </w:p>
    <w:p w14:paraId="57EF8BC0">
      <w:pPr>
        <w:rPr>
          <w:rFonts w:ascii="宋体" w:hAnsi="宋体" w:cs="宋体"/>
          <w:sz w:val="24"/>
          <w:szCs w:val="24"/>
          <w:highlight w:val="none"/>
          <w:u w:val="dotted"/>
        </w:rPr>
      </w:pPr>
      <w:r>
        <w:rPr>
          <w:rFonts w:hint="eastAsia" w:ascii="宋体" w:hAnsi="宋体" w:cs="宋体"/>
          <w:sz w:val="24"/>
          <w:szCs w:val="24"/>
          <w:highlight w:val="none"/>
        </w:rPr>
        <w:t>采购项目名称：</w:t>
      </w:r>
      <w:r>
        <w:rPr>
          <w:rFonts w:hint="eastAsia" w:ascii="宋体" w:hAnsi="宋体" w:cs="宋体"/>
          <w:sz w:val="24"/>
          <w:szCs w:val="24"/>
          <w:highlight w:val="none"/>
          <w:u w:val="dotted"/>
        </w:rPr>
        <w:t xml:space="preserve">                                        </w:t>
      </w:r>
    </w:p>
    <w:p w14:paraId="2828417A">
      <w:pPr>
        <w:rPr>
          <w:rFonts w:ascii="宋体" w:hAnsi="宋体" w:cs="宋体"/>
          <w:sz w:val="24"/>
          <w:szCs w:val="24"/>
          <w:highlight w:val="none"/>
          <w:u w:val="single"/>
        </w:rPr>
      </w:pPr>
      <w:r>
        <w:rPr>
          <w:rFonts w:hint="eastAsia" w:ascii="宋体" w:hAnsi="宋体" w:cs="宋体"/>
          <w:sz w:val="24"/>
          <w:szCs w:val="24"/>
          <w:highlight w:val="none"/>
        </w:rPr>
        <w:t>采购项目编号：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4907389F">
      <w:pPr>
        <w:rPr>
          <w:rFonts w:ascii="宋体" w:hAnsi="宋体" w:cs="宋体"/>
          <w:sz w:val="24"/>
          <w:szCs w:val="24"/>
          <w:highlight w:val="none"/>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733445D9">
      <w:pPr>
        <w:rPr>
          <w:rFonts w:ascii="宋体" w:hAnsi="宋体" w:cs="宋体"/>
          <w:sz w:val="24"/>
          <w:szCs w:val="24"/>
          <w:highlight w:val="none"/>
          <w:u w:val="single"/>
        </w:rPr>
      </w:pPr>
      <w:r>
        <w:rPr>
          <w:rFonts w:hint="eastAsia" w:ascii="宋体" w:hAnsi="宋体" w:cs="宋体"/>
          <w:sz w:val="24"/>
          <w:szCs w:val="24"/>
          <w:highlight w:val="none"/>
        </w:rPr>
        <w:t>代理机构名称：</w:t>
      </w:r>
      <w:r>
        <w:rPr>
          <w:rFonts w:hint="eastAsia" w:ascii="宋体" w:hAnsi="宋体" w:cs="宋体"/>
          <w:sz w:val="24"/>
          <w:szCs w:val="24"/>
          <w:highlight w:val="none"/>
          <w:u w:val="dotted"/>
        </w:rPr>
        <w:t xml:space="preserve">                                         </w:t>
      </w:r>
    </w:p>
    <w:p w14:paraId="116BE5E3">
      <w:pPr>
        <w:rPr>
          <w:rFonts w:ascii="宋体" w:hAnsi="宋体" w:cs="宋体"/>
          <w:sz w:val="24"/>
          <w:szCs w:val="24"/>
          <w:highlight w:val="none"/>
          <w:u w:val="dotted"/>
        </w:rPr>
      </w:pPr>
      <w:r>
        <w:rPr>
          <w:rFonts w:hint="eastAsia" w:ascii="宋体" w:hAnsi="宋体" w:cs="宋体"/>
          <w:sz w:val="24"/>
          <w:szCs w:val="24"/>
          <w:highlight w:val="none"/>
        </w:rPr>
        <w:t>采购文件公告: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6F0BCF24">
      <w:pPr>
        <w:rPr>
          <w:rFonts w:ascii="宋体" w:hAnsi="宋体" w:cs="宋体"/>
          <w:sz w:val="24"/>
          <w:szCs w:val="24"/>
          <w:highlight w:val="none"/>
          <w:u w:val="single"/>
        </w:rPr>
      </w:pPr>
      <w:r>
        <w:rPr>
          <w:rFonts w:hint="eastAsia" w:ascii="宋体" w:hAnsi="宋体" w:cs="宋体"/>
          <w:sz w:val="24"/>
          <w:szCs w:val="24"/>
          <w:highlight w:val="none"/>
        </w:rPr>
        <w:t>采购结果公告: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33A3494C">
      <w:pPr>
        <w:rPr>
          <w:rFonts w:ascii="宋体" w:hAnsi="宋体" w:cs="宋体"/>
          <w:sz w:val="24"/>
          <w:szCs w:val="24"/>
          <w:highlight w:val="none"/>
        </w:rPr>
      </w:pPr>
      <w:r>
        <w:rPr>
          <w:rFonts w:hint="eastAsia" w:ascii="宋体" w:hAnsi="宋体" w:cs="宋体"/>
          <w:sz w:val="24"/>
          <w:szCs w:val="24"/>
          <w:highlight w:val="none"/>
        </w:rPr>
        <w:t>三、质疑基本情况</w:t>
      </w:r>
    </w:p>
    <w:p w14:paraId="30A92374">
      <w:pPr>
        <w:ind w:firstLine="480" w:firstLineChars="200"/>
        <w:rPr>
          <w:rFonts w:ascii="宋体" w:hAnsi="宋体" w:cs="宋体"/>
          <w:sz w:val="24"/>
          <w:szCs w:val="24"/>
          <w:highlight w:val="none"/>
          <w:u w:val="dotted"/>
        </w:rPr>
      </w:pPr>
      <w:r>
        <w:rPr>
          <w:rFonts w:hint="eastAsia" w:ascii="宋体" w:hAnsi="宋体" w:cs="宋体"/>
          <w:sz w:val="24"/>
          <w:szCs w:val="24"/>
          <w:highlight w:val="none"/>
        </w:rPr>
        <w:t>投诉人于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日,向</w:t>
      </w:r>
      <w:r>
        <w:rPr>
          <w:rFonts w:hint="eastAsia" w:ascii="宋体" w:hAnsi="宋体" w:cs="宋体"/>
          <w:sz w:val="24"/>
          <w:szCs w:val="24"/>
          <w:highlight w:val="none"/>
          <w:u w:val="dotted"/>
        </w:rPr>
        <w:t xml:space="preserve">                   </w:t>
      </w:r>
      <w:r>
        <w:rPr>
          <w:rFonts w:hint="eastAsia" w:ascii="宋体" w:hAnsi="宋体" w:cs="宋体"/>
          <w:sz w:val="24"/>
          <w:szCs w:val="24"/>
          <w:highlight w:val="none"/>
        </w:rPr>
        <w:t>提出质疑，质疑事项为：</w:t>
      </w:r>
      <w:r>
        <w:rPr>
          <w:rFonts w:hint="eastAsia" w:ascii="宋体" w:hAnsi="宋体" w:cs="宋体"/>
          <w:sz w:val="24"/>
          <w:szCs w:val="24"/>
          <w:highlight w:val="none"/>
          <w:u w:val="dotted"/>
        </w:rPr>
        <w:t xml:space="preserve">                                </w:t>
      </w:r>
    </w:p>
    <w:p w14:paraId="35534793">
      <w:pPr>
        <w:rPr>
          <w:rFonts w:ascii="宋体" w:hAnsi="宋体" w:cs="宋体"/>
          <w:sz w:val="24"/>
          <w:szCs w:val="24"/>
          <w:highlight w:val="none"/>
          <w:u w:val="dotted"/>
        </w:rPr>
      </w:pP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7C2E87BA">
      <w:pPr>
        <w:ind w:firstLine="360" w:firstLineChars="150"/>
        <w:rPr>
          <w:rFonts w:ascii="宋体" w:hAnsi="宋体" w:cs="宋体"/>
          <w:sz w:val="24"/>
          <w:szCs w:val="24"/>
          <w:highlight w:val="none"/>
        </w:rPr>
      </w:pPr>
      <w:r>
        <w:rPr>
          <w:rFonts w:hint="eastAsia" w:ascii="宋体" w:hAnsi="宋体" w:cs="宋体"/>
          <w:sz w:val="24"/>
          <w:szCs w:val="24"/>
          <w:highlight w:val="none"/>
          <w:u w:val="dotted"/>
        </w:rPr>
        <w:t>采购人/代理机构</w:t>
      </w:r>
      <w:r>
        <w:rPr>
          <w:rFonts w:hint="eastAsia" w:ascii="宋体" w:hAnsi="宋体" w:cs="宋体"/>
          <w:sz w:val="24"/>
          <w:szCs w:val="24"/>
          <w:highlight w:val="none"/>
        </w:rPr>
        <w:t>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日,就质疑事项作出了答复/没有在法定期限内作出答复。</w:t>
      </w:r>
    </w:p>
    <w:p w14:paraId="406D5920">
      <w:pPr>
        <w:rPr>
          <w:rFonts w:ascii="宋体" w:hAnsi="宋体" w:cs="宋体"/>
          <w:sz w:val="24"/>
          <w:szCs w:val="24"/>
          <w:highlight w:val="none"/>
        </w:rPr>
      </w:pPr>
      <w:r>
        <w:rPr>
          <w:rFonts w:hint="eastAsia" w:ascii="宋体" w:hAnsi="宋体" w:cs="宋体"/>
          <w:sz w:val="24"/>
          <w:szCs w:val="24"/>
          <w:highlight w:val="none"/>
        </w:rPr>
        <w:t>四、投诉事项具体内容</w:t>
      </w:r>
    </w:p>
    <w:p w14:paraId="1DEB9147">
      <w:pPr>
        <w:rPr>
          <w:rFonts w:ascii="宋体" w:hAnsi="宋体" w:cs="宋体"/>
          <w:sz w:val="24"/>
          <w:szCs w:val="24"/>
          <w:highlight w:val="none"/>
          <w:u w:val="single"/>
        </w:rPr>
      </w:pPr>
      <w:r>
        <w:rPr>
          <w:rFonts w:hint="eastAsia" w:ascii="宋体" w:hAnsi="宋体" w:cs="宋体"/>
          <w:sz w:val="24"/>
          <w:szCs w:val="24"/>
          <w:highlight w:val="none"/>
        </w:rPr>
        <w:t>投诉事项 1：</w:t>
      </w:r>
      <w:r>
        <w:rPr>
          <w:rFonts w:hint="eastAsia" w:ascii="宋体" w:hAnsi="宋体" w:cs="宋体"/>
          <w:sz w:val="24"/>
          <w:szCs w:val="24"/>
          <w:highlight w:val="none"/>
          <w:u w:val="dotted"/>
        </w:rPr>
        <w:t xml:space="preserve">                                       </w:t>
      </w:r>
    </w:p>
    <w:p w14:paraId="4FD1939F">
      <w:pPr>
        <w:rPr>
          <w:rFonts w:ascii="宋体" w:hAnsi="宋体" w:cs="宋体"/>
          <w:sz w:val="24"/>
          <w:szCs w:val="24"/>
          <w:highlight w:val="none"/>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060B378A">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14C2A32A">
      <w:pPr>
        <w:rPr>
          <w:rFonts w:ascii="宋体" w:hAnsi="宋体" w:cs="宋体"/>
          <w:sz w:val="24"/>
          <w:szCs w:val="24"/>
          <w:highlight w:val="none"/>
          <w:u w:val="single"/>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6FED597C">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29E5397D">
      <w:pPr>
        <w:rPr>
          <w:rFonts w:ascii="宋体" w:hAnsi="宋体" w:cs="宋体"/>
          <w:sz w:val="24"/>
          <w:szCs w:val="24"/>
          <w:highlight w:val="none"/>
        </w:rPr>
      </w:pPr>
      <w:r>
        <w:rPr>
          <w:rFonts w:hint="eastAsia" w:ascii="宋体" w:hAnsi="宋体" w:cs="宋体"/>
          <w:sz w:val="24"/>
          <w:szCs w:val="24"/>
          <w:highlight w:val="none"/>
        </w:rPr>
        <w:t>投诉事项2</w:t>
      </w:r>
    </w:p>
    <w:p w14:paraId="3C4B903C">
      <w:pPr>
        <w:rPr>
          <w:rFonts w:ascii="宋体" w:hAnsi="宋体" w:cs="宋体"/>
          <w:sz w:val="24"/>
          <w:szCs w:val="24"/>
          <w:highlight w:val="none"/>
          <w:u w:val="dotted"/>
        </w:rPr>
      </w:pPr>
      <w:r>
        <w:rPr>
          <w:rFonts w:hint="eastAsia" w:ascii="宋体" w:hAnsi="宋体" w:cs="宋体"/>
          <w:sz w:val="24"/>
          <w:szCs w:val="24"/>
          <w:highlight w:val="none"/>
        </w:rPr>
        <w:t>……</w:t>
      </w:r>
    </w:p>
    <w:p w14:paraId="0EFFE099">
      <w:pPr>
        <w:rPr>
          <w:rFonts w:ascii="宋体" w:hAnsi="宋体" w:cs="宋体"/>
          <w:sz w:val="24"/>
          <w:szCs w:val="24"/>
          <w:highlight w:val="none"/>
        </w:rPr>
      </w:pPr>
      <w:r>
        <w:rPr>
          <w:rFonts w:hint="eastAsia" w:ascii="宋体" w:hAnsi="宋体" w:cs="宋体"/>
          <w:sz w:val="24"/>
          <w:szCs w:val="24"/>
          <w:highlight w:val="none"/>
        </w:rPr>
        <w:t>五、与投诉事项相关的投诉请求</w:t>
      </w:r>
    </w:p>
    <w:p w14:paraId="12CDF1C1">
      <w:pPr>
        <w:rPr>
          <w:rFonts w:ascii="宋体" w:hAnsi="宋体" w:cs="宋体"/>
          <w:sz w:val="24"/>
          <w:szCs w:val="24"/>
          <w:highlight w:val="none"/>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12F14702">
      <w:pPr>
        <w:rPr>
          <w:rFonts w:ascii="宋体" w:hAnsi="宋体" w:cs="宋体"/>
          <w:sz w:val="24"/>
          <w:szCs w:val="24"/>
          <w:highlight w:val="none"/>
          <w:u w:val="single"/>
        </w:rPr>
      </w:pPr>
      <w:r>
        <w:rPr>
          <w:rFonts w:hint="eastAsia" w:ascii="宋体" w:hAnsi="宋体" w:cs="宋体"/>
          <w:sz w:val="24"/>
          <w:szCs w:val="24"/>
          <w:highlight w:val="none"/>
        </w:rPr>
        <w:t xml:space="preserve">                                                                                                    </w:t>
      </w:r>
    </w:p>
    <w:p w14:paraId="0CDF9D48">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1D783D30">
      <w:pPr>
        <w:rPr>
          <w:rFonts w:ascii="宋体" w:hAnsi="宋体" w:cs="宋体"/>
          <w:sz w:val="18"/>
          <w:szCs w:val="21"/>
          <w:highlight w:val="none"/>
        </w:rPr>
      </w:pPr>
      <w:r>
        <w:rPr>
          <w:rFonts w:hint="eastAsia" w:ascii="宋体" w:hAnsi="宋体" w:cs="宋体"/>
          <w:sz w:val="24"/>
          <w:szCs w:val="24"/>
          <w:highlight w:val="none"/>
        </w:rPr>
        <w:t xml:space="preserve">日期：    </w:t>
      </w:r>
      <w:r>
        <w:rPr>
          <w:rFonts w:hint="eastAsia" w:ascii="宋体" w:hAnsi="宋体" w:cs="宋体"/>
          <w:sz w:val="18"/>
          <w:szCs w:val="21"/>
          <w:highlight w:val="none"/>
        </w:rPr>
        <w:t xml:space="preserve">                  </w:t>
      </w:r>
    </w:p>
    <w:p w14:paraId="26089E79">
      <w:pPr>
        <w:rPr>
          <w:sz w:val="18"/>
          <w:szCs w:val="20"/>
          <w:highlight w:val="none"/>
        </w:rPr>
      </w:pPr>
    </w:p>
    <w:p w14:paraId="35CA0CA3">
      <w:pPr>
        <w:rPr>
          <w:highlight w:val="none"/>
        </w:rPr>
      </w:pPr>
    </w:p>
    <w:sectPr>
      <w:pgSz w:w="11906" w:h="16838"/>
      <w:pgMar w:top="1304" w:right="1361" w:bottom="1304" w:left="1361"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48E04">
    <w:pPr>
      <w:pStyle w:val="12"/>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B6C0D">
    <w:pPr>
      <w:pStyle w:val="12"/>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6230DA">
                          <w:pPr>
                            <w:pStyle w:val="12"/>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JUR0j8QBAACQAwAADgAAAAAAAAABACAAAAAeAQAAZHJzL2Uyb0RvYy54bWxQ&#10;SwUGAAAAAAYABgBZAQAAVAUAAAAA&#10;">
              <v:fill on="f" focussize="0,0"/>
              <v:stroke on="f"/>
              <v:imagedata o:title=""/>
              <o:lock v:ext="edit" aspectratio="f"/>
              <v:textbox inset="0mm,0mm,0mm,0mm" style="mso-fit-shape-to-text:t;">
                <w:txbxContent>
                  <w:p w14:paraId="126230DA">
                    <w:pPr>
                      <w:pStyle w:val="12"/>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347DC">
    <w:pPr>
      <w:pStyle w:val="13"/>
      <w:pBdr>
        <w:bottom w:val="none" w:color="auto" w:sz="0" w:space="1"/>
      </w:pBdr>
      <w:ind w:left="4500" w:hanging="4500" w:hangingChars="250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948D8">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68DCD"/>
    <w:multiLevelType w:val="singleLevel"/>
    <w:tmpl w:val="8B868DCD"/>
    <w:lvl w:ilvl="0" w:tentative="0">
      <w:start w:val="6"/>
      <w:numFmt w:val="decimal"/>
      <w:suff w:val="nothing"/>
      <w:lvlText w:val="%1、"/>
      <w:lvlJc w:val="left"/>
    </w:lvl>
  </w:abstractNum>
  <w:abstractNum w:abstractNumId="1">
    <w:nsid w:val="00000001"/>
    <w:multiLevelType w:val="singleLevel"/>
    <w:tmpl w:val="0000000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4MWE4NGQ1NGE4NTE4NGE2YTYzYjJiNzIzMjE3NjAifQ=="/>
  </w:docVars>
  <w:rsids>
    <w:rsidRoot w:val="03F44D91"/>
    <w:rsid w:val="0011476B"/>
    <w:rsid w:val="001325E4"/>
    <w:rsid w:val="00153AFF"/>
    <w:rsid w:val="002048B5"/>
    <w:rsid w:val="00221109"/>
    <w:rsid w:val="00241BE4"/>
    <w:rsid w:val="002A75AB"/>
    <w:rsid w:val="002E14FC"/>
    <w:rsid w:val="003F06CC"/>
    <w:rsid w:val="004241A6"/>
    <w:rsid w:val="004330F7"/>
    <w:rsid w:val="00570B94"/>
    <w:rsid w:val="006541B5"/>
    <w:rsid w:val="007149C1"/>
    <w:rsid w:val="007E3F29"/>
    <w:rsid w:val="00807648"/>
    <w:rsid w:val="00917AB2"/>
    <w:rsid w:val="00936303"/>
    <w:rsid w:val="00AE41DD"/>
    <w:rsid w:val="00B751F8"/>
    <w:rsid w:val="00C8543F"/>
    <w:rsid w:val="00E1457C"/>
    <w:rsid w:val="00E45E64"/>
    <w:rsid w:val="00E519D3"/>
    <w:rsid w:val="00E60368"/>
    <w:rsid w:val="00FF28F9"/>
    <w:rsid w:val="03440B39"/>
    <w:rsid w:val="03F44D91"/>
    <w:rsid w:val="06CC59B8"/>
    <w:rsid w:val="071A4FFB"/>
    <w:rsid w:val="0A2B44A7"/>
    <w:rsid w:val="0A79028B"/>
    <w:rsid w:val="0C0F70F9"/>
    <w:rsid w:val="0D561DE6"/>
    <w:rsid w:val="11811760"/>
    <w:rsid w:val="12C83C57"/>
    <w:rsid w:val="132E1D1A"/>
    <w:rsid w:val="17555BDC"/>
    <w:rsid w:val="17AD77C6"/>
    <w:rsid w:val="1FBE3365"/>
    <w:rsid w:val="270A253F"/>
    <w:rsid w:val="28334FEE"/>
    <w:rsid w:val="28483F5F"/>
    <w:rsid w:val="2A4B3152"/>
    <w:rsid w:val="2A8346D4"/>
    <w:rsid w:val="2A8D1C0C"/>
    <w:rsid w:val="2BA3422E"/>
    <w:rsid w:val="2BE50EED"/>
    <w:rsid w:val="2C492169"/>
    <w:rsid w:val="2D4C4236"/>
    <w:rsid w:val="2E1D5D5D"/>
    <w:rsid w:val="349712F4"/>
    <w:rsid w:val="373C2085"/>
    <w:rsid w:val="37472931"/>
    <w:rsid w:val="383D64EA"/>
    <w:rsid w:val="3902576C"/>
    <w:rsid w:val="39E3423B"/>
    <w:rsid w:val="39FA48D9"/>
    <w:rsid w:val="414258DE"/>
    <w:rsid w:val="438A597D"/>
    <w:rsid w:val="4CEE3B39"/>
    <w:rsid w:val="506B61FB"/>
    <w:rsid w:val="52586977"/>
    <w:rsid w:val="599A7185"/>
    <w:rsid w:val="5C1C1BC8"/>
    <w:rsid w:val="5CD24739"/>
    <w:rsid w:val="5EB44658"/>
    <w:rsid w:val="5ED20370"/>
    <w:rsid w:val="60AE213F"/>
    <w:rsid w:val="61AE1F61"/>
    <w:rsid w:val="62CD2171"/>
    <w:rsid w:val="635837E2"/>
    <w:rsid w:val="641D7217"/>
    <w:rsid w:val="64466BF9"/>
    <w:rsid w:val="651319EF"/>
    <w:rsid w:val="67141878"/>
    <w:rsid w:val="6D8A0208"/>
    <w:rsid w:val="6DA7224F"/>
    <w:rsid w:val="6EED529A"/>
    <w:rsid w:val="706A51B6"/>
    <w:rsid w:val="70941B00"/>
    <w:rsid w:val="70ED4030"/>
    <w:rsid w:val="73E368AE"/>
    <w:rsid w:val="740F42BD"/>
    <w:rsid w:val="7A492D05"/>
    <w:rsid w:val="7DFD0F4F"/>
    <w:rsid w:val="FFFD3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qFormat/>
    <w:uiPriority w:val="0"/>
    <w:pPr>
      <w:keepNext/>
      <w:spacing w:beforeLines="200" w:line="400" w:lineRule="exact"/>
      <w:jc w:val="center"/>
      <w:outlineLvl w:val="2"/>
    </w:pPr>
    <w:rPr>
      <w:b/>
      <w:bCs/>
      <w:sz w:val="24"/>
      <w:szCs w:val="24"/>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1"/>
    <w:qFormat/>
    <w:uiPriority w:val="0"/>
    <w:rPr>
      <w:rFonts w:ascii="仿宋_GB2312" w:eastAsia="仿宋_GB2312"/>
      <w:spacing w:val="-20"/>
      <w:sz w:val="28"/>
      <w:szCs w:val="20"/>
    </w:rPr>
  </w:style>
  <w:style w:type="paragraph" w:styleId="9">
    <w:name w:val="Body Text Indent"/>
    <w:basedOn w:val="1"/>
    <w:next w:val="10"/>
    <w:qFormat/>
    <w:uiPriority w:val="0"/>
    <w:pPr>
      <w:widowControl/>
      <w:ind w:firstLine="652" w:firstLineChars="233"/>
    </w:pPr>
    <w:rPr>
      <w:kern w:val="0"/>
      <w:sz w:val="28"/>
    </w:rPr>
  </w:style>
  <w:style w:type="paragraph" w:customStyle="1" w:styleId="10">
    <w:name w:val="font5"/>
    <w:basedOn w:val="1"/>
    <w:autoRedefine/>
    <w:qFormat/>
    <w:uiPriority w:val="0"/>
    <w:pPr>
      <w:widowControl/>
      <w:spacing w:before="100" w:beforeAutospacing="1" w:after="100" w:afterAutospacing="1"/>
      <w:jc w:val="left"/>
    </w:pPr>
    <w:rPr>
      <w:rFonts w:hint="eastAsia" w:hAnsi="宋体"/>
    </w:rPr>
  </w:style>
  <w:style w:type="paragraph" w:styleId="11">
    <w:name w:val="Plain Text"/>
    <w:basedOn w:val="1"/>
    <w:qFormat/>
    <w:uiPriority w:val="99"/>
    <w:rPr>
      <w:rFonts w:ascii="宋体" w:hAnsi="Courier New" w:cs="宋体"/>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kern w:val="0"/>
      <w:sz w:val="24"/>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Cs/>
    </w:rPr>
  </w:style>
  <w:style w:type="character" w:styleId="21">
    <w:name w:val="Hyperlink"/>
    <w:basedOn w:val="19"/>
    <w:qFormat/>
    <w:uiPriority w:val="0"/>
    <w:rPr>
      <w:color w:val="0000FF"/>
      <w:u w:val="single"/>
    </w:rPr>
  </w:style>
  <w:style w:type="paragraph" w:customStyle="1" w:styleId="22">
    <w:name w:val="列出段落1"/>
    <w:basedOn w:val="1"/>
    <w:autoRedefine/>
    <w:qFormat/>
    <w:uiPriority w:val="34"/>
    <w:pPr>
      <w:ind w:firstLine="420" w:firstLineChars="200"/>
    </w:pPr>
  </w:style>
  <w:style w:type="paragraph" w:styleId="23">
    <w:name w:val="List Paragraph"/>
    <w:basedOn w:val="1"/>
    <w:autoRedefine/>
    <w:qFormat/>
    <w:uiPriority w:val="1"/>
    <w:pPr>
      <w:ind w:left="205" w:right="169" w:firstLine="655"/>
    </w:pPr>
    <w:rPr>
      <w:rFonts w:ascii="仿宋" w:hAnsi="仿宋" w:eastAsia="仿宋" w:cs="仿宋"/>
      <w:u w:val="single" w:color="000000"/>
      <w:lang w:val="zh-CN" w:bidi="zh-CN"/>
    </w:rPr>
  </w:style>
  <w:style w:type="paragraph" w:customStyle="1" w:styleId="24">
    <w:name w:val="列出段落11"/>
    <w:basedOn w:val="1"/>
    <w:autoRedefine/>
    <w:qFormat/>
    <w:uiPriority w:val="34"/>
    <w:pPr>
      <w:ind w:firstLine="420" w:firstLineChars="200"/>
    </w:pPr>
    <w:rPr>
      <w:rFonts w:ascii="Calibri" w:hAnsi="Calibri"/>
    </w:rPr>
  </w:style>
  <w:style w:type="paragraph" w:customStyle="1" w:styleId="25">
    <w:name w:val="List Paragraph1"/>
    <w:qFormat/>
    <w:uiPriority w:val="99"/>
    <w:pPr>
      <w:ind w:firstLine="420" w:firstLineChars="200"/>
    </w:pPr>
    <w:rPr>
      <w:rFonts w:ascii="Times New Roman" w:hAnsi="Times New Roman" w:eastAsia="宋体" w:cs="Times New Roman"/>
      <w:sz w:val="21"/>
      <w:szCs w:val="22"/>
      <w:lang w:val="en-US" w:eastAsia="zh-CN" w:bidi="ar-SA"/>
    </w:rPr>
  </w:style>
  <w:style w:type="paragraph" w:customStyle="1" w:styleId="2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10405</Words>
  <Characters>12178</Characters>
  <Lines>203</Lines>
  <Paragraphs>57</Paragraphs>
  <TotalTime>26</TotalTime>
  <ScaleCrop>false</ScaleCrop>
  <LinksUpToDate>false</LinksUpToDate>
  <CharactersWithSpaces>12298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2025-09-15T19:45:00Z</dcterms:created>
  <dc:creator>救赎</dc:creator>
  <cp:lastModifiedBy>lenovo</cp:lastModifiedBy>
  <dcterms:modified xsi:type="dcterms:W3CDTF">2026-10-09T10:45:48Z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B9F0B6C932EA43BE88A2766D826AC56E_13</vt:lpwstr>
  </property>
  <property fmtid="{D5CDD505-2E9C-101B-9397-08002B2CF9AE}" pid="4" name="KSOTemplateDocerSaveRecord">
    <vt:lpwstr>eyJoZGlkIjoiMTM2MmExZmM3MjhmNDhmZjI1MDBiNWQ3ODkxODIzZGEiLCJ1c2VySWQiOiI0Nzc1NTUxODkifQ==</vt:lpwstr>
  </property>
</Properties>
</file>