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EB07EC">
      <w:pPr>
        <w:spacing w:line="360" w:lineRule="auto"/>
        <w:ind w:firstLine="482" w:firstLineChars="200"/>
        <w:rPr>
          <w:rFonts w:hint="eastAsia" w:ascii="仿宋" w:hAnsi="仿宋" w:eastAsia="仿宋" w:cs="仿宋"/>
          <w:b/>
          <w:bCs/>
          <w:sz w:val="24"/>
          <w:highlight w:val="none"/>
        </w:rPr>
      </w:pPr>
      <w:bookmarkStart w:id="9" w:name="_GoBack"/>
      <w:r>
        <w:rPr>
          <w:rFonts w:hint="eastAsia" w:ascii="仿宋" w:hAnsi="仿宋" w:eastAsia="仿宋" w:cs="仿宋"/>
          <w:b/>
          <w:bCs/>
          <w:sz w:val="24"/>
          <w:highlight w:val="none"/>
        </w:rPr>
        <w:t>一、项目概况</w:t>
      </w:r>
    </w:p>
    <w:p w14:paraId="1F9BB23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本项目为能源管理的节能诊断和改造方案与能耗基准线研究的能源审计咨询服务项目。</w:t>
      </w:r>
    </w:p>
    <w:p w14:paraId="3311AF4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核心目标为：通过专业能源审计咨询服务，针对两校区的能源使用情况完成节能诊断、研究科学合理的能耗基准线（能耗基线），助力学校建立完善能源管理体系，提供可落地的节能改造方案、最终实现节能降费、提升能源管理水平、推进节能降碳改造的核心诉求。审计对象为高新、临渭两个校区（涵盖教学楼、宿舍楼、实训楼、实训基地、运动场所等各类用能区域），需全面覆盖电、水、暖、燃气等全用能系统，杜绝形式化审计，确保审计成果可落地、可考核、可追溯，契合公共机构节能管理相关要求。</w:t>
      </w:r>
    </w:p>
    <w:p w14:paraId="1867944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项目招标范围包括但不限于：能源审计（含定量监测、数据核验、问题诊断、潜力测算等）、节能诊断、能耗基准线（能耗基线）研究与确立、节能改造方案编制（含落地实施路径、资金规划、托管衔接等）、能源管理体系完善建议、成效核验、长效技术咨询及复盘优化等全流程服务。</w:t>
      </w:r>
    </w:p>
    <w:p w14:paraId="6E2E5AD1">
      <w:pPr>
        <w:spacing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二、服务要求</w:t>
      </w:r>
    </w:p>
    <w:p w14:paraId="035EE8DC">
      <w:pPr>
        <w:spacing w:line="360" w:lineRule="auto"/>
        <w:ind w:firstLine="482" w:firstLineChars="200"/>
        <w:rPr>
          <w:rFonts w:hint="eastAsia" w:ascii="仿宋" w:hAnsi="仿宋" w:eastAsia="仿宋" w:cs="仿宋"/>
          <w:b/>
          <w:bCs/>
          <w:sz w:val="24"/>
          <w:highlight w:val="none"/>
        </w:rPr>
      </w:pPr>
      <w:bookmarkStart w:id="0" w:name="heading_35"/>
      <w:r>
        <w:rPr>
          <w:rFonts w:hint="eastAsia" w:ascii="仿宋" w:hAnsi="仿宋" w:eastAsia="仿宋" w:cs="仿宋"/>
          <w:b/>
          <w:bCs/>
          <w:sz w:val="24"/>
          <w:highlight w:val="none"/>
        </w:rPr>
        <w:t>1.核心服务目标</w:t>
      </w:r>
      <w:bookmarkEnd w:id="0"/>
    </w:p>
    <w:p w14:paraId="6B17E6C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通过本项目服务，实现以下核心目标：</w:t>
      </w:r>
    </w:p>
    <w:p w14:paraId="0EFE777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（1）完成全面、详实的能源审计，精准开展节能诊断，挖掘节能降费潜力，形成科学、专业的审计报告；</w:t>
      </w:r>
    </w:p>
    <w:p w14:paraId="5339787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（2）研究并确立科学合理的能耗基准线（能耗基线），明确基期能耗数据及修正机制，便于后续节能成效核验及结算；</w:t>
      </w:r>
    </w:p>
    <w:p w14:paraId="5ECFCA4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（3）制定可落地、具经济性的节能改造方案，明确实施路径、资金来源、责任分工，确保改造方案能切实落地并产生实效；</w:t>
      </w:r>
    </w:p>
    <w:p w14:paraId="648F8CC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（4）助力招标人完善能源管理体系，提升能源管理水平，建立长效节能管理机制；</w:t>
      </w:r>
    </w:p>
    <w:p w14:paraId="7217EA8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（5）实现约定的节能降费、碳减排目标，确保审计成果可落地、可考核、可追溯，建立全流程闭环管理体系。</w:t>
      </w:r>
    </w:p>
    <w:p w14:paraId="1A8E4200">
      <w:pPr>
        <w:spacing w:line="360" w:lineRule="auto"/>
        <w:ind w:firstLine="482" w:firstLineChars="200"/>
        <w:rPr>
          <w:rFonts w:hint="eastAsia" w:ascii="仿宋" w:hAnsi="仿宋" w:eastAsia="仿宋" w:cs="仿宋"/>
          <w:b/>
          <w:bCs/>
          <w:sz w:val="24"/>
          <w:highlight w:val="none"/>
        </w:rPr>
      </w:pPr>
      <w:bookmarkStart w:id="1" w:name="heading_36"/>
      <w:r>
        <w:rPr>
          <w:rFonts w:hint="eastAsia" w:ascii="仿宋" w:hAnsi="仿宋" w:eastAsia="仿宋" w:cs="仿宋"/>
          <w:b/>
          <w:bCs/>
          <w:sz w:val="24"/>
          <w:highlight w:val="none"/>
        </w:rPr>
        <w:t>2.服务范围及内容</w:t>
      </w:r>
      <w:bookmarkEnd w:id="1"/>
    </w:p>
    <w:p w14:paraId="5E86A994">
      <w:pPr>
        <w:spacing w:line="360" w:lineRule="auto"/>
        <w:ind w:firstLine="480" w:firstLineChars="200"/>
        <w:rPr>
          <w:rFonts w:hint="eastAsia" w:ascii="仿宋" w:hAnsi="仿宋" w:eastAsia="仿宋" w:cs="仿宋"/>
          <w:sz w:val="24"/>
          <w:highlight w:val="none"/>
        </w:rPr>
      </w:pPr>
      <w:bookmarkStart w:id="2" w:name="heading_37"/>
      <w:r>
        <w:rPr>
          <w:rFonts w:hint="eastAsia" w:ascii="仿宋" w:hAnsi="仿宋" w:eastAsia="仿宋" w:cs="仿宋"/>
          <w:sz w:val="24"/>
          <w:highlight w:val="none"/>
        </w:rPr>
        <w:t>（1）能源审计服务</w:t>
      </w:r>
      <w:bookmarkEnd w:id="2"/>
    </w:p>
    <w:p w14:paraId="6F2479B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定量监测与数据核验：组建专业团队驻场审计（驻场时长不少于30天，人数不少于5人，结合项目规模确定），全面核查招标人各类用能系统（电、水、暖、燃气等），核验计量设备运行状态，按要求配备流量、温度、湿度、电力采集与分析仪器设备，采集近3年能耗数据及逐时气象、环境等相关数据，结合财务缴费凭证、三方结算数据，建立完整设备台账、运行记录，确保数据详实、可追溯；</w:t>
      </w:r>
    </w:p>
    <w:p w14:paraId="655E515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能耗分析：采用科学的处理方法，对逐时分类分项耗电、耗气、用水、用热数据进行处理与验证，量化各用能区域、各用能系统的能耗强度，分析能源利用效率、经济性及环境效果（碳排放量核算），精准识别低效用能环节及浪费问题；</w:t>
      </w:r>
    </w:p>
    <w:p w14:paraId="6E63A483">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3）计量体系审计：完善计量边界、计量粒度，核查计量设备缺失、不准、未校准等问题，提出整改措施，编制完整、规范的能量平衡表、能源网络图和能流图；</w:t>
      </w:r>
    </w:p>
    <w:p w14:paraId="7FAB25F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4）能源管理体系审计：核查招标人现有能源管理组织机构、管理制度、考核机制等，诊断管理层面问题，提出优化建议；</w:t>
      </w:r>
    </w:p>
    <w:p w14:paraId="63DCF9B4">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5）问题诊断与障碍分析：精准梳理能源利用、计量管理、节能工作中的核心问题，深入剖析问题根源及主要障碍，形成专业、明晰的诊断结论；</w:t>
      </w:r>
    </w:p>
    <w:p w14:paraId="2F64616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6）节能潜力测算：分专项量化节能降费、碳减排潜力，明确各专项节能率、费用节约额等量化指标，为节能改造方案提供支撑。</w:t>
      </w:r>
    </w:p>
    <w:p w14:paraId="38F9A5A7">
      <w:pPr>
        <w:spacing w:line="360" w:lineRule="auto"/>
        <w:ind w:firstLine="480" w:firstLineChars="200"/>
        <w:rPr>
          <w:rFonts w:hint="eastAsia" w:ascii="仿宋" w:hAnsi="仿宋" w:eastAsia="仿宋" w:cs="仿宋"/>
          <w:sz w:val="24"/>
          <w:highlight w:val="none"/>
        </w:rPr>
      </w:pPr>
      <w:bookmarkStart w:id="3" w:name="heading_38"/>
      <w:r>
        <w:rPr>
          <w:rFonts w:hint="eastAsia" w:ascii="仿宋" w:hAnsi="仿宋" w:eastAsia="仿宋" w:cs="仿宋"/>
          <w:sz w:val="24"/>
          <w:highlight w:val="none"/>
        </w:rPr>
        <w:t>（2）能耗基准线（能耗基线）研究与确立</w:t>
      </w:r>
      <w:bookmarkEnd w:id="3"/>
    </w:p>
    <w:p w14:paraId="5C54CD7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结合审计数据，开展边界条件和独立变量等参数模型的研究与建立，科学确立分区域、分项用能的能耗基准线，建立全能耗、用水、用气等相关模型并完成实际数据校核，明确基期能耗数据、核算方法及修正机制（应对季节、用能需求变化等因素），明确基线在报告期使用与调整方法及异议处理方法；</w:t>
      </w:r>
    </w:p>
    <w:p w14:paraId="3C5B00E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2）能耗基线需经招标人及行业专家审核确认，确保科学合理、可执行、可核算，规避后续结算扯皮问题；</w:t>
      </w:r>
    </w:p>
    <w:p w14:paraId="0A3DAFD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3）提供能耗基线研究报告，明确基线确立依据、核算过程、修正方法及应用场景，确保报告内容详实、依据充分。</w:t>
      </w:r>
    </w:p>
    <w:p w14:paraId="7B8FF830">
      <w:pPr>
        <w:spacing w:line="360" w:lineRule="auto"/>
        <w:ind w:firstLine="480" w:firstLineChars="200"/>
        <w:rPr>
          <w:rFonts w:hint="eastAsia" w:ascii="仿宋" w:hAnsi="仿宋" w:eastAsia="仿宋" w:cs="仿宋"/>
          <w:sz w:val="24"/>
          <w:highlight w:val="none"/>
        </w:rPr>
      </w:pPr>
      <w:bookmarkStart w:id="4" w:name="heading_39"/>
      <w:r>
        <w:rPr>
          <w:rFonts w:hint="eastAsia" w:ascii="仿宋" w:hAnsi="仿宋" w:eastAsia="仿宋" w:cs="仿宋"/>
          <w:sz w:val="24"/>
          <w:highlight w:val="none"/>
        </w:rPr>
        <w:t>（3）节能诊断与改造方案编制</w:t>
      </w:r>
      <w:bookmarkEnd w:id="4"/>
    </w:p>
    <w:p w14:paraId="5D3139E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基于能源审计及节能诊断结果，制定针对性的节能降碳方案与规划，包括能效提升、新能源和可再生能源利用、灵活用能、智慧型综合改造等方案，明确面向5年的节能降碳规划，紧扣“问题对应措施、措施对应时限、时限对应责任、责任对应考核”逻辑；</w:t>
      </w:r>
    </w:p>
    <w:p w14:paraId="4487457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2）改造方案需明确具体实施步骤、资金来源（如托管方投入、节能收益分享等）、所需人员设备、实施周期、预期成效（与能耗基线对应，量化节能率、费用节约额等）；</w:t>
      </w:r>
    </w:p>
    <w:p w14:paraId="14817579">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3）方案需衔接能源托管服务，明确托管服务商准入标准、责任分工、节能成效核算标准，杜绝“无投资托管方”“改造后成效无法核验”问题；</w:t>
      </w:r>
    </w:p>
    <w:p w14:paraId="45846B1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4）方案编制完成后，组织招标人、行业专家等开展联合论证，论证通过后方可落地实施，确保方案可行性、完整性。</w:t>
      </w:r>
    </w:p>
    <w:p w14:paraId="040E0E4E">
      <w:pPr>
        <w:spacing w:line="360" w:lineRule="auto"/>
        <w:ind w:firstLine="480" w:firstLineChars="200"/>
        <w:rPr>
          <w:rFonts w:hint="eastAsia" w:ascii="仿宋" w:hAnsi="仿宋" w:eastAsia="仿宋" w:cs="仿宋"/>
          <w:sz w:val="24"/>
          <w:highlight w:val="none"/>
        </w:rPr>
      </w:pPr>
      <w:bookmarkStart w:id="5" w:name="heading_40"/>
      <w:r>
        <w:rPr>
          <w:rFonts w:hint="eastAsia" w:ascii="仿宋" w:hAnsi="仿宋" w:eastAsia="仿宋" w:cs="仿宋"/>
          <w:sz w:val="24"/>
          <w:highlight w:val="none"/>
        </w:rPr>
        <w:t>（4）闭环管理服务</w:t>
      </w:r>
      <w:bookmarkEnd w:id="5"/>
    </w:p>
    <w:p w14:paraId="2A4786D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投标人须建立“审计诊断—方案编制—落地实施—成效核验—复盘优化”全流程闭环管理体系，每个环节均明确责任、流程、时限及验收标准，具体要求如下：</w:t>
      </w:r>
    </w:p>
    <w:p w14:paraId="150D1BB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1）审计诊断闭环：确保审计数据可追溯、节能诊断有依据、潜力测算可验证、基线研判有支撑，审计报告经双重审核，不通过则限期整改；</w:t>
      </w:r>
    </w:p>
    <w:p w14:paraId="32EDBA2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2）方案编制闭环：方案内容完整、论证充分，与审计结果、能耗基线高度契合，确保可落地、不流于形式；</w:t>
      </w:r>
    </w:p>
    <w:p w14:paraId="650B9FF1">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3）落地实施闭环：制定进度计划，建立质量管控体系，资金支付与进度、质量、节能成效（对照能耗基线核算）挂钩；</w:t>
      </w:r>
    </w:p>
    <w:p w14:paraId="0A03D3B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4）成效核验闭环：由招标人、投标人、第三方机构联合核验，以能耗基线为基准，量化核验节能成效，未达标则限期整改；</w:t>
      </w:r>
    </w:p>
    <w:p w14:paraId="4FDDF44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5）复盘优化闭环：成效核验，提供1年的技术咨询。</w:t>
      </w:r>
    </w:p>
    <w:p w14:paraId="10F18870">
      <w:pPr>
        <w:spacing w:line="360" w:lineRule="auto"/>
        <w:ind w:firstLine="480" w:firstLineChars="200"/>
        <w:rPr>
          <w:rFonts w:hint="eastAsia" w:ascii="仿宋" w:hAnsi="仿宋" w:eastAsia="仿宋" w:cs="仿宋"/>
          <w:sz w:val="24"/>
          <w:highlight w:val="none"/>
        </w:rPr>
      </w:pPr>
      <w:bookmarkStart w:id="6" w:name="heading_41"/>
      <w:r>
        <w:rPr>
          <w:rFonts w:hint="eastAsia" w:ascii="仿宋" w:hAnsi="仿宋" w:eastAsia="仿宋" w:cs="仿宋"/>
          <w:sz w:val="24"/>
          <w:highlight w:val="none"/>
        </w:rPr>
        <w:t>（5） 其他服务</w:t>
      </w:r>
      <w:bookmarkEnd w:id="6"/>
    </w:p>
    <w:p w14:paraId="1D0BE41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1）协助招标人对接能源托管服务商，提供技术支持；</w:t>
      </w:r>
    </w:p>
    <w:p w14:paraId="6C3A110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2）能效验证，动态优化能耗基线；</w:t>
      </w:r>
    </w:p>
    <w:p w14:paraId="0AAD49F7">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3）提供能源管理相关培训，提升招标人相关人员专业能力；</w:t>
      </w:r>
    </w:p>
    <w:p w14:paraId="34FB3038">
      <w:pPr>
        <w:spacing w:line="360" w:lineRule="auto"/>
        <w:ind w:firstLine="480" w:firstLineChars="200"/>
        <w:rPr>
          <w:rFonts w:hint="eastAsia" w:ascii="仿宋" w:hAnsi="仿宋" w:eastAsia="仿宋" w:cs="仿宋"/>
          <w:sz w:val="24"/>
          <w:highlight w:val="none"/>
        </w:rPr>
      </w:pPr>
      <w:bookmarkStart w:id="7" w:name="heading_42"/>
      <w:r>
        <w:rPr>
          <w:rFonts w:hint="eastAsia" w:ascii="仿宋" w:hAnsi="仿宋" w:eastAsia="仿宋" w:cs="仿宋"/>
          <w:sz w:val="24"/>
          <w:highlight w:val="none"/>
        </w:rPr>
        <w:t>3.服务质量要求</w:t>
      </w:r>
      <w:bookmarkEnd w:id="7"/>
    </w:p>
    <w:p w14:paraId="2375A39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（1）所有服务成果（审计报告、能耗基线研究报告、改造方案等）需符合国家《能源审计技术通则》《节能改造工程规范》等相关标准及招标人要求，符合公共机构节能服务质量标准；</w:t>
      </w:r>
    </w:p>
    <w:p w14:paraId="7312C4F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（2）审计数据详实、数据分析科学、问题诊断专业、能耗基线合理、改造方案可落地，无形式化内容；</w:t>
      </w:r>
    </w:p>
    <w:p w14:paraId="321BB032">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（3）服务过程中，及时响应招标人需求，定期上报服务进度，确保服务按时完成；</w:t>
      </w:r>
    </w:p>
    <w:p w14:paraId="6B432DE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（4）服务成果需通过招标人及行业专家双重审核，审核不通过的，投标人需限期修改完善，直至符合要求，确保服务质量达标。</w:t>
      </w:r>
    </w:p>
    <w:p w14:paraId="0B45CD0B">
      <w:pPr>
        <w:spacing w:line="360" w:lineRule="auto"/>
        <w:ind w:firstLine="480" w:firstLineChars="200"/>
        <w:rPr>
          <w:rFonts w:hint="eastAsia" w:ascii="仿宋" w:hAnsi="仿宋" w:eastAsia="仿宋" w:cs="仿宋"/>
          <w:sz w:val="24"/>
          <w:highlight w:val="none"/>
        </w:rPr>
      </w:pPr>
      <w:bookmarkStart w:id="8" w:name="heading_43"/>
      <w:r>
        <w:rPr>
          <w:rFonts w:hint="eastAsia" w:ascii="仿宋" w:hAnsi="仿宋" w:eastAsia="仿宋" w:cs="仿宋"/>
          <w:sz w:val="24"/>
          <w:highlight w:val="none"/>
        </w:rPr>
        <w:t>4.服务期限要求</w:t>
      </w:r>
      <w:bookmarkEnd w:id="8"/>
    </w:p>
    <w:p w14:paraId="0FD7E0D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（1）自合同签订之日起60个工作日内，完成能源审计、节能诊断、能耗基线确立、节能改造方案编制及论证；</w:t>
      </w:r>
    </w:p>
    <w:p w14:paraId="2DDDD0A8">
      <w:pPr>
        <w:rPr>
          <w:highlight w:val="none"/>
        </w:rPr>
      </w:pPr>
      <w:r>
        <w:rPr>
          <w:rFonts w:hint="eastAsia" w:ascii="仿宋" w:hAnsi="仿宋" w:eastAsia="仿宋" w:cs="仿宋"/>
          <w:sz w:val="24"/>
          <w:highlight w:val="none"/>
        </w:rPr>
        <w:t>（2）</w:t>
      </w:r>
      <w:r>
        <w:rPr>
          <w:rFonts w:ascii="仿宋" w:hAnsi="仿宋" w:eastAsia="仿宋" w:cs="仿宋"/>
          <w:sz w:val="24"/>
          <w:szCs w:val="24"/>
          <w:highlight w:val="none"/>
          <w:lang w:eastAsia="zh-CN"/>
        </w:rPr>
        <w:t>落地指导完成后，提供不少于1年的技术咨询服务，包括能耗基线动态优化、成效核验等。</w:t>
      </w:r>
    </w:p>
    <w:bookmarkEnd w:id="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C0359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2026-06-02T09:30:47Z</dcterms:created>
  <dc:creator>F</dc:creator>
  <cp:lastModifiedBy>Fernweh</cp:lastModifiedBy>
  <dcterms:modified xsi:type="dcterms:W3CDTF">2026-06-02T09:30:51Z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eyJoZGlkIjoiY2JjODhmZmUxNjY2ODczNjFmOWNmZTdhNGRlY2M5M2QiLCJ1c2VySWQiOiIyMDMzODM5NzcifQ==</vt:lpwstr>
  </property>
  <property fmtid="{D5CDD505-2E9C-101B-9397-08002B2CF9AE}" pid="4" name="ICV">
    <vt:lpwstr>C1CF37E3EB1742E796C72842C0DE06E2_12</vt:lpwstr>
  </property>
</Properties>
</file>