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版本号：SXWXZBDL2026-ZC-CS101520260508001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2026年农业品牌培育及市场营销项目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SXWXZBDL2026-ZC-CS1015</w:t>
      </w:r>
      <w:r>
        <w:br/>
      </w:r>
      <w:r>
        <w:br/>
      </w:r>
      <w:r>
        <w:br/>
      </w:r>
    </w:p>
    <w:p>
      <w:pPr>
        <w:pStyle w:val="null3"/>
        <w:jc w:val="center"/>
        <w:outlineLvl w:val="2"/>
      </w:pPr>
      <w:r>
        <w:rPr>
          <w:rFonts w:ascii="仿宋_GB2312" w:hAnsi="仿宋_GB2312" w:cs="仿宋_GB2312" w:eastAsia="仿宋_GB2312"/>
          <w:sz w:val="28"/>
          <w:b/>
        </w:rPr>
        <w:t>西安市农业农村局（本级）</w:t>
      </w:r>
    </w:p>
    <w:p>
      <w:pPr>
        <w:pStyle w:val="null3"/>
        <w:jc w:val="center"/>
        <w:outlineLvl w:val="2"/>
      </w:pPr>
      <w:r>
        <w:rPr>
          <w:rFonts w:ascii="仿宋_GB2312" w:hAnsi="仿宋_GB2312" w:cs="仿宋_GB2312" w:eastAsia="仿宋_GB2312"/>
          <w:sz w:val="28"/>
          <w:b/>
        </w:rPr>
        <w:t>陕西万兴招标代理有限公司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2026年05月08日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陕西万兴招标代理有限公司</w:t>
      </w:r>
      <w:r>
        <w:rPr>
          <w:rFonts w:ascii="仿宋_GB2312" w:hAnsi="仿宋_GB2312" w:cs="仿宋_GB2312" w:eastAsia="仿宋_GB2312"/>
        </w:rPr>
        <w:t>（以下简称“代理机构”）受</w:t>
      </w:r>
      <w:r>
        <w:rPr>
          <w:rFonts w:ascii="仿宋_GB2312" w:hAnsi="仿宋_GB2312" w:cs="仿宋_GB2312" w:eastAsia="仿宋_GB2312"/>
        </w:rPr>
        <w:t>西安市农业农村局（本级）</w:t>
      </w:r>
      <w:r>
        <w:rPr>
          <w:rFonts w:ascii="仿宋_GB2312" w:hAnsi="仿宋_GB2312" w:cs="仿宋_GB2312" w:eastAsia="仿宋_GB2312"/>
        </w:rPr>
        <w:t>委托，拟对</w:t>
      </w:r>
      <w:r>
        <w:rPr>
          <w:rFonts w:ascii="仿宋_GB2312" w:hAnsi="仿宋_GB2312" w:cs="仿宋_GB2312" w:eastAsia="仿宋_GB2312"/>
        </w:rPr>
        <w:t>2026年农业品牌培育及市场营销项目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SXWXZBDL2026-ZC-CS1015</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2026年农业品牌培育及市场营销项目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落实西安农业产业品牌提升计划，组织区县（开发区）及农业新型经营主体、农业产业化龙头企业依托农业农村部安排的重点展会、农民丰收节等活动；根据全市2026年为民实事工作安排，实施“菜篮子”惠民工程，在品牌农产品集中上市期间，围绕当季特色农产品开展田头产销对接及社区推广活动。</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采购包1（2026年农业品牌培育及市场营销项目）：属于专门面向中小企业采购。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1、主体证明文件：供应商需提供有效合格的具有统一社会信用代码的营业执照，其他组织经营的须提供合法凭证，自然人提供身份证明文件。主体证明文件 供应商需提供有效合格的具有统一社会信用代码的营业执照，其他组织经营的须提供合法凭证，自然人提供身份证明文件。</w:t>
      </w:r>
    </w:p>
    <w:p>
      <w:pPr>
        <w:pStyle w:val="null3"/>
      </w:pPr>
      <w:r>
        <w:rPr>
          <w:rFonts w:ascii="仿宋_GB2312" w:hAnsi="仿宋_GB2312" w:cs="仿宋_GB2312" w:eastAsia="仿宋_GB2312"/>
        </w:rPr>
        <w:t>2、法定代表人身份证明/法定代表人授权委托书：法定代表人参加投标的，须提供本人身份证加盖公章的复印件；法定代表人授权他人参加投标的，须提供法定代表人授权委托书及被授权代表的身份证复印件。</w:t>
      </w:r>
    </w:p>
    <w:p>
      <w:pPr>
        <w:pStyle w:val="null3"/>
      </w:pPr>
      <w:r>
        <w:rPr>
          <w:rFonts w:ascii="仿宋_GB2312" w:hAnsi="仿宋_GB2312" w:cs="仿宋_GB2312" w:eastAsia="仿宋_GB2312"/>
        </w:rPr>
        <w:t>3、财务状况：提供供应商2024年度或2025年度经审计的财务会计报告（包括“四表一注”，即资产负债表、利润表、现金流量表、所有者权益变动表及其附注）或投标截止时间前三个月内基本存款账户开户银行出具的资信证明文件及基本存款账户开户许可证（无基本存款账户开户许可证可提供其基本存款账户信息证明）；成立时间至提交响应文件截止时间不足一年的可提供成立后任意时段的资产负债表。</w:t>
      </w:r>
    </w:p>
    <w:p>
      <w:pPr>
        <w:pStyle w:val="null3"/>
      </w:pPr>
      <w:r>
        <w:rPr>
          <w:rFonts w:ascii="仿宋_GB2312" w:hAnsi="仿宋_GB2312" w:cs="仿宋_GB2312" w:eastAsia="仿宋_GB2312"/>
        </w:rPr>
        <w:t>4、依法缴纳税收的证明：提供供应商2025年5月1日以来任意一个月已缴纳的纳税证明或完税证明（至少包含增值税或企业所得税），依法免税的供应商应提供加盖公章的相关证明文件。</w:t>
      </w:r>
    </w:p>
    <w:p>
      <w:pPr>
        <w:pStyle w:val="null3"/>
      </w:pPr>
      <w:r>
        <w:rPr>
          <w:rFonts w:ascii="仿宋_GB2312" w:hAnsi="仿宋_GB2312" w:cs="仿宋_GB2312" w:eastAsia="仿宋_GB2312"/>
        </w:rPr>
        <w:t>5、依法缴纳社保的证明：提供供应商2025年5月1日以来任意一个月已缴纳的社会保障资金缴存单据或社保机构开具的社会保险参保缴费情况证明；依法不需要缴纳社会保障资金的供应商应提供加盖公章的相关证明文件。</w:t>
      </w:r>
    </w:p>
    <w:p>
      <w:pPr>
        <w:pStyle w:val="null3"/>
      </w:pPr>
      <w:r>
        <w:rPr>
          <w:rFonts w:ascii="仿宋_GB2312" w:hAnsi="仿宋_GB2312" w:cs="仿宋_GB2312" w:eastAsia="仿宋_GB2312"/>
        </w:rPr>
        <w:t>6、具备履行合同所必需的设备和专业技术能力的证明材料：供应商需在项目电子化交易系统中提供具备履行合同所必需的设备和专业技术能力的承诺并进行电子签章。</w:t>
      </w:r>
    </w:p>
    <w:p>
      <w:pPr>
        <w:pStyle w:val="null3"/>
      </w:pPr>
      <w:r>
        <w:rPr>
          <w:rFonts w:ascii="仿宋_GB2312" w:hAnsi="仿宋_GB2312" w:cs="仿宋_GB2312" w:eastAsia="仿宋_GB2312"/>
        </w:rPr>
        <w:t>7、信用查询：参加本次政府采购活动前3年内在经营活动中没有重大违纪、未被列入失信被执行人、重大税收违法案件当事人名单、政府采购严重违法失信行为记录名单的书面声明。开标评审将登陆“信用中国”网站（www.creditchina.gov.cn）和“中国政府采购网”（www.ccgp.gov.cn）进行审查。</w:t>
      </w:r>
    </w:p>
    <w:p>
      <w:pPr>
        <w:pStyle w:val="null3"/>
      </w:pPr>
      <w:r>
        <w:rPr>
          <w:rFonts w:ascii="仿宋_GB2312" w:hAnsi="仿宋_GB2312" w:cs="仿宋_GB2312" w:eastAsia="仿宋_GB2312"/>
        </w:rPr>
        <w:t>8、控股管理关系及其他：单位负责人为同一人或者存在直接控股、管理关系的不同供应商，不得参加同一合同项下的采购活动；为本项目提供整体设计、规范编制或者项目管理、监理、检测等服务的供应商，不得再参加该采购项目的其他采购活动。</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西安市农业农村局（本级）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西安市未央区凤城八路109号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西安市农业农村局（本级）</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029-67097567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陕西万兴招标代理有限公司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陕西省西安市莲湖区陕西省西安市莲湖区北关正街35号方兴大厦1幢1单元10402-4-018室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17396621915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采购包1：1,956,900.00元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 xml:space="preserve"> / </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 xml:space="preserve"> / </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成交金额为基数，参照国家计委颁发的《招标代理服务收费管理暂行办法》（计价格[2002]1980号）和国家发展和改革委员会办公厅颁发的《关于招标代理服务收费有关问题的通知》（发改办价格[2003]857号）的有关规定执行。</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西安市农业农村局（本级）</w:t>
      </w:r>
      <w:r>
        <w:rPr>
          <w:rFonts w:ascii="仿宋_GB2312" w:hAnsi="仿宋_GB2312" w:cs="仿宋_GB2312" w:eastAsia="仿宋_GB2312"/>
        </w:rPr>
        <w:t>和</w:t>
      </w:r>
      <w:r>
        <w:rPr>
          <w:rFonts w:ascii="仿宋_GB2312" w:hAnsi="仿宋_GB2312" w:cs="仿宋_GB2312" w:eastAsia="仿宋_GB2312"/>
        </w:rPr>
        <w:t>陕西万兴招标代理有限公司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西安市农业农村局（本级）</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陕西万兴招标代理有限公司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西安市农业农村局（本级）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陕西万兴招标代理有限公司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（1）合同条款；（2）磋商文件；（3）响应文件；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陕西万兴招标代理有限公司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陕西万兴招标代理有限公司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陕西万兴招标代理有限公司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联系人：李工</w:t>
      </w:r>
    </w:p>
    <w:p>
      <w:pPr>
        <w:pStyle w:val="null3"/>
      </w:pPr>
      <w:r>
        <w:rPr>
          <w:rFonts w:ascii="仿宋_GB2312" w:hAnsi="仿宋_GB2312" w:cs="仿宋_GB2312" w:eastAsia="仿宋_GB2312"/>
        </w:rPr>
        <w:t>联系电话：17396621915</w:t>
      </w:r>
    </w:p>
    <w:p>
      <w:pPr>
        <w:pStyle w:val="null3"/>
      </w:pPr>
      <w:r>
        <w:rPr>
          <w:rFonts w:ascii="仿宋_GB2312" w:hAnsi="仿宋_GB2312" w:cs="仿宋_GB2312" w:eastAsia="仿宋_GB2312"/>
        </w:rPr>
        <w:t>地址：陕西省西安市莲湖区陕西省西安市莲湖区北关正街35号方兴大厦1幢1单元10402-4-018室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落实西安农业产业品牌提升计划，组织区县（开发区）及农业新型经营主体、农业产业化龙头企业依托农业农村部安排的重点展会、农民丰收节等活动；根据全市2026年为民实事工作安排，实施“菜篮子”惠民工程，在品牌农产品集中上市期间，围绕当季特色农产品开展田头产销对接及社区推广活动。</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1,956,900.00</w:t>
      </w:r>
    </w:p>
    <w:p>
      <w:pPr>
        <w:pStyle w:val="null3"/>
      </w:pPr>
      <w:r>
        <w:rPr>
          <w:rFonts w:ascii="仿宋_GB2312" w:hAnsi="仿宋_GB2312" w:cs="仿宋_GB2312" w:eastAsia="仿宋_GB2312"/>
        </w:rPr>
        <w:t>采购包最高限价（元）: 1,956,900.00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2026年农业品牌培育及市场营销项目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1,956,900.00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标的名称：2026年农业品牌培育及市场营销项目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4"/>
                <w:b/>
              </w:rPr>
              <w:t>一、</w:t>
            </w:r>
            <w:r>
              <w:rPr>
                <w:rFonts w:ascii="仿宋_GB2312" w:hAnsi="仿宋_GB2312" w:cs="仿宋_GB2312" w:eastAsia="仿宋_GB2312"/>
                <w:sz w:val="24"/>
                <w:b/>
              </w:rPr>
              <w:t>项目概况</w:t>
            </w:r>
          </w:p>
          <w:p>
            <w:pPr>
              <w:pStyle w:val="null3"/>
              <w:ind w:firstLine="480"/>
              <w:jc w:val="both"/>
            </w:pPr>
            <w:r>
              <w:rPr>
                <w:rFonts w:ascii="仿宋_GB2312" w:hAnsi="仿宋_GB2312" w:cs="仿宋_GB2312" w:eastAsia="仿宋_GB2312"/>
                <w:sz w:val="24"/>
              </w:rPr>
              <w:t>为落实西安农业产业品牌提升计划</w:t>
            </w:r>
            <w:r>
              <w:rPr>
                <w:rFonts w:ascii="仿宋_GB2312" w:hAnsi="仿宋_GB2312" w:cs="仿宋_GB2312" w:eastAsia="仿宋_GB2312"/>
                <w:sz w:val="24"/>
              </w:rPr>
              <w:t>，</w:t>
            </w:r>
            <w:r>
              <w:rPr>
                <w:rFonts w:ascii="仿宋_GB2312" w:hAnsi="仿宋_GB2312" w:cs="仿宋_GB2312" w:eastAsia="仿宋_GB2312"/>
                <w:sz w:val="24"/>
              </w:rPr>
              <w:t>组织区县（开发区）</w:t>
            </w:r>
            <w:r>
              <w:rPr>
                <w:rFonts w:ascii="仿宋_GB2312" w:hAnsi="仿宋_GB2312" w:cs="仿宋_GB2312" w:eastAsia="仿宋_GB2312"/>
                <w:sz w:val="24"/>
              </w:rPr>
              <w:t>及</w:t>
            </w:r>
            <w:r>
              <w:rPr>
                <w:rFonts w:ascii="仿宋_GB2312" w:hAnsi="仿宋_GB2312" w:cs="仿宋_GB2312" w:eastAsia="仿宋_GB2312"/>
                <w:sz w:val="24"/>
              </w:rPr>
              <w:t>农业新型经营主体</w:t>
            </w:r>
            <w:r>
              <w:rPr>
                <w:rFonts w:ascii="仿宋_GB2312" w:hAnsi="仿宋_GB2312" w:cs="仿宋_GB2312" w:eastAsia="仿宋_GB2312"/>
                <w:sz w:val="24"/>
              </w:rPr>
              <w:t>、农业产业化龙头企业依托农业农村部安排的重点展会、农民丰收节等活动；根据全市</w:t>
            </w:r>
            <w:r>
              <w:rPr>
                <w:rFonts w:ascii="仿宋_GB2312" w:hAnsi="仿宋_GB2312" w:cs="仿宋_GB2312" w:eastAsia="仿宋_GB2312"/>
                <w:sz w:val="24"/>
              </w:rPr>
              <w:t>2026年为民实事工作安排，实施“菜篮子”惠民工程，在品牌农产品集中上市期间，围绕当季特色农产品开展田头产销对接及社区推广活动。</w:t>
            </w:r>
          </w:p>
          <w:p>
            <w:pPr>
              <w:pStyle w:val="null3"/>
              <w:ind w:firstLine="482"/>
              <w:jc w:val="both"/>
            </w:pPr>
            <w:r>
              <w:rPr>
                <w:rFonts w:ascii="仿宋_GB2312" w:hAnsi="仿宋_GB2312" w:cs="仿宋_GB2312" w:eastAsia="仿宋_GB2312"/>
                <w:sz w:val="24"/>
                <w:b/>
              </w:rPr>
              <w:t>二、</w:t>
            </w:r>
            <w:r>
              <w:rPr>
                <w:rFonts w:ascii="仿宋_GB2312" w:hAnsi="仿宋_GB2312" w:cs="仿宋_GB2312" w:eastAsia="仿宋_GB2312"/>
                <w:sz w:val="24"/>
                <w:b/>
              </w:rPr>
              <w:t>服务</w:t>
            </w:r>
            <w:r>
              <w:rPr>
                <w:rFonts w:ascii="仿宋_GB2312" w:hAnsi="仿宋_GB2312" w:cs="仿宋_GB2312" w:eastAsia="仿宋_GB2312"/>
                <w:sz w:val="24"/>
                <w:b/>
              </w:rPr>
              <w:t>内容及</w:t>
            </w:r>
            <w:r>
              <w:rPr>
                <w:rFonts w:ascii="仿宋_GB2312" w:hAnsi="仿宋_GB2312" w:cs="仿宋_GB2312" w:eastAsia="仿宋_GB2312"/>
                <w:sz w:val="24"/>
                <w:b/>
              </w:rPr>
              <w:t>要求</w:t>
            </w:r>
          </w:p>
          <w:p>
            <w:pPr>
              <w:pStyle w:val="null3"/>
              <w:spacing w:before="30"/>
              <w:ind w:right="135" w:firstLine="476"/>
              <w:jc w:val="both"/>
            </w:pPr>
            <w:r>
              <w:rPr>
                <w:rFonts w:ascii="仿宋_GB2312" w:hAnsi="仿宋_GB2312" w:cs="仿宋_GB2312" w:eastAsia="仿宋_GB2312"/>
                <w:sz w:val="24"/>
              </w:rPr>
              <w:t>（一）落实西安农业产业品牌提升计划，组织区县（开发区）开展西安特色农产品精准产销对接活动，或一线城市开展产销对接、招商引资活动共</w:t>
            </w:r>
            <w:r>
              <w:rPr>
                <w:rFonts w:ascii="仿宋_GB2312" w:hAnsi="仿宋_GB2312" w:cs="仿宋_GB2312" w:eastAsia="仿宋_GB2312"/>
                <w:sz w:val="24"/>
              </w:rPr>
              <w:t>2</w:t>
            </w:r>
            <w:r>
              <w:rPr>
                <w:rFonts w:ascii="仿宋_GB2312" w:hAnsi="仿宋_GB2312" w:cs="仿宋_GB2312" w:eastAsia="仿宋_GB2312"/>
                <w:sz w:val="24"/>
              </w:rPr>
              <w:t>场次</w:t>
            </w:r>
            <w:r>
              <w:rPr>
                <w:rFonts w:ascii="仿宋_GB2312" w:hAnsi="仿宋_GB2312" w:cs="仿宋_GB2312" w:eastAsia="仿宋_GB2312"/>
                <w:sz w:val="24"/>
              </w:rPr>
              <w:t>。每场活动参与企业不少于</w:t>
            </w:r>
            <w:r>
              <w:rPr>
                <w:rFonts w:ascii="仿宋_GB2312" w:hAnsi="仿宋_GB2312" w:cs="仿宋_GB2312" w:eastAsia="仿宋_GB2312"/>
                <w:sz w:val="24"/>
              </w:rPr>
              <w:t>15家。</w:t>
            </w:r>
          </w:p>
          <w:p>
            <w:pPr>
              <w:pStyle w:val="null3"/>
              <w:spacing w:before="30"/>
              <w:ind w:right="135" w:firstLine="476"/>
              <w:jc w:val="both"/>
            </w:pPr>
            <w:r>
              <w:rPr>
                <w:rFonts w:ascii="仿宋_GB2312" w:hAnsi="仿宋_GB2312" w:cs="仿宋_GB2312" w:eastAsia="仿宋_GB2312"/>
                <w:sz w:val="24"/>
              </w:rPr>
              <w:t>（二）依托农业农村部及省市安排的重点展会、农民丰收节等活动，</w:t>
            </w:r>
            <w:r>
              <w:rPr>
                <w:rFonts w:ascii="仿宋_GB2312" w:hAnsi="仿宋_GB2312" w:cs="仿宋_GB2312" w:eastAsia="仿宋_GB2312"/>
                <w:sz w:val="24"/>
              </w:rPr>
              <w:t>开展以省</w:t>
            </w:r>
            <w:r>
              <w:rPr>
                <w:rFonts w:ascii="仿宋_GB2312" w:hAnsi="仿宋_GB2312" w:cs="仿宋_GB2312" w:eastAsia="仿宋_GB2312"/>
                <w:sz w:val="24"/>
              </w:rPr>
              <w:t>、</w:t>
            </w:r>
            <w:r>
              <w:rPr>
                <w:rFonts w:ascii="仿宋_GB2312" w:hAnsi="仿宋_GB2312" w:cs="仿宋_GB2312" w:eastAsia="仿宋_GB2312"/>
                <w:sz w:val="24"/>
              </w:rPr>
              <w:t>市农业品牌为重点的西安</w:t>
            </w:r>
            <w:r>
              <w:rPr>
                <w:rFonts w:ascii="仿宋_GB2312" w:hAnsi="仿宋_GB2312" w:cs="仿宋_GB2312" w:eastAsia="仿宋_GB2312"/>
                <w:sz w:val="24"/>
              </w:rPr>
              <w:t>特色优势农产品</w:t>
            </w:r>
            <w:r>
              <w:rPr>
                <w:rFonts w:ascii="仿宋_GB2312" w:hAnsi="仿宋_GB2312" w:cs="仿宋_GB2312" w:eastAsia="仿宋_GB2312"/>
                <w:sz w:val="24"/>
              </w:rPr>
              <w:t>产销对接</w:t>
            </w:r>
            <w:r>
              <w:rPr>
                <w:rFonts w:ascii="仿宋_GB2312" w:hAnsi="仿宋_GB2312" w:cs="仿宋_GB2312" w:eastAsia="仿宋_GB2312"/>
                <w:sz w:val="24"/>
              </w:rPr>
              <w:t>及提振大宗农产品消费活动，共</w:t>
            </w:r>
            <w:r>
              <w:rPr>
                <w:rFonts w:ascii="仿宋_GB2312" w:hAnsi="仿宋_GB2312" w:cs="仿宋_GB2312" w:eastAsia="仿宋_GB2312"/>
                <w:sz w:val="24"/>
              </w:rPr>
              <w:t>2</w:t>
            </w:r>
            <w:r>
              <w:rPr>
                <w:rFonts w:ascii="仿宋_GB2312" w:hAnsi="仿宋_GB2312" w:cs="仿宋_GB2312" w:eastAsia="仿宋_GB2312"/>
                <w:sz w:val="24"/>
              </w:rPr>
              <w:t>场次</w:t>
            </w:r>
            <w:r>
              <w:rPr>
                <w:rFonts w:ascii="仿宋_GB2312" w:hAnsi="仿宋_GB2312" w:cs="仿宋_GB2312" w:eastAsia="仿宋_GB2312"/>
                <w:sz w:val="24"/>
              </w:rPr>
              <w:t>。每场活动参与企业不少于</w:t>
            </w:r>
            <w:r>
              <w:rPr>
                <w:rFonts w:ascii="仿宋_GB2312" w:hAnsi="仿宋_GB2312" w:cs="仿宋_GB2312" w:eastAsia="仿宋_GB2312"/>
                <w:sz w:val="24"/>
              </w:rPr>
              <w:t>15家。</w:t>
            </w:r>
          </w:p>
          <w:p>
            <w:pPr>
              <w:pStyle w:val="null3"/>
              <w:spacing w:before="30"/>
              <w:ind w:right="135" w:firstLine="476"/>
              <w:jc w:val="both"/>
            </w:pPr>
            <w:r>
              <w:rPr>
                <w:rFonts w:ascii="仿宋_GB2312" w:hAnsi="仿宋_GB2312" w:cs="仿宋_GB2312" w:eastAsia="仿宋_GB2312"/>
                <w:sz w:val="24"/>
              </w:rPr>
              <w:t>（三）根据全市</w:t>
            </w:r>
            <w:r>
              <w:rPr>
                <w:rFonts w:ascii="仿宋_GB2312" w:hAnsi="仿宋_GB2312" w:cs="仿宋_GB2312" w:eastAsia="仿宋_GB2312"/>
                <w:sz w:val="24"/>
              </w:rPr>
              <w:t>2026年为民实事工作安排，实施“菜篮子”惠民工程，在品牌农产品集中上市期间，围绕当季特色农产品开展田头产销对接及社区推广活动共20场次。结合“菜篮子”产品以及地产蔬菜集中上市期市场需求，邀请批发商、大型农批市场等开展田头精准产销对接活动或通过展销形式将“菜篮子”及特色优质农产品直接引入社区，缩短产销距离，拓宽销售渠道，探索线上线下结合的常态化模式。每场参与活动企业不少于20家，每场活动参与群众不少于2000人。</w:t>
            </w:r>
          </w:p>
          <w:p>
            <w:pPr>
              <w:pStyle w:val="null3"/>
              <w:spacing w:before="30"/>
              <w:ind w:right="135" w:firstLine="476"/>
              <w:jc w:val="both"/>
            </w:pPr>
            <w:r>
              <w:rPr>
                <w:rFonts w:ascii="仿宋_GB2312" w:hAnsi="仿宋_GB2312" w:cs="仿宋_GB2312" w:eastAsia="仿宋_GB2312"/>
                <w:sz w:val="24"/>
              </w:rPr>
              <w:t>（</w:t>
            </w:r>
            <w:r>
              <w:rPr>
                <w:rFonts w:ascii="仿宋_GB2312" w:hAnsi="仿宋_GB2312" w:cs="仿宋_GB2312" w:eastAsia="仿宋_GB2312"/>
                <w:sz w:val="24"/>
              </w:rPr>
              <w:t>四</w:t>
            </w:r>
            <w:r>
              <w:rPr>
                <w:rFonts w:ascii="仿宋_GB2312" w:hAnsi="仿宋_GB2312" w:cs="仿宋_GB2312" w:eastAsia="仿宋_GB2312"/>
                <w:sz w:val="24"/>
              </w:rPr>
              <w:t>）</w:t>
            </w:r>
            <w:r>
              <w:rPr>
                <w:rFonts w:ascii="仿宋_GB2312" w:hAnsi="仿宋_GB2312" w:cs="仿宋_GB2312" w:eastAsia="仿宋_GB2312"/>
                <w:sz w:val="24"/>
              </w:rPr>
              <w:t>策划以上活动方案并组织实施，活动主要围绕西安市特色农产品展览展示、座谈交流、市场考察、宣传推介、资源对接、合作意向签约及成果展示等。</w:t>
            </w:r>
          </w:p>
          <w:p>
            <w:pPr>
              <w:pStyle w:val="null3"/>
              <w:spacing w:before="30"/>
              <w:ind w:right="135" w:firstLine="476"/>
              <w:jc w:val="both"/>
            </w:pPr>
            <w:r>
              <w:rPr>
                <w:rFonts w:ascii="仿宋_GB2312" w:hAnsi="仿宋_GB2312" w:cs="仿宋_GB2312" w:eastAsia="仿宋_GB2312"/>
                <w:sz w:val="24"/>
              </w:rPr>
              <w:t>（</w:t>
            </w:r>
            <w:r>
              <w:rPr>
                <w:rFonts w:ascii="仿宋_GB2312" w:hAnsi="仿宋_GB2312" w:cs="仿宋_GB2312" w:eastAsia="仿宋_GB2312"/>
                <w:sz w:val="24"/>
              </w:rPr>
              <w:t>五</w:t>
            </w:r>
            <w:r>
              <w:rPr>
                <w:rFonts w:ascii="仿宋_GB2312" w:hAnsi="仿宋_GB2312" w:cs="仿宋_GB2312" w:eastAsia="仿宋_GB2312"/>
                <w:sz w:val="24"/>
              </w:rPr>
              <w:t>）负责活动所需所有场景的场地租赁、设计搭建及氛围营造；</w:t>
            </w:r>
          </w:p>
          <w:p>
            <w:pPr>
              <w:pStyle w:val="null3"/>
              <w:spacing w:before="30"/>
              <w:ind w:right="135" w:firstLine="476"/>
              <w:jc w:val="both"/>
            </w:pPr>
            <w:r>
              <w:rPr>
                <w:rFonts w:ascii="仿宋_GB2312" w:hAnsi="仿宋_GB2312" w:cs="仿宋_GB2312" w:eastAsia="仿宋_GB2312"/>
                <w:sz w:val="24"/>
              </w:rPr>
              <w:t>（</w:t>
            </w:r>
            <w:r>
              <w:rPr>
                <w:rFonts w:ascii="仿宋_GB2312" w:hAnsi="仿宋_GB2312" w:cs="仿宋_GB2312" w:eastAsia="仿宋_GB2312"/>
                <w:sz w:val="24"/>
              </w:rPr>
              <w:t>六</w:t>
            </w:r>
            <w:r>
              <w:rPr>
                <w:rFonts w:ascii="仿宋_GB2312" w:hAnsi="仿宋_GB2312" w:cs="仿宋_GB2312" w:eastAsia="仿宋_GB2312"/>
                <w:sz w:val="24"/>
              </w:rPr>
              <w:t>）负责与参与活动的</w:t>
            </w:r>
            <w:r>
              <w:rPr>
                <w:rFonts w:ascii="仿宋_GB2312" w:hAnsi="仿宋_GB2312" w:cs="仿宋_GB2312" w:eastAsia="仿宋_GB2312"/>
                <w:sz w:val="24"/>
              </w:rPr>
              <w:t>组织</w:t>
            </w:r>
            <w:r>
              <w:rPr>
                <w:rFonts w:ascii="仿宋_GB2312" w:hAnsi="仿宋_GB2312" w:cs="仿宋_GB2312" w:eastAsia="仿宋_GB2312"/>
                <w:sz w:val="24"/>
              </w:rPr>
              <w:t>、平台</w:t>
            </w:r>
            <w:r>
              <w:rPr>
                <w:rFonts w:ascii="仿宋_GB2312" w:hAnsi="仿宋_GB2312" w:cs="仿宋_GB2312" w:eastAsia="仿宋_GB2312"/>
                <w:sz w:val="24"/>
              </w:rPr>
              <w:t>及</w:t>
            </w:r>
            <w:r>
              <w:rPr>
                <w:rFonts w:ascii="仿宋_GB2312" w:hAnsi="仿宋_GB2312" w:cs="仿宋_GB2312" w:eastAsia="仿宋_GB2312"/>
                <w:sz w:val="24"/>
              </w:rPr>
              <w:t>本地企业做好商务对接；</w:t>
            </w:r>
          </w:p>
          <w:p>
            <w:pPr>
              <w:pStyle w:val="null3"/>
            </w:pPr>
            <w:r>
              <w:rPr>
                <w:rFonts w:ascii="仿宋_GB2312" w:hAnsi="仿宋_GB2312" w:cs="仿宋_GB2312" w:eastAsia="仿宋_GB2312"/>
                <w:sz w:val="24"/>
              </w:rPr>
              <w:t xml:space="preserve">  （</w:t>
            </w:r>
            <w:r>
              <w:rPr>
                <w:rFonts w:ascii="仿宋_GB2312" w:hAnsi="仿宋_GB2312" w:cs="仿宋_GB2312" w:eastAsia="仿宋_GB2312"/>
                <w:sz w:val="24"/>
              </w:rPr>
              <w:t>七）供应商需</w:t>
            </w:r>
            <w:r>
              <w:rPr>
                <w:rFonts w:ascii="仿宋_GB2312" w:hAnsi="仿宋_GB2312" w:cs="仿宋_GB2312" w:eastAsia="仿宋_GB2312"/>
                <w:sz w:val="24"/>
              </w:rPr>
              <w:t>运营良好，无不良征信记录；有丰富的大型展会</w:t>
            </w:r>
            <w:r>
              <w:rPr>
                <w:rFonts w:ascii="仿宋_GB2312" w:hAnsi="仿宋_GB2312" w:cs="仿宋_GB2312" w:eastAsia="仿宋_GB2312"/>
                <w:sz w:val="24"/>
              </w:rPr>
              <w:t>、</w:t>
            </w:r>
            <w:r>
              <w:rPr>
                <w:rFonts w:ascii="仿宋_GB2312" w:hAnsi="仿宋_GB2312" w:cs="仿宋_GB2312" w:eastAsia="仿宋_GB2312"/>
                <w:sz w:val="24"/>
              </w:rPr>
              <w:t>宣传</w:t>
            </w:r>
            <w:r>
              <w:rPr>
                <w:rFonts w:ascii="仿宋_GB2312" w:hAnsi="仿宋_GB2312" w:cs="仿宋_GB2312" w:eastAsia="仿宋_GB2312"/>
                <w:sz w:val="24"/>
              </w:rPr>
              <w:t>推介活动组织策划、设计搭建</w:t>
            </w:r>
            <w:r>
              <w:rPr>
                <w:rFonts w:ascii="仿宋_GB2312" w:hAnsi="仿宋_GB2312" w:cs="仿宋_GB2312" w:eastAsia="仿宋_GB2312"/>
                <w:sz w:val="24"/>
              </w:rPr>
              <w:t>、</w:t>
            </w:r>
            <w:r>
              <w:rPr>
                <w:rFonts w:ascii="仿宋_GB2312" w:hAnsi="仿宋_GB2312" w:cs="仿宋_GB2312" w:eastAsia="仿宋_GB2312"/>
                <w:sz w:val="24"/>
              </w:rPr>
              <w:t>布展经验及优秀典型案例</w:t>
            </w:r>
            <w:r>
              <w:rPr>
                <w:rFonts w:ascii="仿宋_GB2312" w:hAnsi="仿宋_GB2312" w:cs="仿宋_GB2312" w:eastAsia="仿宋_GB2312"/>
                <w:sz w:val="24"/>
              </w:rPr>
              <w:t>，</w:t>
            </w:r>
            <w:r>
              <w:rPr>
                <w:rFonts w:ascii="仿宋_GB2312" w:hAnsi="仿宋_GB2312" w:cs="仿宋_GB2312" w:eastAsia="仿宋_GB2312"/>
                <w:sz w:val="24"/>
              </w:rPr>
              <w:t>能</w:t>
            </w:r>
            <w:r>
              <w:rPr>
                <w:rFonts w:ascii="仿宋_GB2312" w:hAnsi="仿宋_GB2312" w:cs="仿宋_GB2312" w:eastAsia="仿宋_GB2312"/>
                <w:sz w:val="24"/>
              </w:rPr>
              <w:t>全方位立体式宣传展示我市特色优势农产品和都市现代农业发展成果</w:t>
            </w:r>
            <w:r>
              <w:rPr>
                <w:rFonts w:ascii="仿宋_GB2312" w:hAnsi="仿宋_GB2312" w:cs="仿宋_GB2312" w:eastAsia="仿宋_GB2312"/>
                <w:sz w:val="24"/>
              </w:rPr>
              <w:t>。</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按采购人要求，据项目情况配置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按采购人要求，据项目情况配置</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满足采购人及采购文件要求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自合同签订之日起至2026年12月31日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1、交付的服务必须等同或优于本项目采购文件“服务内容及要求”所述的标准。若乙方在其响应文件中承诺的技术标准优于本项目采购文件“服务内容及要求”所述标准的，按响应的承诺执行。 2、成交供应商完成并交付的工作成果需经采购人验收合格，则视为接受。如果在验收时采购人表明不接受中标供应商提交的工作成果并明示不接受的原因，中标供应商应当采取合理之措施进行修改，以达到合同规定的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合同按期执行12 次活动后</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经验收合格后</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按合同条款要求执行。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1、为保证项目顺利备案，成交供应商在领取纸质版成交通知书时，需提供纸质版响应文件一正两副，电子版二份。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主体证明文件</w:t>
            </w:r>
          </w:p>
        </w:tc>
        <w:tc>
          <w:tcPr>
            <w:tcW w:type="dxa" w:w="3322"/>
          </w:tcPr>
          <w:p>
            <w:pPr>
              <w:pStyle w:val="null3"/>
            </w:pPr>
            <w:r>
              <w:rPr>
                <w:rFonts w:ascii="仿宋_GB2312" w:hAnsi="仿宋_GB2312" w:cs="仿宋_GB2312" w:eastAsia="仿宋_GB2312"/>
              </w:rPr>
              <w:t>供应商需提供有效合格的具有统一社会信用代码的营业执照，其他组织经营的须提供合法凭证，自然人提供身份证明文件。主体证明文件 供应商需提供有效合格的具有统一社会信用代码的营业执照，其他组织经营的须提供合法凭证，自然人提供身份证明文件。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法定代表人身份证明/法定代表人授权委托书</w:t>
            </w:r>
          </w:p>
        </w:tc>
        <w:tc>
          <w:tcPr>
            <w:tcW w:type="dxa" w:w="3322"/>
          </w:tcPr>
          <w:p>
            <w:pPr>
              <w:pStyle w:val="null3"/>
            </w:pPr>
            <w:r>
              <w:rPr>
                <w:rFonts w:ascii="仿宋_GB2312" w:hAnsi="仿宋_GB2312" w:cs="仿宋_GB2312" w:eastAsia="仿宋_GB2312"/>
              </w:rPr>
              <w:t>法定代表人参加投标的，须提供本人身份证加盖公章的复印件；法定代表人授权他人参加投标的，须提供法定代表人授权委托书及被授权代表的身份证复印件。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提供供应商2024年度或2025年度经审计的财务会计报告（包括“四表一注”，即资产负债表、利润表、现金流量表、所有者权益变动表及其附注）或投标截止时间前三个月内基本存款账户开户银行出具的资信证明文件及基本存款账户开户许可证（无基本存款账户开户许可证可提供其基本存款账户信息证明）；成立时间至提交响应文件截止时间不足一年的可提供成立后任意时段的资产负债表。</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依法缴纳税收的证明</w:t>
            </w:r>
          </w:p>
        </w:tc>
        <w:tc>
          <w:tcPr>
            <w:tcW w:type="dxa" w:w="3322"/>
          </w:tcPr>
          <w:p>
            <w:pPr>
              <w:pStyle w:val="null3"/>
            </w:pPr>
            <w:r>
              <w:rPr>
                <w:rFonts w:ascii="仿宋_GB2312" w:hAnsi="仿宋_GB2312" w:cs="仿宋_GB2312" w:eastAsia="仿宋_GB2312"/>
              </w:rPr>
              <w:t>提供供应商2025年5月1日以来任意一个月已缴纳的纳税证明或完税证明（至少包含增值税或企业所得税），依法免税的供应商应提供加盖公章的相关证明文件。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依法缴纳社保的证明</w:t>
            </w:r>
          </w:p>
        </w:tc>
        <w:tc>
          <w:tcPr>
            <w:tcW w:type="dxa" w:w="3322"/>
          </w:tcPr>
          <w:p>
            <w:pPr>
              <w:pStyle w:val="null3"/>
            </w:pPr>
            <w:r>
              <w:rPr>
                <w:rFonts w:ascii="仿宋_GB2312" w:hAnsi="仿宋_GB2312" w:cs="仿宋_GB2312" w:eastAsia="仿宋_GB2312"/>
              </w:rPr>
              <w:t>提供供应商2025年5月1日以来任意一个月已缴纳的社会保障资金缴存单据或社保机构开具的社会保险参保缴费情况证明；依法不需要缴纳社会保障资金的供应商应提供加盖公章的相关证明文件。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具备履行合同所必需的设备和专业技术能力的证明材料</w:t>
            </w:r>
          </w:p>
        </w:tc>
        <w:tc>
          <w:tcPr>
            <w:tcW w:type="dxa" w:w="3322"/>
          </w:tcPr>
          <w:p>
            <w:pPr>
              <w:pStyle w:val="null3"/>
            </w:pPr>
            <w:r>
              <w:rPr>
                <w:rFonts w:ascii="仿宋_GB2312" w:hAnsi="仿宋_GB2312" w:cs="仿宋_GB2312" w:eastAsia="仿宋_GB2312"/>
              </w:rPr>
              <w:t>供应商需在项目电子化交易系统中提供具备履行合同所必需的设备和专业技术能力的承诺并进行电子签章。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参加本次政府采购活动前3年内在经营活动中没有重大违纪、未被列入失信被执行人、重大税收违法案件当事人名单、政府采购严重违法失信行为记录名单的书面声明。开标评审将登陆“信用中国”网站（www.creditchina.gov.cn）和“中国政府采购网”（www.ccgp.gov.cn）进行审查。</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控股管理关系及其他</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采购活动；为本项目提供整体设计、规范编制或者项目管理、监理、检测等服务的供应商，不得再参加该采购项目的其他采购活动。</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响应文件上法定代表人或被授权人的签字齐全并加盖公章</w:t>
            </w:r>
          </w:p>
        </w:tc>
        <w:tc>
          <w:tcPr>
            <w:tcW w:type="dxa" w:w="1661"/>
          </w:tcPr>
          <w:p>
            <w:pPr>
              <w:pStyle w:val="null3"/>
            </w:pPr>
            <w:r>
              <w:rPr>
                <w:rFonts w:ascii="仿宋_GB2312" w:hAnsi="仿宋_GB2312" w:cs="仿宋_GB2312" w:eastAsia="仿宋_GB2312"/>
              </w:rPr>
              <w:t>中小企业声明函 报价表 类似业绩一览表.docx 商务、技术偏离表.docx 资格证明文件.docx 其他相关资料.docx 响应文件封面 分项报价表.docx 残疾人福利性单位声明函 服务方案 标的清单 供应商拒绝政府采购领域商业贿赂承诺书.docx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应符合“响应文件格式”要求</w:t>
            </w:r>
          </w:p>
        </w:tc>
        <w:tc>
          <w:tcPr>
            <w:tcW w:type="dxa" w:w="1661"/>
          </w:tcPr>
          <w:p>
            <w:pPr>
              <w:pStyle w:val="null3"/>
            </w:pPr>
            <w:r>
              <w:rPr>
                <w:rFonts w:ascii="仿宋_GB2312" w:hAnsi="仿宋_GB2312" w:cs="仿宋_GB2312" w:eastAsia="仿宋_GB2312"/>
              </w:rPr>
              <w:t>中小企业声明函 报价表 类似业绩一览表.docx 商务、技术偏离表.docx 资格证明文件.docx 其他相关资料.docx 响应文件封面 分项报价表.docx 残疾人福利性单位声明函 服务方案 标的清单 供应商拒绝政府采购领域商业贿赂承诺书.docx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响应文件封面 分项报价表.docx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响应文件内容</w:t>
            </w:r>
          </w:p>
        </w:tc>
        <w:tc>
          <w:tcPr>
            <w:tcW w:type="dxa" w:w="3322"/>
          </w:tcPr>
          <w:p>
            <w:pPr>
              <w:pStyle w:val="null3"/>
            </w:pPr>
            <w:r>
              <w:rPr>
                <w:rFonts w:ascii="仿宋_GB2312" w:hAnsi="仿宋_GB2312" w:cs="仿宋_GB2312" w:eastAsia="仿宋_GB2312"/>
              </w:rPr>
              <w:t>响应文件内容齐全、无遗漏</w:t>
            </w:r>
          </w:p>
        </w:tc>
        <w:tc>
          <w:tcPr>
            <w:tcW w:type="dxa" w:w="1661"/>
          </w:tcPr>
          <w:p>
            <w:pPr>
              <w:pStyle w:val="null3"/>
            </w:pPr>
            <w:r>
              <w:rPr>
                <w:rFonts w:ascii="仿宋_GB2312" w:hAnsi="仿宋_GB2312" w:cs="仿宋_GB2312" w:eastAsia="仿宋_GB2312"/>
              </w:rPr>
              <w:t>中小企业声明函 报价表 类似业绩一览表.docx 商务、技术偏离表.docx 资格证明文件.docx 其他相关资料.docx 响应文件封面 分项报价表.docx 残疾人福利性单位声明函 服务方案 标的清单 供应商拒绝政府采购领域商业贿赂承诺书.docx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完全响应，且不能有采购人不能接受的附加条件</w:t>
            </w:r>
          </w:p>
        </w:tc>
        <w:tc>
          <w:tcPr>
            <w:tcW w:type="dxa" w:w="1661"/>
          </w:tcPr>
          <w:p>
            <w:pPr>
              <w:pStyle w:val="null3"/>
            </w:pPr>
            <w:r>
              <w:rPr>
                <w:rFonts w:ascii="仿宋_GB2312" w:hAnsi="仿宋_GB2312" w:cs="仿宋_GB2312" w:eastAsia="仿宋_GB2312"/>
              </w:rPr>
              <w:t>中小企业声明函 报价表 类似业绩一览表.docx 商务、技术偏离表.docx 资格证明文件.docx 其他相关资料.docx 响应文件封面 分项报价表.docx 残疾人福利性单位声明函 服务方案 标的清单 供应商拒绝政府采购领域商业贿赂承诺书.docx 响应函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应满足磋商文件中要求</w:t>
            </w:r>
          </w:p>
        </w:tc>
        <w:tc>
          <w:tcPr>
            <w:tcW w:type="dxa" w:w="1661"/>
          </w:tcPr>
          <w:p>
            <w:pPr>
              <w:pStyle w:val="null3"/>
            </w:pPr>
            <w:r>
              <w:rPr>
                <w:rFonts w:ascii="仿宋_GB2312" w:hAnsi="仿宋_GB2312" w:cs="仿宋_GB2312" w:eastAsia="仿宋_GB2312"/>
              </w:rPr>
              <w:t>响应文件封面 服务方案 商务、技术偏离表.docx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响应文件封面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总体方案</w:t>
            </w:r>
          </w:p>
        </w:tc>
        <w:tc>
          <w:tcPr>
            <w:tcW w:type="dxa" w:w="2492"/>
          </w:tcPr>
          <w:p>
            <w:pPr>
              <w:pStyle w:val="null3"/>
            </w:pPr>
            <w:r>
              <w:rPr>
                <w:rFonts w:ascii="仿宋_GB2312" w:hAnsi="仿宋_GB2312" w:cs="仿宋_GB2312" w:eastAsia="仿宋_GB2312"/>
              </w:rPr>
              <w:t>一、评审内容 提出针对本项目的总体方案，内容包括①项目内容分析及目标②项目工作范围及工作方法③重难点分析及解决方案 二、评审标准 1、完整性：方案须全面，对评审内容中的各项要求有详细描述及说明； 2、可实施性：切合本项目实际情况，实施步骤清晰、合理； 3、针对性：方案能够紧扣项目实际情况，内容科学合理。 三、赋分标准（满分18分） ①服务内容分析及目标：每完全满足一项评审标准得2分，存在瑕疵得1分，满分6分； ②服务工作范围及工作方法：每完全满足一项评审标准得2分，存在瑕疵得1分，满分6分； ③重难点分析及解决方案：每完全满足一项评审标准得2分，存在瑕疵得1分，满分6 分。 瑕疵是指存在不完全满足评分标准，但项目仍可实施。</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其他相关资料.docx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提出针对本项目的实施方案，包含①特色农产品精准产销对接活动②重点展会、农民丰收节等活动③“菜篮子”惠民工程 二、评审标准 1、完整性：方案须全面，对评审内容中的各项要求有详细描述及说明； 2、可实施性：切合本项目实际情况，实施步骤清晰、合理； 3、针对性：方案能够紧扣项目实际情况，内容科学合理。 三、赋分标准（满分18分） ①特色农产品精准产销对接活动：每完全满足一项评审标准得2分，存在瑕疵得1分，满分6分； ②重点展会、农民丰收节等活动：每完全满足一项评审标准得2分，存在瑕疵得1分，满分6分； ③菜篮子”惠民工程：每完全满足一项评审标准得2分，存在瑕疵得1分，满分6分。 瑕疵是指存在不完全满足评分标准，但项目仍可实施。</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其他相关资料.docx</w:t>
            </w:r>
          </w:p>
        </w:tc>
      </w:tr>
      <w:tr>
        <w:tc>
          <w:tcPr>
            <w:tcW w:type="dxa" w:w="831"/>
            <w:vMerge/>
          </w:tcPr>
          <w:p/>
        </w:tc>
        <w:tc>
          <w:tcPr>
            <w:tcW w:type="dxa" w:w="1661"/>
          </w:tcPr>
          <w:p>
            <w:pPr>
              <w:pStyle w:val="null3"/>
            </w:pPr>
            <w:r>
              <w:rPr>
                <w:rFonts w:ascii="仿宋_GB2312" w:hAnsi="仿宋_GB2312" w:cs="仿宋_GB2312" w:eastAsia="仿宋_GB2312"/>
              </w:rPr>
              <w:t>保障方案</w:t>
            </w:r>
          </w:p>
        </w:tc>
        <w:tc>
          <w:tcPr>
            <w:tcW w:type="dxa" w:w="2492"/>
          </w:tcPr>
          <w:p>
            <w:pPr>
              <w:pStyle w:val="null3"/>
            </w:pPr>
            <w:r>
              <w:rPr>
                <w:rFonts w:ascii="仿宋_GB2312" w:hAnsi="仿宋_GB2312" w:cs="仿宋_GB2312" w:eastAsia="仿宋_GB2312"/>
              </w:rPr>
              <w:t>一、评审内容 提出针对本项目的管理方案，包含①人员安全保障方案②工作保密保障方案③服务质量保障方案 二、评审标准 1、完整性：方案须全面，对评审内容中的各项要求有详细描述及说明； 2、可实施性：切合本项目实际情况，实施步骤清晰、合理； 3、针对性：方案能够紧扣项目实际情况，内容科学合理。 三、赋分标准（满分18分） ①人员安全保障方案：每完全满足一项评审标准得2分，存在瑕疵得1分，满分6分； ②工作保密保障方案：每完全满足一项评审标准得2分，存在瑕疵得1分，满分6分； ③服务质量保障方案：每完全满足一项评审标准得2分，存在瑕疵得1分，满分6分。 瑕疵是指存在不完全满足评分标准，但项目仍可实施。</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其他相关资料.docx</w:t>
            </w:r>
          </w:p>
        </w:tc>
      </w:tr>
      <w:tr>
        <w:tc>
          <w:tcPr>
            <w:tcW w:type="dxa" w:w="831"/>
            <w:vMerge/>
          </w:tcP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提出针对本项目的团队人员组织方案，方案包含：①组织机构运行配备方案②专业服务团队人员的职能分工方案，根据供应商所描述方案的完整性、可实施性、针对性进行评审。 团队人员组织方案同时满足完整性、可实施性、针对性三项评审标准的，得5分； 团队人员组织方案的完整性、可实施性、针对性其中有一项评审标准有瑕疵，得4分； 团队人员组织方案的完整性、可实施性、针对性其中有两项评审标准有瑕疵，得3分； 团队人员组织方案的完整性、可实施性、针对性其中有三项评审标准均有瑕疵，得1分； 瑕疵是指存在不完全满足评分标准，但项目仍可实施。 其他或未提供得不得分。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其他相关资料.docx</w:t>
            </w:r>
          </w:p>
        </w:tc>
      </w:tr>
      <w:tr>
        <w:tc>
          <w:tcPr>
            <w:tcW w:type="dxa" w:w="831"/>
            <w:vMerge/>
          </w:tcPr>
          <w:p/>
        </w:tc>
        <w:tc>
          <w:tcPr>
            <w:tcW w:type="dxa" w:w="1661"/>
          </w:tcPr>
          <w:p>
            <w:pPr>
              <w:pStyle w:val="null3"/>
            </w:pPr>
            <w:r>
              <w:rPr>
                <w:rFonts w:ascii="仿宋_GB2312" w:hAnsi="仿宋_GB2312" w:cs="仿宋_GB2312" w:eastAsia="仿宋_GB2312"/>
              </w:rPr>
              <w:t>保密措施</w:t>
            </w:r>
          </w:p>
        </w:tc>
        <w:tc>
          <w:tcPr>
            <w:tcW w:type="dxa" w:w="2492"/>
          </w:tcPr>
          <w:p>
            <w:pPr>
              <w:pStyle w:val="null3"/>
            </w:pPr>
            <w:r>
              <w:rPr>
                <w:rFonts w:ascii="仿宋_GB2312" w:hAnsi="仿宋_GB2312" w:cs="仿宋_GB2312" w:eastAsia="仿宋_GB2312"/>
              </w:rPr>
              <w:t>一、评审内容： ①保密制度； ②保密措施及承诺。 二、评审标准： 1、完整性：内容全面，对评审内容中的各项要求有详细描述； 2、可实施性：切合本项目实际情况，方案步骤清晰、合理； 3、针对性：紧扣项目实际情况需求，内容切实合理。 三、赋分标准： ①保密制度：每完全满足一个评审标准得1分，满分3分； ②保密措施及承诺：每完全满足一个评审标准得1分，满分3分。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其他相关资料.docx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 针对本项目提供应急预案，包括但不限于①安保计划；②安保设备配备方案；③安全隐患排查；④紧急医疗救援；⑤应对突发事件的处理措施。 二、评审标准： 1、完整性：内容全面，对评审内容中的各项要求有详细描述； 2、可实施性：切合本项目实际情况，方案步骤清晰、合理； 三、赋分标准： ①安保计划：每完全满足一个评审标准得0.5分，满分1分； ②安保设备配备方案：每完全满足一个评审标准得0.5分，满分1分； ③安全隐患排查：每完全满足一个评审标准得0.5分，满分1分； ④紧急医疗救援：每完全满足一个评审标准得0.5分，满分1分； ⑤应对突发事件的处理措施：每完全满足一个评审标准得0.5分，满分1分。 总分5分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其他相关资料.docx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 针对本项目提供服务承诺，包括但不限于①场地搭建的安全性；②设备器械、工具及消耗品配置的完整性；③活动亮点；④宣传推广；⑤服务质量。 二、评审标准： 1、完整性：内容全面，对评审内容中的各项要求有详细描述； 2、可实施性：切合本项目实际情况，方案步骤清晰、合理； 三、赋分标准： ①场地搭建的安全性：每完全满足一个评审标准得1分，满分2分； ②设备器械、工具及消耗品配置的完整性：每完全满足一个评审标准得1分，满分2分； ③活动亮点：每完全满足一个评审标准得1分，满分2分； ④宣传推广：每完全满足一个评审标准得1分，满分2分； ⑤服务质量：每完全满足一个评审标准得1分，满分2分； 总分10分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其他相关资料.docx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近三年（2023年1月1日起）以来类似项目业绩。注：附合同关键页（含签订合同双方单位名称、合同项目名称及签订合同双方的落款盖章、签订日期的关键页）复印件作为同类业绩评审资料,资料不全不得分。每份合格业绩合同计2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类似业绩一览表.docx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投标价格得分</w:t>
            </w:r>
          </w:p>
        </w:tc>
        <w:tc>
          <w:tcPr>
            <w:tcW w:type="dxa" w:w="2492"/>
          </w:tcPr>
          <w:p>
            <w:pPr>
              <w:pStyle w:val="null3"/>
            </w:pPr>
            <w:r>
              <w:rPr>
                <w:rFonts w:ascii="仿宋_GB2312" w:hAnsi="仿宋_GB2312" w:cs="仿宋_GB2312" w:eastAsia="仿宋_GB2312"/>
              </w:rPr>
              <w:t xml:space="preserve"> 投标报价得分＝（评标基准价/投标报价）×价格评审值（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详见附件：供应商拒绝政府采购领域商业贿赂承诺书.docx</w:t>
      </w:r>
    </w:p>
    <w:p>
      <w:pPr>
        <w:pStyle w:val="null3"/>
        <w:ind w:firstLine="960"/>
      </w:pPr>
      <w:r>
        <w:rPr>
          <w:rFonts w:ascii="仿宋_GB2312" w:hAnsi="仿宋_GB2312" w:cs="仿宋_GB2312" w:eastAsia="仿宋_GB2312"/>
        </w:rPr>
        <w:t>详见附件：类似业绩一览表.docx</w:t>
      </w:r>
    </w:p>
    <w:p>
      <w:pPr>
        <w:pStyle w:val="null3"/>
        <w:ind w:firstLine="960"/>
      </w:pPr>
      <w:r>
        <w:rPr>
          <w:rFonts w:ascii="仿宋_GB2312" w:hAnsi="仿宋_GB2312" w:cs="仿宋_GB2312" w:eastAsia="仿宋_GB2312"/>
        </w:rPr>
        <w:t>详见附件：商务、技术偏离表.docx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详见附件：其他相关资料.docx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