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版本号：SXGL-ZFCG-2026-016号20260713001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按病种（DRG）付费服务项目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SXGL-ZFCG-2026-016号</w:t>
      </w:r>
      <w:r>
        <w:br/>
      </w:r>
      <w:r>
        <w:br/>
      </w:r>
      <w:r>
        <w:br/>
      </w:r>
    </w:p>
    <w:p>
      <w:pPr>
        <w:pStyle w:val="null3"/>
        <w:jc w:val="center"/>
        <w:outlineLvl w:val="2"/>
      </w:pPr>
      <w:r>
        <w:rPr>
          <w:rFonts w:ascii="仿宋_GB2312" w:hAnsi="仿宋_GB2312" w:cs="仿宋_GB2312" w:eastAsia="仿宋_GB2312"/>
          <w:sz w:val="28"/>
          <w:b/>
        </w:rPr>
        <w:t>铜川市医疗保障局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铜川市医疗保障局</w:t>
      </w:r>
      <w:r>
        <w:rPr>
          <w:rFonts w:ascii="仿宋_GB2312" w:hAnsi="仿宋_GB2312" w:cs="仿宋_GB2312" w:eastAsia="仿宋_GB2312"/>
        </w:rPr>
        <w:t>委托，拟对</w:t>
      </w:r>
      <w:r>
        <w:rPr>
          <w:rFonts w:ascii="仿宋_GB2312" w:hAnsi="仿宋_GB2312" w:cs="仿宋_GB2312" w:eastAsia="仿宋_GB2312"/>
        </w:rPr>
        <w:t>按病种（DRG）付费服务项目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SXGL-ZFCG-2026-016号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按病种（DRG）付费服务项目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病种（DRG）付费服务项目改革项目旨在建立以按病种（DRG）付费为主的多元复合式医保支付方式，在铜川市全面推进按病种（DRG）付费改革工作。同时协同中医优势病种付费改革及日间手术付费改革，DRG付费进一步细化数据质控服务、加强季度分析、年终清算及数据定向发布等相关工作，加强特例单议评审管理，加大付费培训强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证明：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w:t>
      </w:r>
    </w:p>
    <w:p>
      <w:pPr>
        <w:pStyle w:val="null3"/>
      </w:pPr>
      <w:r>
        <w:rPr>
          <w:rFonts w:ascii="仿宋_GB2312" w:hAnsi="仿宋_GB2312" w:cs="仿宋_GB2312" w:eastAsia="仿宋_GB2312"/>
        </w:rPr>
        <w:t>2、法定代表人（或负责人）或授权代理人：供应商提供法定代表人（或负责人）授权书及被授权人身份证，法定代表人（或负责人）直接参加单一来源的须提交其法人身份证明</w:t>
      </w:r>
    </w:p>
    <w:p>
      <w:pPr>
        <w:pStyle w:val="null3"/>
      </w:pPr>
      <w:r>
        <w:rPr>
          <w:rFonts w:ascii="仿宋_GB2312" w:hAnsi="仿宋_GB2312" w:cs="仿宋_GB2312" w:eastAsia="仿宋_GB2312"/>
        </w:rPr>
        <w:t>3、信用中国网页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p>
      <w:pPr>
        <w:pStyle w:val="null3"/>
      </w:pPr>
      <w:r>
        <w:rPr>
          <w:rFonts w:ascii="仿宋_GB2312" w:hAnsi="仿宋_GB2312" w:cs="仿宋_GB2312" w:eastAsia="仿宋_GB2312"/>
        </w:rPr>
        <w:t>4、财务状况：提供2025年的财务审计报告(成立时间至提交投标文件截止时间不足一年的可提供成立后任意时段的资产负债表)或供应商基本存款账户开户银行投标截止前6个月内出具的资信或资金证明(复印件加盖投标人公章)</w:t>
      </w:r>
    </w:p>
    <w:p>
      <w:pPr>
        <w:pStyle w:val="null3"/>
      </w:pPr>
      <w:r>
        <w:rPr>
          <w:rFonts w:ascii="仿宋_GB2312" w:hAnsi="仿宋_GB2312" w:cs="仿宋_GB2312" w:eastAsia="仿宋_GB2312"/>
        </w:rPr>
        <w:t>5、缴纳税款凭证：提供磋商响应文件递交截止时间前1年内任意1个月已缴纳完税凭证（任意税种）或税务机关开具的完税证明（任意税种）</w:t>
      </w:r>
    </w:p>
    <w:p>
      <w:pPr>
        <w:pStyle w:val="null3"/>
      </w:pPr>
      <w:r>
        <w:rPr>
          <w:rFonts w:ascii="仿宋_GB2312" w:hAnsi="仿宋_GB2312" w:cs="仿宋_GB2312" w:eastAsia="仿宋_GB2312"/>
        </w:rPr>
        <w:t>6、缴纳社保凭证：提供磋商响应文件递交截止时间前1年内任意1个月已缴存的任意时段的社会保障资金缴存单据或社保机构开具的社会保险参保缴费情况证明</w:t>
      </w:r>
    </w:p>
    <w:p>
      <w:pPr>
        <w:pStyle w:val="null3"/>
      </w:pPr>
      <w:r>
        <w:rPr>
          <w:rFonts w:ascii="仿宋_GB2312" w:hAnsi="仿宋_GB2312" w:cs="仿宋_GB2312" w:eastAsia="仿宋_GB2312"/>
        </w:rPr>
        <w:t>7、具有履行合同所必需的设备和专业技术能力：提供证明材料或书面承诺并加盖公章</w:t>
      </w:r>
    </w:p>
    <w:p>
      <w:pPr>
        <w:pStyle w:val="null3"/>
      </w:pPr>
      <w:r>
        <w:rPr>
          <w:rFonts w:ascii="仿宋_GB2312" w:hAnsi="仿宋_GB2312" w:cs="仿宋_GB2312" w:eastAsia="仿宋_GB2312"/>
        </w:rPr>
        <w:t>8、声明：参加政府采购活动近三年内，在经营活动中没有重大违法记录，提供书面声明并加盖公章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铜川市新区金谟东路一号财税大厦11楼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18091951707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铜川市医疗保障局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达到行业内履约验收标准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地址：陕西省铜川市新区朝阳路鸿翔逸境1号楼1-4层商业区三楼304室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病种（DRG）付费服务项目改革项目旨在建立以按病种（DRG）付费为主的多元复合式医保支付方式，在铜川市全面推进按病种（DRG）付费改革工作。同时协同中医优势病种付费改革及日间手术付费改革，DRG付费进一步细化数据质控服务、加强季度分析、年终清算及数据定向发布等相关工作，加强特例单议评审管理，加大付费培训强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按病种（DRG）付费服务项目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标的名称：按病种（DRG）付费服务项目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按病种（</w:t>
            </w:r>
            <w:r>
              <w:rPr>
                <w:rFonts w:ascii="仿宋_GB2312" w:hAnsi="仿宋_GB2312" w:cs="仿宋_GB2312" w:eastAsia="仿宋_GB2312"/>
                <w:sz w:val="21"/>
                <w:color w:val="000000"/>
              </w:rPr>
              <w:t>DRG</w:t>
            </w:r>
            <w:r>
              <w:rPr>
                <w:rFonts w:ascii="仿宋_GB2312" w:hAnsi="仿宋_GB2312" w:cs="仿宋_GB2312" w:eastAsia="仿宋_GB2312"/>
                <w:sz w:val="21"/>
                <w:color w:val="000000"/>
              </w:rPr>
              <w:t>）付费服务项目</w:t>
            </w:r>
            <w:r>
              <w:rPr>
                <w:rFonts w:ascii="仿宋_GB2312" w:hAnsi="仿宋_GB2312" w:cs="仿宋_GB2312" w:eastAsia="仿宋_GB2312"/>
              </w:rPr>
              <w:t>旨在建立以按病种（DRG）付费为主的多元复合式医保支付方式，在铜川市全面推进按病种（DRG）付费改革工作。同时协同中医优势病种付费改革及日间手术付费改革，DRG付费进一步细化数据质控服务、加强季度分析、年终清算及数据定向发布等相关工作，加强特例单议评审管理，加大付费培训强度。</w:t>
            </w:r>
          </w:p>
          <w:p>
            <w:pPr>
              <w:pStyle w:val="null3"/>
            </w:pPr>
            <w:r>
              <w:rPr>
                <w:rFonts w:ascii="仿宋_GB2312" w:hAnsi="仿宋_GB2312" w:cs="仿宋_GB2312" w:eastAsia="仿宋_GB2312"/>
                <w:sz w:val="21"/>
              </w:rPr>
              <w:t>技术要求及用途：本项目主要涵盖</w:t>
            </w:r>
            <w:r>
              <w:rPr>
                <w:rFonts w:ascii="仿宋_GB2312" w:hAnsi="仿宋_GB2312" w:cs="仿宋_GB2312" w:eastAsia="仿宋_GB2312"/>
                <w:sz w:val="21"/>
              </w:rPr>
              <w:t>7项技术要求及用途，分别为1、支付方式改革经办人力；2、数据分析服务；3、数据测算服务；4、数据审核服务；5、DRG信息化支撑服务；6、支付方式改革扩面需求；7、支付方式改革培训服务。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达到行业内验收交付标准和方法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进度款，项目服务完全达到服务期要求后，并经验收合格，支付合同尾款，达到付款条件起15个工作日内，支付合同总金额的70.0%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证明</w:t>
            </w:r>
          </w:p>
        </w:tc>
        <w:tc>
          <w:tcPr>
            <w:tcW w:type="dxa" w:w="3322"/>
          </w:tcPr>
          <w:p>
            <w:pPr>
              <w:pStyle w:val="null3"/>
            </w:pPr>
            <w:r>
              <w:rPr>
                <w:rFonts w:ascii="仿宋_GB2312" w:hAnsi="仿宋_GB2312" w:cs="仿宋_GB2312" w:eastAsia="仿宋_GB2312"/>
              </w:rPr>
              <w:t>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法定代表人（或负责人）或授权代理人</w:t>
            </w:r>
          </w:p>
        </w:tc>
        <w:tc>
          <w:tcPr>
            <w:tcW w:type="dxa" w:w="3322"/>
          </w:tcPr>
          <w:p>
            <w:pPr>
              <w:pStyle w:val="null3"/>
            </w:pPr>
            <w:r>
              <w:rPr>
                <w:rFonts w:ascii="仿宋_GB2312" w:hAnsi="仿宋_GB2312" w:cs="仿宋_GB2312" w:eastAsia="仿宋_GB2312"/>
              </w:rPr>
              <w:t>供应商提供法定代表人（或负责人）授权书及被授权人身份证，法定代表人（或负责人）直接参加单一来源的须提交其法人身份证明</w:t>
            </w:r>
          </w:p>
        </w:tc>
        <w:tc>
          <w:tcPr>
            <w:tcW w:type="dxa" w:w="1661"/>
          </w:tcPr>
          <w:p>
            <w:pPr>
              <w:pStyle w:val="null3"/>
            </w:pPr>
            <w:r>
              <w:rPr>
                <w:rFonts w:ascii="仿宋_GB2312" w:hAnsi="仿宋_GB2312" w:cs="仿宋_GB2312" w:eastAsia="仿宋_GB2312"/>
              </w:rPr>
              <w:t>法定代表人（或负责人）证明书.docx 法定代表人（或负责人）授权书.docx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信用中国网页截图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提供2025年的财务审计报告(成立时间至提交投标文件截止时间不足一年的可提供成立后任意时段的资产负债表)或供应商基本存款账户开户银行投标截止前6个月内出具的资信或资金证明(复印件加盖投标人公章)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缴纳税款凭证</w:t>
            </w:r>
          </w:p>
        </w:tc>
        <w:tc>
          <w:tcPr>
            <w:tcW w:type="dxa" w:w="3322"/>
          </w:tcPr>
          <w:p>
            <w:pPr>
              <w:pStyle w:val="null3"/>
            </w:pPr>
            <w:r>
              <w:rPr>
                <w:rFonts w:ascii="仿宋_GB2312" w:hAnsi="仿宋_GB2312" w:cs="仿宋_GB2312" w:eastAsia="仿宋_GB2312"/>
              </w:rPr>
              <w:t>提供磋商响应文件递交截止时间前1年内任意1个月已缴纳完税凭证（任意税种）或税务机关开具的完税证明（任意税种）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缴纳社保凭证</w:t>
            </w:r>
          </w:p>
        </w:tc>
        <w:tc>
          <w:tcPr>
            <w:tcW w:type="dxa" w:w="3322"/>
          </w:tcPr>
          <w:p>
            <w:pPr>
              <w:pStyle w:val="null3"/>
            </w:pPr>
            <w:r>
              <w:rPr>
                <w:rFonts w:ascii="仿宋_GB2312" w:hAnsi="仿宋_GB2312" w:cs="仿宋_GB2312" w:eastAsia="仿宋_GB2312"/>
              </w:rPr>
              <w:t>提供磋商响应文件递交截止时间前1年内任意1个月已缴存的任意时段的社会保障资金缴存单据或社保机构开具的社会保险参保缴费情况证明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提供证明材料或书面承诺并加盖公章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参加政府采购活动近三年内，在经营活动中没有重大违法记录，提供书面声明并加盖公章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响应文件格式、签字及盖章</w:t>
            </w:r>
          </w:p>
        </w:tc>
        <w:tc>
          <w:tcPr>
            <w:tcW w:type="dxa" w:w="3322"/>
          </w:tcPr>
          <w:p>
            <w:pPr>
              <w:pStyle w:val="null3"/>
            </w:pPr>
            <w:r>
              <w:rPr>
                <w:rFonts w:ascii="仿宋_GB2312" w:hAnsi="仿宋_GB2312" w:cs="仿宋_GB2312" w:eastAsia="仿宋_GB2312"/>
              </w:rPr>
              <w:t>响应文件格式、签字及盖章符合磋商文件要求</w:t>
            </w:r>
          </w:p>
        </w:tc>
        <w:tc>
          <w:tcPr>
            <w:tcW w:type="dxa" w:w="1661"/>
          </w:tcPr>
          <w:p>
            <w:pPr>
              <w:pStyle w:val="null3"/>
            </w:pPr>
            <w:r>
              <w:rPr>
                <w:rFonts w:ascii="仿宋_GB2312" w:hAnsi="仿宋_GB2312" w:cs="仿宋_GB2312" w:eastAsia="仿宋_GB2312"/>
              </w:rPr>
              <w:t>中小企业声明函 商务应答表 法定代表人（或负责人）证明书.docx 供应商应提交的相关资格证明材料 服务内容及服务要求应答表 报价表 响应文件封面 残疾人福利性单位声明函 服务方案 标的清单 法定代表人（或负责人）授权书.docx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企业近三年医保项目业绩（2023年1月1日以后，以响应文件所附合同复印件或扫描件为准，未提供不得分），每提供一个业绩得2.5分，最高得分不超过10分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（1）在满足磋商文件服务要求前提下，得基本分20分，方案优于服务要求，方案编制科学合理、操作性强加2.5分，最多加10分； （2）未提供方案或不满足磋商文件服务要求，得0分。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本项目的售后保障方案（应围绕售后保障管理，售后承诺等内容编制），符合基本要求得15分。 （1）售后方案编制科学合理、操作性强、具体售后保障措施完善，加1分，最多加5分； （2）未提供售后方案，得0分。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结合本项目实际情况，对服务项目事前、事中、事后等进行承诺，符合基本要求得7分。 （1）服务承诺总体编制优良，替采购人考虑承诺因素全面，加1分，最多加3分； （2）未提供售后方案，得0分。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1.经初审合格的响应文件，其最终报价为有效投标价。对符合政策性扣减的有效投标报价进行政策性扣减，并依据扣减后的价格（评审价格）进行价格评审。 2.有效最低报价为基准价得30分。 3.按（最终有效最低报价/最终有效投标报价）×30的公式计算其得分。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详见附件：法定代表人（或负责人）证明书.docx</w:t>
      </w:r>
    </w:p>
    <w:p>
      <w:pPr>
        <w:pStyle w:val="null3"/>
        <w:ind w:firstLine="960"/>
      </w:pPr>
      <w:r>
        <w:rPr>
          <w:rFonts w:ascii="仿宋_GB2312" w:hAnsi="仿宋_GB2312" w:cs="仿宋_GB2312" w:eastAsia="仿宋_GB2312"/>
        </w:rPr>
        <w:t>详见附件：法定代表人（或负责人）授权书.docx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