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版本号：SXZH-2026-04120260520001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非饱和土及催化材料分析表征设备采购项目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SXZH-2026-041</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非饱和土及催化材料分析表征设备采购项目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SXZH-2026-041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非饱和土及催化材料分析表征设备采购项目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本项目为非饱和土及催化材料分析表征设备采购，具体内容详见招标文件第三章。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1、法定代表人授权委托书：法定代表人参加投标的，投标文件中须附身份证；法定代表人授权他人参加投标的，投标文件中须附法定代表人授权委托书及被授权人身份证。</w:t>
      </w:r>
    </w:p>
    <w:p>
      <w:pPr>
        <w:pStyle w:val="null3"/>
      </w:pPr>
      <w:r>
        <w:rPr>
          <w:rFonts w:ascii="仿宋_GB2312" w:hAnsi="仿宋_GB2312" w:cs="仿宋_GB2312" w:eastAsia="仿宋_GB2312"/>
        </w:rPr>
        <w:t>2、不接受联合体投标：本项目不接受联合体投标，不允许分包。投标人应提供《非联合体不分包投标声明》。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13228005857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采购包1：2,412,400.00元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开户名称：陕西筑辉工程咨询有限公司</w:t>
            </w:r>
          </w:p>
          <w:p>
            <w:pPr>
              <w:pStyle w:val="null3"/>
            </w:pPr>
            <w:r>
              <w:rPr>
                <w:rFonts w:ascii="仿宋_GB2312" w:hAnsi="仿宋_GB2312" w:cs="仿宋_GB2312" w:eastAsia="仿宋_GB2312"/>
              </w:rPr>
              <w:t>开户银行：北京银行股份有限公司西安经济技术开发区支行</w:t>
            </w:r>
          </w:p>
          <w:p>
            <w:pPr>
              <w:pStyle w:val="null3"/>
            </w:pPr>
            <w:r>
              <w:rPr>
                <w:rFonts w:ascii="仿宋_GB2312" w:hAnsi="仿宋_GB2312" w:cs="仿宋_GB2312" w:eastAsia="仿宋_GB2312"/>
              </w:rPr>
              <w:t>银行账号：20000041418600030109571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说明：合同签署时以公对公方式转账至采购人公户（账户信息中标后提供）</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代理服务费收费标准：采购代理费用按委托代理采购项目中标（成交）金额的百分之一(1%）收取，由中标（成交）投标人向代理机构支付。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按招标文件及投标文件、合同约定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联系人：薛南</w:t>
      </w:r>
    </w:p>
    <w:p>
      <w:pPr>
        <w:pStyle w:val="null3"/>
      </w:pPr>
      <w:r>
        <w:rPr>
          <w:rFonts w:ascii="仿宋_GB2312" w:hAnsi="仿宋_GB2312" w:cs="仿宋_GB2312" w:eastAsia="仿宋_GB2312"/>
        </w:rPr>
        <w:t>联系电话：13228005857</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非饱和土及催化材料分析表征设备采购项目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2,412,400.00</w:t>
      </w:r>
    </w:p>
    <w:p>
      <w:pPr>
        <w:pStyle w:val="null3"/>
      </w:pPr>
      <w:r>
        <w:rPr>
          <w:rFonts w:ascii="仿宋_GB2312" w:hAnsi="仿宋_GB2312" w:cs="仿宋_GB2312" w:eastAsia="仿宋_GB2312"/>
        </w:rPr>
        <w:t>采购包最高限价（元）: 2,412,400.00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多模态土体干缩裂隙干缩演化与预测智能感知模块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土水特性和导水系数联合测试模块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土壤激光粒度分析模块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设计工作站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二氧化碳保护焊焊机</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压力测试机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学生实训工位</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VR实训资源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教学水准仪</w:t>
            </w:r>
          </w:p>
        </w:tc>
        <w:tc>
          <w:tcPr>
            <w:tcW w:type="dxa" w:w="755"/>
          </w:tcPr>
          <w:p>
            <w:pPr>
              <w:pStyle w:val="null3"/>
              <w:jc w:val="right"/>
            </w:pPr>
            <w:r>
              <w:rPr>
                <w:rFonts w:ascii="仿宋_GB2312" w:hAnsi="仿宋_GB2312" w:cs="仿宋_GB2312" w:eastAsia="仿宋_GB2312"/>
              </w:rPr>
              <w:t>15.00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双目工业相机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教学天平</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总有机碳测试仪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全自动比表面积分析仪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标的名称：多模态土体干缩裂隙干缩演化与预测智能感知模块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一体化独立封闭箱体结构；圆柱形土样，直径61.8mm*高度20mm（标准）和直径101mm×高度20mm（标准）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图像分析功能:支持基于数字图像相关法的散斑图像追踪，实现对土体表面全场变形的监测；能够实时计算并输出土体表面三维坐标,坐标结果显示分辨率≥0.01mm、三维位移场及应变场数据,应变最小可测值≤50με，应变测量分辨率介于10–50με；集成智能图像处理与特征提取算法，自动识别并量化裂缝长度、平均宽度、总开裂面积、分形维数等参数，最小可识别裂缝宽度≤0.2mm，裂缝宽度测量误差±0.05 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温度控制功能:室温～40℃，控温波动±0.5℃。控温过程不产生明显气流扰动或局部热辐射；</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湿度监测功能:配备湿度传感器（精度±1% RH），实时监测箱体内相对湿度；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安全与可靠性:箱体材料应具备耐腐蚀、隔热、防潮性能，电气部件符合国家相关安全标准；系统应具备断电记忆、过温保护、传感器故障自检等安全机制；</w:t>
            </w:r>
          </w:p>
        </w:tc>
      </w:tr>
    </w:tbl>
    <w:p>
      <w:pPr>
        <w:pStyle w:val="null3"/>
      </w:pPr>
      <w:r>
        <w:rPr>
          <w:rFonts w:ascii="仿宋_GB2312" w:hAnsi="仿宋_GB2312" w:cs="仿宋_GB2312" w:eastAsia="仿宋_GB2312"/>
        </w:rPr>
        <w:t>标的名称：土水特性和导水系数联合测试模块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一体化独立封闭箱体结构，试样尺寸: 径61.8mm*高度20mm（标准）和直径101mm×高度20mm（标准）；轴向加载:≥10kN，精度0.1%F.S，分辨率10N；轴向加载行程，精度0.1%F.S，分辨率1μm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天平量程≥220g,精度≤0.001g；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陶土板进气值:5bar；配蒸发补偿装置,气压控制范围0～0.5 MPa，压力控制与测量分辨率不大于1kPa，压力测量精度优于±1% F.S。</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可实现标准土水特性曲线测量功能:土水特性曲线、吸湿脱湿等；可用直接观测法对瞬态导水系数计算；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温控覆盖-10℃～+50℃，控温波动±0.5℃；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试验数据后处理软件功能：数据导入、数据有效性验证、误差修正、坏点识别、数据输出、曲线绘制等。</w:t>
            </w:r>
          </w:p>
        </w:tc>
      </w:tr>
    </w:tbl>
    <w:p>
      <w:pPr>
        <w:pStyle w:val="null3"/>
      </w:pPr>
      <w:r>
        <w:rPr>
          <w:rFonts w:ascii="仿宋_GB2312" w:hAnsi="仿宋_GB2312" w:cs="仿宋_GB2312" w:eastAsia="仿宋_GB2312"/>
        </w:rPr>
        <w:t>标的名称：土壤激光粒度分析模块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干湿土两用，包括固化土、固化剂等；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自动循环分散系统，全自动测量；粒径测量范围覆盖：0.0001～1mm，重复性误差、准确性误差：≤1%（国标样D50偏差）；测速：每样≤5分钟</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软件功能：能独立生成连续的颗粒级配曲线，可以提供土的各粒组百分数，确定分散土的分散度以及土的比表面积、不均匀系数等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配套备品备件清单明细表</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名称</w:t>
                  </w:r>
                </w:p>
              </w:tc>
              <w:tc>
                <w:tcPr>
                  <w:tcW w:type="dxa" w:w="511"/>
                </w:tcPr>
                <w:p>
                  <w:pPr>
                    <w:pStyle w:val="null3"/>
                  </w:pPr>
                  <w:r>
                    <w:rPr>
                      <w:rFonts w:ascii="仿宋_GB2312" w:hAnsi="仿宋_GB2312" w:cs="仿宋_GB2312" w:eastAsia="仿宋_GB2312"/>
                    </w:rPr>
                    <w:t>规格</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锁刀座</w:t>
                  </w:r>
                </w:p>
              </w:tc>
              <w:tc>
                <w:tcPr>
                  <w:tcW w:type="dxa" w:w="511"/>
                </w:tcPr>
                <w:p>
                  <w:pPr>
                    <w:pStyle w:val="null3"/>
                  </w:pPr>
                  <w:r>
                    <w:rPr>
                      <w:rFonts w:ascii="仿宋_GB2312" w:hAnsi="仿宋_GB2312" w:cs="仿宋_GB2312" w:eastAsia="仿宋_GB2312"/>
                    </w:rPr>
                    <w:t>BT40（国标）</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锁刀座</w:t>
                  </w:r>
                </w:p>
              </w:tc>
              <w:tc>
                <w:tcPr>
                  <w:tcW w:type="dxa" w:w="511"/>
                </w:tcPr>
                <w:p>
                  <w:pPr>
                    <w:pStyle w:val="null3"/>
                  </w:pPr>
                  <w:r>
                    <w:rPr>
                      <w:rFonts w:ascii="仿宋_GB2312" w:hAnsi="仿宋_GB2312" w:cs="仿宋_GB2312" w:eastAsia="仿宋_GB2312"/>
                    </w:rPr>
                    <w:t>BT50（国标）</w:t>
                  </w:r>
                </w:p>
              </w:tc>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极压切削液</w:t>
                  </w:r>
                </w:p>
              </w:tc>
              <w:tc>
                <w:tcPr>
                  <w:tcW w:type="dxa" w:w="511"/>
                </w:tcPr>
                <w:p>
                  <w:pPr>
                    <w:pStyle w:val="null3"/>
                  </w:pPr>
                  <w:r>
                    <w:rPr>
                      <w:rFonts w:ascii="仿宋_GB2312" w:hAnsi="仿宋_GB2312" w:cs="仿宋_GB2312" w:eastAsia="仿宋_GB2312"/>
                    </w:rPr>
                    <w:t>绿色ST11</w:t>
                  </w:r>
                </w:p>
              </w:tc>
              <w:tc>
                <w:tcPr>
                  <w:tcW w:type="dxa" w:w="511"/>
                </w:tcPr>
                <w:p>
                  <w:pPr>
                    <w:pStyle w:val="null3"/>
                  </w:pPr>
                  <w:r>
                    <w:rPr>
                      <w:rFonts w:ascii="仿宋_GB2312" w:hAnsi="仿宋_GB2312" w:cs="仿宋_GB2312" w:eastAsia="仿宋_GB2312"/>
                    </w:rPr>
                    <w:t>200</w:t>
                  </w:r>
                </w:p>
              </w:tc>
              <w:tc>
                <w:tcPr>
                  <w:tcW w:type="dxa" w:w="511"/>
                </w:tcPr>
                <w:p>
                  <w:pPr>
                    <w:pStyle w:val="null3"/>
                  </w:pPr>
                  <w:r>
                    <w:rPr>
                      <w:rFonts w:ascii="仿宋_GB2312" w:hAnsi="仿宋_GB2312" w:cs="仿宋_GB2312" w:eastAsia="仿宋_GB2312"/>
                    </w:rPr>
                    <w:t>千克</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刀柄架</w:t>
                  </w:r>
                </w:p>
              </w:tc>
              <w:tc>
                <w:tcPr>
                  <w:tcW w:type="dxa" w:w="511"/>
                </w:tcPr>
                <w:p>
                  <w:pPr>
                    <w:pStyle w:val="null3"/>
                  </w:pPr>
                  <w:r>
                    <w:rPr>
                      <w:rFonts w:ascii="仿宋_GB2312" w:hAnsi="仿宋_GB2312" w:cs="仿宋_GB2312" w:eastAsia="仿宋_GB2312"/>
                    </w:rPr>
                    <w:t>BT40（容纳量≥24把）</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刀柄架</w:t>
                  </w:r>
                </w:p>
              </w:tc>
              <w:tc>
                <w:tcPr>
                  <w:tcW w:type="dxa" w:w="511"/>
                </w:tcPr>
                <w:p>
                  <w:pPr>
                    <w:pStyle w:val="null3"/>
                  </w:pPr>
                  <w:r>
                    <w:rPr>
                      <w:rFonts w:ascii="仿宋_GB2312" w:hAnsi="仿宋_GB2312" w:cs="仿宋_GB2312" w:eastAsia="仿宋_GB2312"/>
                    </w:rPr>
                    <w:t>BT50（容纳量≥42把）</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切槽刀体</w:t>
                  </w:r>
                </w:p>
              </w:tc>
              <w:tc>
                <w:tcPr>
                  <w:tcW w:type="dxa" w:w="511"/>
                </w:tcPr>
                <w:p>
                  <w:pPr>
                    <w:pStyle w:val="null3"/>
                  </w:pPr>
                  <w:r>
                    <w:rPr>
                      <w:rFonts w:ascii="仿宋_GB2312" w:hAnsi="仿宋_GB2312" w:cs="仿宋_GB2312" w:eastAsia="仿宋_GB2312"/>
                    </w:rPr>
                    <w:t>3*25*25mm</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切槽刀体</w:t>
                  </w:r>
                </w:p>
              </w:tc>
              <w:tc>
                <w:tcPr>
                  <w:tcW w:type="dxa" w:w="511"/>
                </w:tcPr>
                <w:p>
                  <w:pPr>
                    <w:pStyle w:val="null3"/>
                  </w:pPr>
                  <w:r>
                    <w:rPr>
                      <w:rFonts w:ascii="仿宋_GB2312" w:hAnsi="仿宋_GB2312" w:cs="仿宋_GB2312" w:eastAsia="仿宋_GB2312"/>
                    </w:rPr>
                    <w:t>2*25*25mm</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中心孔钻（含钻夹头和锥柄接杆）</w:t>
                  </w:r>
                </w:p>
              </w:tc>
              <w:tc>
                <w:tcPr>
                  <w:tcW w:type="dxa" w:w="511"/>
                </w:tcPr>
                <w:p>
                  <w:pPr>
                    <w:pStyle w:val="null3"/>
                  </w:pPr>
                  <w:r>
                    <w:rPr>
                      <w:rFonts w:ascii="仿宋_GB2312" w:hAnsi="仿宋_GB2312" w:cs="仿宋_GB2312" w:eastAsia="仿宋_GB2312"/>
                    </w:rPr>
                    <w:t>MT5（国标）</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游标卡尺(数显)</w:t>
                  </w:r>
                </w:p>
              </w:tc>
              <w:tc>
                <w:tcPr>
                  <w:tcW w:type="dxa" w:w="511"/>
                </w:tcPr>
                <w:p>
                  <w:pPr>
                    <w:pStyle w:val="null3"/>
                  </w:pPr>
                  <w:r>
                    <w:rPr>
                      <w:rFonts w:ascii="仿宋_GB2312" w:hAnsi="仿宋_GB2312" w:cs="仿宋_GB2312" w:eastAsia="仿宋_GB2312"/>
                    </w:rPr>
                    <w:t>量程≥500mm</w:t>
                  </w:r>
                </w:p>
                <w:p>
                  <w:pPr>
                    <w:pStyle w:val="null3"/>
                  </w:pPr>
                  <w:r>
                    <w:rPr>
                      <w:rFonts w:ascii="仿宋_GB2312" w:hAnsi="仿宋_GB2312" w:cs="仿宋_GB2312" w:eastAsia="仿宋_GB2312"/>
                    </w:rPr>
                    <w:t>抓长≥200mm</w:t>
                  </w:r>
                </w:p>
              </w:tc>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活顶尖</w:t>
                  </w:r>
                </w:p>
              </w:tc>
              <w:tc>
                <w:tcPr>
                  <w:tcW w:type="dxa" w:w="511"/>
                </w:tcPr>
                <w:p>
                  <w:pPr>
                    <w:pStyle w:val="null3"/>
                  </w:pPr>
                  <w:r>
                    <w:rPr>
                      <w:rFonts w:ascii="仿宋_GB2312" w:hAnsi="仿宋_GB2312" w:cs="仿宋_GB2312" w:eastAsia="仿宋_GB2312"/>
                    </w:rPr>
                    <w:t>MT5（国标）</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可伸缩围栏</w:t>
                  </w:r>
                </w:p>
              </w:tc>
              <w:tc>
                <w:tcPr>
                  <w:tcW w:type="dxa" w:w="511"/>
                </w:tcPr>
                <w:p>
                  <w:pPr>
                    <w:pStyle w:val="null3"/>
                  </w:pPr>
                  <w:r>
                    <w:rPr>
                      <w:rFonts w:ascii="仿宋_GB2312" w:hAnsi="仿宋_GB2312" w:cs="仿宋_GB2312" w:eastAsia="仿宋_GB2312"/>
                    </w:rPr>
                    <w:t>铝合金材质，高≥1.5m,壁厚≥1mm</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米</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刀具库指纹锁</w:t>
                  </w:r>
                </w:p>
              </w:tc>
              <w:tc>
                <w:tcPr>
                  <w:tcW w:type="dxa" w:w="511"/>
                </w:tcPr>
                <w:p>
                  <w:pPr>
                    <w:pStyle w:val="null3"/>
                  </w:pPr>
                  <w:r>
                    <w:rPr>
                      <w:rFonts w:ascii="仿宋_GB2312" w:hAnsi="仿宋_GB2312" w:cs="仿宋_GB2312" w:eastAsia="仿宋_GB2312"/>
                    </w:rPr>
                    <w:t>通用安全门锁</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车床刀片（钢）</w:t>
                  </w:r>
                </w:p>
              </w:tc>
              <w:tc>
                <w:tcPr>
                  <w:tcW w:type="dxa" w:w="511"/>
                </w:tcPr>
                <w:p>
                  <w:pPr>
                    <w:pStyle w:val="null3"/>
                  </w:pPr>
                  <w:r>
                    <w:rPr>
                      <w:rFonts w:ascii="仿宋_GB2312" w:hAnsi="仿宋_GB2312" w:cs="仿宋_GB2312" w:eastAsia="仿宋_GB2312"/>
                    </w:rPr>
                    <w:t>45度416/20*25</w:t>
                  </w:r>
                </w:p>
              </w:tc>
              <w:tc>
                <w:tcPr>
                  <w:tcW w:type="dxa" w:w="511"/>
                </w:tcPr>
                <w:p>
                  <w:pPr>
                    <w:pStyle w:val="null3"/>
                  </w:pPr>
                  <w:r>
                    <w:rPr>
                      <w:rFonts w:ascii="仿宋_GB2312" w:hAnsi="仿宋_GB2312" w:cs="仿宋_GB2312" w:eastAsia="仿宋_GB2312"/>
                    </w:rPr>
                    <w:t>500</w:t>
                  </w:r>
                </w:p>
              </w:tc>
              <w:tc>
                <w:tcPr>
                  <w:tcW w:type="dxa" w:w="511"/>
                </w:tcPr>
                <w:p>
                  <w:pPr>
                    <w:pStyle w:val="null3"/>
                  </w:pPr>
                  <w:r>
                    <w:rPr>
                      <w:rFonts w:ascii="仿宋_GB2312" w:hAnsi="仿宋_GB2312" w:cs="仿宋_GB2312" w:eastAsia="仿宋_GB2312"/>
                    </w:rPr>
                    <w:t>把</w:t>
                  </w:r>
                </w:p>
              </w:tc>
            </w:tr>
          </w:tbl>
          <w:p/>
        </w:tc>
      </w:tr>
    </w:tbl>
    <w:p>
      <w:pPr>
        <w:pStyle w:val="null3"/>
      </w:pPr>
      <w:r>
        <w:rPr>
          <w:rFonts w:ascii="仿宋_GB2312" w:hAnsi="仿宋_GB2312" w:cs="仿宋_GB2312" w:eastAsia="仿宋_GB2312"/>
        </w:rPr>
        <w:t>标的名称：设计工作站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CPU主频≥2.0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内存≥16G</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固态硬盘≥2T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19英寸以上液晶显示器</w:t>
            </w:r>
          </w:p>
        </w:tc>
      </w:tr>
    </w:tbl>
    <w:p>
      <w:pPr>
        <w:pStyle w:val="null3"/>
      </w:pPr>
      <w:r>
        <w:rPr>
          <w:rFonts w:ascii="仿宋_GB2312" w:hAnsi="仿宋_GB2312" w:cs="仿宋_GB2312" w:eastAsia="仿宋_GB2312"/>
        </w:rPr>
        <w:t>标的名称：二氧化碳保护焊焊机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输入电源要求：额定电压：220V±10%，单相，50Hz；输出空载电压≥56V，功率因数≥0.73；输出电流调节范围50～200A</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额定负载持续率≥40%；焊枪冷却方式：气冷</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适用焊丝直径覆盖：0.8～1.0mm；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配置：送丝机1套(电缆≥5米)；气冷焊枪1套(电缆≥3米)；接地电缆1套(电缆≥2米)；二氧化碳加热气表一个；</w:t>
            </w:r>
          </w:p>
        </w:tc>
      </w:tr>
    </w:tbl>
    <w:p>
      <w:pPr>
        <w:pStyle w:val="null3"/>
      </w:pPr>
      <w:r>
        <w:rPr>
          <w:rFonts w:ascii="仿宋_GB2312" w:hAnsi="仿宋_GB2312" w:cs="仿宋_GB2312" w:eastAsia="仿宋_GB2312"/>
        </w:rPr>
        <w:t>标的名称：压力测试机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最大载荷：≥2000KN；试验力示值相对误差±1%；</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丝杠调整方式：电动；上下压板尺寸≥250×200mm；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承压板间最大距离：≥300mm；活塞最大行程≥25mm；最小加载速率≤0.1N/S；</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可实现保压控制，可编辑控制步骤：包括给定目标力值，给定荷载持续时间，给定循环次数。可自动处理数据并打印出应力应变曲线；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系统配置清单：试验机主机1台；油源控制柜1套；处理软件1套；油压传感器1只；</w:t>
            </w:r>
          </w:p>
        </w:tc>
      </w:tr>
    </w:tbl>
    <w:p>
      <w:pPr>
        <w:pStyle w:val="null3"/>
      </w:pPr>
      <w:r>
        <w:rPr>
          <w:rFonts w:ascii="仿宋_GB2312" w:hAnsi="仿宋_GB2312" w:cs="仿宋_GB2312" w:eastAsia="仿宋_GB2312"/>
        </w:rPr>
        <w:t>标的名称：学生实训工位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空间分隔外形尺寸宽×长×高≥3m×3m×2m；材质：岩棉净化板；厚度：≥5cm；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00"/>
              <w:jc w:val="left"/>
            </w:pPr>
            <w:r>
              <w:rPr>
                <w:rFonts w:ascii="仿宋_GB2312" w:hAnsi="仿宋_GB2312" w:cs="仿宋_GB2312" w:eastAsia="仿宋_GB2312"/>
              </w:rPr>
              <w:t>操作台尺寸：高*宽*长≥1m×1m×2m材质：不锈钢：304或316；台板厚度≥1cm，Q235表层：铺3-5mm耐高温橡胶板或厚不锈钢面板；钢支撑材质厚度≥1.5mm;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带排烟口及废气处理装置；带防弧光板窗口；各工位电路布设及机器接线口，插座数量≥3个；</w:t>
            </w:r>
          </w:p>
        </w:tc>
      </w:tr>
    </w:tbl>
    <w:p>
      <w:pPr>
        <w:pStyle w:val="null3"/>
      </w:pPr>
      <w:r>
        <w:rPr>
          <w:rFonts w:ascii="仿宋_GB2312" w:hAnsi="仿宋_GB2312" w:cs="仿宋_GB2312" w:eastAsia="仿宋_GB2312"/>
        </w:rPr>
        <w:t>标的名称：VR实训资源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VR实训资源1套。符合我国建筑行业施工最新标准；至少含建筑工程全过程施工VR实训资源，装饰装修工程VR实训资源，场景漫游VR实训资源，建筑认知VR实训资源，装配式建筑施工VR实训资源；</w:t>
            </w:r>
          </w:p>
        </w:tc>
      </w:tr>
    </w:tbl>
    <w:p>
      <w:pPr>
        <w:pStyle w:val="null3"/>
      </w:pPr>
      <w:r>
        <w:rPr>
          <w:rFonts w:ascii="仿宋_GB2312" w:hAnsi="仿宋_GB2312" w:cs="仿宋_GB2312" w:eastAsia="仿宋_GB2312"/>
        </w:rPr>
        <w:t>标的名称：教学水准仪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高程测量精度：≤1.5mm；距离测量精度：D≤10m：10mm；D＞10m：D*0.001；放大倍率：≥30x；</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00"/>
              <w:jc w:val="left"/>
            </w:pPr>
            <w:r>
              <w:rPr>
                <w:rFonts w:ascii="仿宋_GB2312" w:hAnsi="仿宋_GB2312" w:cs="仿宋_GB2312" w:eastAsia="仿宋_GB2312"/>
              </w:rPr>
              <w:t>补偿器补偿范围：≥10′，安平精度：≤0.5″；工作温度范围：-20℃-50℃；每台设备需配备铝合金脚架1个。</w:t>
            </w:r>
          </w:p>
        </w:tc>
      </w:tr>
    </w:tbl>
    <w:p>
      <w:pPr>
        <w:pStyle w:val="null3"/>
      </w:pPr>
      <w:r>
        <w:rPr>
          <w:rFonts w:ascii="仿宋_GB2312" w:hAnsi="仿宋_GB2312" w:cs="仿宋_GB2312" w:eastAsia="仿宋_GB2312"/>
        </w:rPr>
        <w:t>标的名称：双目工业相机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图像采集系统：配置双目工业相机，单台相机分辨率≥1920×1080P，有效像素≥500万。光源系统内置于箱体，提供均匀、无阴影、低热辐射照明环境，含合金脚架；</w:t>
            </w:r>
          </w:p>
        </w:tc>
      </w:tr>
    </w:tbl>
    <w:p>
      <w:pPr>
        <w:pStyle w:val="null3"/>
      </w:pPr>
      <w:r>
        <w:rPr>
          <w:rFonts w:ascii="仿宋_GB2312" w:hAnsi="仿宋_GB2312" w:cs="仿宋_GB2312" w:eastAsia="仿宋_GB2312"/>
        </w:rPr>
        <w:t>标的名称：教学天平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电子天平配置:集成高精度电子天平，称重分辨率≤0.001g，量程不低于 220 g,量程应满足最大试样质量需求；</w:t>
            </w:r>
          </w:p>
        </w:tc>
      </w:tr>
    </w:tbl>
    <w:p>
      <w:pPr>
        <w:pStyle w:val="null3"/>
      </w:pPr>
      <w:r>
        <w:rPr>
          <w:rFonts w:ascii="仿宋_GB2312" w:hAnsi="仿宋_GB2312" w:cs="仿宋_GB2312" w:eastAsia="仿宋_GB2312"/>
        </w:rPr>
        <w:t>标的名称：总有机碳测试仪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电源：AC 220V ± 10%；环境温度覆盖：10～35度，环境湿度覆盖：&lt;85%；至少包括：高温催化燃烧单元、自动进样器、NDIR检测器系统、电子气路控制系统、软件及控制系统；</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可进行总碳（TC）、总有机碳（TOC）、总有机碳离子（TOCi）、总无机碳（TIC）、挥发性有机碳（POC）和非挥发性有机碳（NPOC）的定量分析；适用于制药用水、超纯水、自来水、地表水、污水、废水、海水、发酵液体等所有水质以及经过前处理的植物、土壤样品分析；</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催化燃烧单元：高炉温≥1000 ℃；燃烧温度: ≥900℃；样品最高允许含盐量:≥80 g/L；品中颗粒物兼容性≥280μm；催化剂：兼容CeO2,Pt；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气路控制与测器系统：具有可以补偿气流流速引起的变化；气体流速数字化控制, 带有气体流量自动补偿校正系统；采用免维护的电子干燥装置，非化学干燥方式；：非色散红外检测器（NDIR）；测量范围：TOC：0～25000 mg/L ，检出限≤4ppb；重现性：不低于 2%；单次样品分析时间≤4 min；</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设备分析精度：可实现同一浓度不同体积绘制标准曲线，以500ppb的标准样品为基准液，设备测量0mL、0.2mL、0.4mL、0.6mL、0.8mL和1.0mL基准液得出标准曲线，要求相关线性系数≥0.999；</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固体样品分析模块：固体样品最大进样量≥2.5g；固体样品由样品舟直接进样。敞开式进样系统；</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固体燃烧管及自动进样器：耐温陶瓷材质。结构简洁，分析中不使用催化剂；超温报警功能：超过设定温度时系统自动报警提示；样品位≥20个；具有自动清洗功能；所有样品位带自动酸化功能；所有样品位带自动搅拌功能，搅拌速度可调；固体检测模块独立装置，独立供电；</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软件测试方法必须至少包含直接法和差减法两种测量方法；</w:t>
            </w:r>
          </w:p>
        </w:tc>
      </w:tr>
    </w:tbl>
    <w:p>
      <w:pPr>
        <w:pStyle w:val="null3"/>
      </w:pPr>
      <w:r>
        <w:rPr>
          <w:rFonts w:ascii="仿宋_GB2312" w:hAnsi="仿宋_GB2312" w:cs="仿宋_GB2312" w:eastAsia="仿宋_GB2312"/>
        </w:rPr>
        <w:t>标的名称：工作站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确保与TOC分析仪软件完全兼容，≥16核（8性能核+8能效核）</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独立显卡，显存≥8GB GDDR6；</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内存≥32GB DDR5 4800MHz；</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存储盘≥1TB SSD+2 TB SSD，</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27英寸IPS面板，4k；</w:t>
            </w:r>
          </w:p>
        </w:tc>
      </w:tr>
    </w:tbl>
    <w:p>
      <w:pPr>
        <w:pStyle w:val="null3"/>
      </w:pPr>
      <w:r>
        <w:rPr>
          <w:rFonts w:ascii="仿宋_GB2312" w:hAnsi="仿宋_GB2312" w:cs="仿宋_GB2312" w:eastAsia="仿宋_GB2312"/>
        </w:rPr>
        <w:t>标的名称：全自动比表面积分析仪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（一）硬件设备参数</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比表面积测量范围：≥0.0005(m2/g)；比表面积重复精度≤1.0%；孔径精准分析；孔径分析范围覆盖0.35～500 nm；最可几孔径重复偏差≤0.02 nm；总孔体积覆盖：0.0001 cc/g至无上限；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测试气体：N2、Ar、CO2、H2以及其他非腐蚀性气体；</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测试通量：≥4个微孔分析站和≥10个预处理站，双模组配置，每2个分析站共用一套升降系统和一个杜瓦瓶，分析和预处理可同时进行；4个分析站均支持原位脱气；</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预处理系统：原位及异位两种脱气方式，≥4个原位脱气外，≥6站的独立样品处理装置进行异位脱气。智能软件控制可进行≥6组独立控温，支持预约脱气开始时间；升温过程可以按需设置≥10个阶段；可实时显示各站脱气进度；控温范围：室温～400℃，控温精度≤0.1℃；</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脱气防抽飞：针对不同样品不同状态，通过稳流阀控制抽真空速率， 1.0～50.0mmHg/s 范围内的实时动态调节；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饱和压力站：饱和压力站配置专用压力传感器，不能与分析站共用；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压力传感器：配置1000 Torr、10 Torr、1 Torr三级压力传感器及0.001 mmHg真空计，实时对漏率进行监控，并带有提示软件。当系统漏率高于10μmmHg/15s时，软件自动弹窗提醒；</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冷体积控制：使用等温夹套进行冷体积控制，保证测试全程冷体积不变，适用于液氮、液氩、冰水等多种测试环境；</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空气隔离塞：针对空气敏感型样品，可使用空气隔离塞将其在回填气保护状态下转移至分析口；</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真空隔离塞：针对微孔样品，可使用真空隔离塞将其在真空状态下转移至分析口；</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自动后标定：可选自由空间自动后标定，即先进行吸附/脱附测试再进行氦气标定自由空间的全自动测试流程，微孔分析无氦污染；</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真空泵：无油干泵与分子泵双泵系统，极限真空度达1×10-8 Pa；</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杜瓦瓶：玻璃内胆杜瓦瓶（容积≥3L），保温时间≥72 h；</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防护门：垂直上推式防护门；</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测试进度灯条：内嵌测试进度指示灯条，实时反馈测试进度；</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设备自诊断：设备具备自诊断功能，一键开启自诊断流程并生成诊断报告，无需人工干预；</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（二）软件功能与参数</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数据处理模型：具备等温线，BET 比表面积、Langmuir 表面积、t-plot（吸附层厚度公式包括：、Kruk-Jaroniec-Sayari、Halsey、Harkins and Jura、Broekhoff-de Boer和Carbon Black STSA）、BJH吸脱附曲线、Dubinin-Radushkevich、Dubinin-Astakhov模型、Horvath-Kawazoe模型（孔形状包含：Slit-original H-K、Cylinder-Saito-Foley和Sphere）；</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密度函数理论数据库：DFT/NLDFT模型、CO2-DFT/NLDFT 法测量微孔技术、HS-2D-NLDFT 模型；可实现BET一键智能选点；NLDFT模型中自动生成“微孔、介孔、大孔”的孔容占比分析；</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注气模式：可选择按照目标压力注气或固定吸附量注气两种模式；</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实时监测：可以实时监测系统内部压力传感器的读数和阀门的状态，允许手动控制设备；</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设备具备自诊断功能，一键开启自诊断流程并生成诊断报告，具备集成多模态交互引擎的AI全知分析系统，可7×24小时智能诊断实验问题；</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提前预览分析结果：测试过程中可随时基于已收集数据生成报告；</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交互式数据处理：交互式数据处理界面，自定义选取数据范围，分析结果实时反馈；</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数据自动上传：提供标准的数据接口，自动上传测试数据</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软件具备吸附热分析模型，具备基于低温氢气吸附数据的微孔分析模型，温度≤80K；可用于评估极微孔的孔结构信息，微孔≤0.5 nm。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延安大学建筑工程学院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项目交货安装完成并验收合格后，投标人提供等额发票给采购人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（1）验收依据：招标文件、投标文件、澄清表/函(若有)、采购人和中标人双方签订的买卖合同。 （2）验收方法：设备到货时按合同清单、使用说明书和仪器装箱单由中标人和使用单位共同进行到货验收;到货后的一个月内，按相关技术指标要求、合同文件、招投标文件及仪器使用说明书由使用单位进行性能验收。到货验收和性能验收均合格的视为最终验收合格。 设备满足技术参数、调试安装完毕，可正常使用，且现场为本项目培训1-2名技术人员，使培训人员达到熟练掌握、灵活应用的程度。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全部设备至少质保1年，1年内无条件更换（含运费），3年无条件维修。维修响应时间不超过48小时。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按合同约定提供服务或未达到约定的服务标准、产品质量的，甲方有权解除合同，并可依法向乙方主张不低于合同总价款30%的违约金，造成损害的，可一并主张损害赔偿。甲方违约的，应当赔偿乙方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1.根据法律规定中标公告只公布主要标的的名称、规格型号、数量、单价，本项目主要标的为：核心产品。 2.支持本国产品： 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响应文件截止时间不足一年的可提供成立后任意时段的资产负债表），或提交自2025年10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法定代表人参加投标的，投标文件中须附身份证；法定代表人授权他人参加投标的，投标文件中须附法定代表人授权委托书及被授权人身份证。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开标一览表 本国产品说明 中小企业声明函 商务部分偏离表.docx 1技术响应与偏离表（技术参数）.docx 中国境内生产的组件成本核算基本规则 资格证明文件.docx 分项价格表.docx 10其他资料.docx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满足本招标文件3.4商务要求中交货时间、交货地点、支付方式、支付约定、质量保修范围和保修期要求的</w:t>
            </w:r>
          </w:p>
        </w:tc>
        <w:tc>
          <w:tcPr>
            <w:tcW w:type="dxa" w:w="1661"/>
          </w:tcPr>
          <w:p>
            <w:pPr>
              <w:pStyle w:val="null3"/>
            </w:pPr>
            <w:r>
              <w:rPr>
                <w:rFonts w:ascii="仿宋_GB2312" w:hAnsi="仿宋_GB2312" w:cs="仿宋_GB2312" w:eastAsia="仿宋_GB2312"/>
              </w:rPr>
              <w:t>投标文件封面 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10其他资料.docx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基本分30分： ①标“▲”参数，投标人满足参数要求的每项得1.5分，满分21分。“▲”指标必须提供有效佐证材料，否则视为负偏离。 ②标“★”参数投标人必须满足，并提供有效佐证材料，不满足或未提供有效佐证材料视为负偏离，按无效文件处理。 ③非“▲”、“★”参数（以投标人的技术响应偏离表响应情况为准），得分=（投标人满足采购人要求的参数数量/参数总数量）×9分，满分9分。得分保留小数点后两位数，小数点后第三位四舍五入。 备注： 1.所有产品完全复制招标文件技术指标要求的，给予10分扣分。文字描述、国标、定制尺寸的技术指标除外。 2.佐证材料可为产品技术说明、检测报告或产品彩页或软件功能截图或实物图，并须加盖公章。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1技术响应与偏离表（技术参数）.docx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供应商针对本项目需求提供整体实施方案。内容包含：①供货组织安排②进度安排③实施重点难点分析。 满足项目实施需求，无瑕疵，计9分； 每有一项缺项，扣3分，每项出现一处瑕疵扣0.5分； 存在18处及以上瑕疵或未提供，不计分。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供应商根据项目实际需求，提供质量保证方案。内容包含：①产品性能、设备选型、产品使用寿命及效果②质量保证措施。 满足项目实施需求，无瑕疵，计4分； 每有一项缺项，扣2分，每项出现一处瑕疵扣0.5分；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提供所投核心产品合法来源渠道证明文件（包括但不限于销售协议或代理协议或原厂授权等）的计2分，未提供或链条不完整均不计分。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4供货渠道证明.docx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供应商根据项目需求提供验收方案。内容包含：①设备安装调试②验收方案； 满足项目实施需求，无瑕疵，计3分； 每有一项缺项，扣1.5分，每项出现一处瑕疵扣0.5分；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5验收方案.docx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针对本项目具有可行的技术培训方案。包括①培训计划（含培训计划表、地点、时间及培训对象人数等）、培训内容（含所提供产品的原理和技术性能、操作维护方法、安装调试、排除故障等）②培训质量（确保培训后至少1—3人熟练操作设备）。 满足项目实施需求，无瑕疵，计4分； 每有一项缺项，扣2分，每项出现一处瑕疵扣0.5分；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根据项目实际需求提供售后服务方案。内容包含：①具有本地化履约服务能力（提供相关证明材料）、售后服务流程、服务方式、响应时间②应急处理方案、仪器保养和维护的日程安排及措施。 满足项目实施需求，无瑕疵，计4分； 每有一项缺项，扣2分，每项出现一处瑕疵扣0.5分； 存在8处及以上瑕疵或未提供，不计分。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有一项为优先节能产品经国家认证的得0.5分，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提供投标人2023年1月1日至今同类项目合同（以合同签订日期为准），每提供1个得1分，最高得3分。 备注：投标文件中提供合同扫描件加盖公章。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 备注： 1、计算分数时四舍五入取小数点后两位； 2、落实采购政策：详见价格扣除。 3、本项目落实支持中小企业发展政策及对本国产品的支持政策，用扣除后的价格参与价格分计算。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详见附件：1技术响应与偏离表（技术参数）.docx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详见附件：3质量保证.docx</w:t>
      </w:r>
    </w:p>
    <w:p>
      <w:pPr>
        <w:pStyle w:val="null3"/>
        <w:ind w:firstLine="960"/>
      </w:pPr>
      <w:r>
        <w:rPr>
          <w:rFonts w:ascii="仿宋_GB2312" w:hAnsi="仿宋_GB2312" w:cs="仿宋_GB2312" w:eastAsia="仿宋_GB2312"/>
        </w:rPr>
        <w:t>详见附件：4供货渠道证明.docx</w:t>
      </w:r>
    </w:p>
    <w:p>
      <w:pPr>
        <w:pStyle w:val="null3"/>
        <w:ind w:firstLine="960"/>
      </w:pPr>
      <w:r>
        <w:rPr>
          <w:rFonts w:ascii="仿宋_GB2312" w:hAnsi="仿宋_GB2312" w:cs="仿宋_GB2312" w:eastAsia="仿宋_GB2312"/>
        </w:rPr>
        <w:t>详见附件：5验收方案.docx</w:t>
      </w:r>
    </w:p>
    <w:p>
      <w:pPr>
        <w:pStyle w:val="null3"/>
        <w:ind w:firstLine="960"/>
      </w:pPr>
      <w:r>
        <w:rPr>
          <w:rFonts w:ascii="仿宋_GB2312" w:hAnsi="仿宋_GB2312" w:cs="仿宋_GB2312" w:eastAsia="仿宋_GB2312"/>
        </w:rPr>
        <w:t>详见附件：6培训.docx</w:t>
      </w:r>
    </w:p>
    <w:p>
      <w:pPr>
        <w:pStyle w:val="null3"/>
        <w:ind w:firstLine="960"/>
      </w:pPr>
      <w:r>
        <w:rPr>
          <w:rFonts w:ascii="仿宋_GB2312" w:hAnsi="仿宋_GB2312" w:cs="仿宋_GB2312" w:eastAsia="仿宋_GB2312"/>
        </w:rPr>
        <w:t>详见附件：7售后服务.docx</w:t>
      </w:r>
    </w:p>
    <w:p>
      <w:pPr>
        <w:pStyle w:val="null3"/>
        <w:ind w:firstLine="960"/>
      </w:pPr>
      <w:r>
        <w:rPr>
          <w:rFonts w:ascii="仿宋_GB2312" w:hAnsi="仿宋_GB2312" w:cs="仿宋_GB2312" w:eastAsia="仿宋_GB2312"/>
        </w:rPr>
        <w:t>详见附件：8节能环保.docx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详见附件：10其他资料.docx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