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版本号：SYZB-2026-02620260708001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中文纸质期刊采购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SYZB-2026-026</w:t>
      </w:r>
      <w:r>
        <w:br/>
      </w:r>
      <w:r>
        <w:br/>
      </w:r>
      <w:r>
        <w:br/>
      </w:r>
    </w:p>
    <w:p>
      <w:pPr>
        <w:pStyle w:val="null3"/>
        <w:jc w:val="center"/>
        <w:outlineLvl w:val="2"/>
      </w:pPr>
      <w:r>
        <w:rPr>
          <w:rFonts w:ascii="仿宋_GB2312" w:hAnsi="仿宋_GB2312" w:cs="仿宋_GB2312" w:eastAsia="仿宋_GB2312"/>
          <w:sz w:val="28"/>
          <w:b/>
        </w:rPr>
        <w:t>西安图书馆</w:t>
      </w:r>
    </w:p>
    <w:p>
      <w:pPr>
        <w:pStyle w:val="null3"/>
        <w:jc w:val="center"/>
        <w:outlineLvl w:val="2"/>
      </w:pPr>
      <w:r>
        <w:rPr>
          <w:rFonts w:ascii="仿宋_GB2312" w:hAnsi="仿宋_GB2312" w:cs="仿宋_GB2312" w:eastAsia="仿宋_GB2312"/>
          <w:sz w:val="28"/>
          <w:b/>
        </w:rPr>
        <w:t>陕西朔宇项目管理有限公司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陕西朔宇项目管理有限公司</w:t>
      </w:r>
      <w:r>
        <w:rPr>
          <w:rFonts w:ascii="仿宋_GB2312" w:hAnsi="仿宋_GB2312" w:cs="仿宋_GB2312" w:eastAsia="仿宋_GB2312"/>
        </w:rPr>
        <w:t>（以下简称“代理机构”）受</w:t>
      </w:r>
      <w:r>
        <w:rPr>
          <w:rFonts w:ascii="仿宋_GB2312" w:hAnsi="仿宋_GB2312" w:cs="仿宋_GB2312" w:eastAsia="仿宋_GB2312"/>
        </w:rPr>
        <w:t>西安图书馆</w:t>
      </w:r>
      <w:r>
        <w:rPr>
          <w:rFonts w:ascii="仿宋_GB2312" w:hAnsi="仿宋_GB2312" w:cs="仿宋_GB2312" w:eastAsia="仿宋_GB2312"/>
        </w:rPr>
        <w:t>委托，拟对</w:t>
      </w:r>
      <w:r>
        <w:rPr>
          <w:rFonts w:ascii="仿宋_GB2312" w:hAnsi="仿宋_GB2312" w:cs="仿宋_GB2312" w:eastAsia="仿宋_GB2312"/>
        </w:rPr>
        <w:t>中文纸质期刊采购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SYZB-2026-026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中文纸质期刊采购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中文纸质期刊采购，计划采购中文期刊约1240种。（具体采购内容及要求详见竞争性磋商文件）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2、财务状况报告（任选其一）：提供①2024年度或2025年度经审计的完整财务审计报告（成立时间至提交响应文件截止时间不足一年的可提供成立后任意时段的资产负债表）； ②或提交响应文件截止时间三个月内其基本账户开户银行出具的资信证明（附基本存款账户信息）。</w:t>
      </w:r>
    </w:p>
    <w:p>
      <w:pPr>
        <w:pStyle w:val="null3"/>
      </w:pPr>
      <w:r>
        <w:rPr>
          <w:rFonts w:ascii="仿宋_GB2312" w:hAnsi="仿宋_GB2312" w:cs="仿宋_GB2312" w:eastAsia="仿宋_GB2312"/>
        </w:rPr>
        <w:t>3、社保缴纳证明：提交响应文件截止时间前一年内至少一个月的社会保障资金缴存单据或社保机构开具的社会保险参保缴费情况证明，依法不需要缴纳社会保障资金的单位应提供相关证明材料。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4、税收缴纳证明：提供递交响应文件截止之日前一年内任意一个月的纳税证明或完税证明，依法免税的单位应提供相关证明材料。</w:t>
      </w:r>
    </w:p>
    <w:p>
      <w:pPr>
        <w:pStyle w:val="null3"/>
      </w:pPr>
      <w:r>
        <w:rPr>
          <w:rFonts w:ascii="仿宋_GB2312" w:hAnsi="仿宋_GB2312" w:cs="仿宋_GB2312" w:eastAsia="仿宋_GB2312"/>
        </w:rPr>
        <w:t>5、无重大违法记录声明：提供参加本次政府采购活动前3年内在经营活动中没有重大违法记录的书面声明。</w:t>
      </w:r>
    </w:p>
    <w:p>
      <w:pPr>
        <w:pStyle w:val="null3"/>
      </w:pPr>
      <w:r>
        <w:rPr>
          <w:rFonts w:ascii="仿宋_GB2312" w:hAnsi="仿宋_GB2312" w:cs="仿宋_GB2312" w:eastAsia="仿宋_GB2312"/>
        </w:rPr>
        <w:t>6、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7、声明：提供具有履行本合同所必需的设备和专业技术能力的声明。</w:t>
      </w:r>
    </w:p>
    <w:p>
      <w:pPr>
        <w:pStyle w:val="null3"/>
      </w:pPr>
      <w:r>
        <w:rPr>
          <w:rFonts w:ascii="仿宋_GB2312" w:hAnsi="仿宋_GB2312" w:cs="仿宋_GB2312" w:eastAsia="仿宋_GB2312"/>
        </w:rPr>
        <w:t>8、法定代表人授权委托书：法定代表人直接参加投标的须出具法定代表人身份证明及法定代表人身份证；法定代表人授权代表参加投标的须出具法定代表人授权书及授权代表身份证。</w:t>
      </w:r>
    </w:p>
    <w:p>
      <w:pPr>
        <w:pStyle w:val="null3"/>
      </w:pPr>
      <w:r>
        <w:rPr>
          <w:rFonts w:ascii="仿宋_GB2312" w:hAnsi="仿宋_GB2312" w:cs="仿宋_GB2312" w:eastAsia="仿宋_GB2312"/>
        </w:rPr>
        <w:t>9、本项目不接受联合体投标，不允许分包：本项目不接受联合体投标，不允许分包；供应商应提供《非联合体不分包投标声明》，视为独立投标，不分包。</w:t>
      </w:r>
    </w:p>
    <w:p>
      <w:pPr>
        <w:pStyle w:val="null3"/>
      </w:pPr>
      <w:r>
        <w:rPr>
          <w:rFonts w:ascii="仿宋_GB2312" w:hAnsi="仿宋_GB2312" w:cs="仿宋_GB2312" w:eastAsia="仿宋_GB2312"/>
        </w:rPr>
        <w:t>10、出版物经营许可证：出版物经营许可证：供应商提供合法有效的出版物经营许可证。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西安图书馆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西安市未央区广运潭大道5333号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18591931817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陕西朔宇项目管理有限公司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陕西省西安市莲湖区丰禾路251号鑫苑中心10层1016室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029-81501935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采购）代理服务费参照国家计委关于印发《招标代理服务收费管理暂行办法》的通知（计价格〔2002〕1980号）、《国家发展和改革委员会办公厅关于招标代理服务收费有关问题的通知》（发改办价格〔2003〕857号）标准，以实际中标（成交）金额为准确定招标代理服务费。 代理服务费账号信息如下： 公司名称：陕西朔宇项目管理有限公司 开户行：中国农业银行股份有限公司陕西自贸区西安唐延南路支行 账号：26126501040008944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西安图书馆</w:t>
      </w:r>
      <w:r>
        <w:rPr>
          <w:rFonts w:ascii="仿宋_GB2312" w:hAnsi="仿宋_GB2312" w:cs="仿宋_GB2312" w:eastAsia="仿宋_GB2312"/>
        </w:rPr>
        <w:t>和</w:t>
      </w:r>
      <w:r>
        <w:rPr>
          <w:rFonts w:ascii="仿宋_GB2312" w:hAnsi="仿宋_GB2312" w:cs="仿宋_GB2312" w:eastAsia="仿宋_GB2312"/>
        </w:rPr>
        <w:t>陕西朔宇项目管理有限公司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西安图书馆</w:t>
      </w:r>
      <w:r>
        <w:rPr>
          <w:rFonts w:ascii="仿宋_GB2312" w:hAnsi="仿宋_GB2312" w:cs="仿宋_GB2312" w:eastAsia="仿宋_GB2312"/>
        </w:rPr>
        <w:t>负责解释。除上述磋商文件内容，其他内容由</w:t>
      </w:r>
      <w:r>
        <w:rPr>
          <w:rFonts w:ascii="仿宋_GB2312" w:hAnsi="仿宋_GB2312" w:cs="仿宋_GB2312" w:eastAsia="仿宋_GB2312"/>
        </w:rPr>
        <w:t>陕西朔宇项目管理有限公司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西安图书馆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陕西朔宇项目管理有限公司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所验服务最终验收达不到磋商文件要求和响应文件承诺及国家或行业标准，或在使用中发现甲方不能容忍的缺陷等，将视为验收不合格，供应商应在甲方要求的时间内无条件完善或要求赔付甲方损失。 验收标准：按磋商文件、响应文件等技术指标进行逐项验收。各项指标均应符合验收标准及要求。 验收合格后，填写验收单，双方签字生效。 验收依据：（1）合同文本。（2）磋商文件、响应文件。（3）国家和行业制定的相应的标准和规范。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陕西朔宇项目管理有限公司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陕西朔宇项目管理有限公司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陕西朔宇项目管理有限公司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联系人：高倩</w:t>
      </w:r>
    </w:p>
    <w:p>
      <w:pPr>
        <w:pStyle w:val="null3"/>
      </w:pPr>
      <w:r>
        <w:rPr>
          <w:rFonts w:ascii="仿宋_GB2312" w:hAnsi="仿宋_GB2312" w:cs="仿宋_GB2312" w:eastAsia="仿宋_GB2312"/>
        </w:rPr>
        <w:t>联系电话：029-81501935</w:t>
      </w:r>
    </w:p>
    <w:p>
      <w:pPr>
        <w:pStyle w:val="null3"/>
      </w:pPr>
      <w:r>
        <w:rPr>
          <w:rFonts w:ascii="仿宋_GB2312" w:hAnsi="仿宋_GB2312" w:cs="仿宋_GB2312" w:eastAsia="仿宋_GB2312"/>
        </w:rPr>
        <w:t>地址：陕西省西安市莲湖区丰禾路251号鑫苑中心10层1016室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中文纸质期刊采购，计划采购中文期刊约1240种。（具体采购内容及要求详见竞争性磋商文件）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中文纸质期刊</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标的名称：中文纸质期刊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w:t>
            </w:r>
            <w:r>
              <w:rPr>
                <w:rFonts w:ascii="仿宋_GB2312" w:hAnsi="仿宋_GB2312" w:cs="仿宋_GB2312" w:eastAsia="仿宋_GB2312"/>
                <w:sz w:val="20"/>
                <w:b/>
              </w:rPr>
              <w:t>技术要求</w:t>
            </w:r>
          </w:p>
          <w:p>
            <w:pPr>
              <w:pStyle w:val="null3"/>
              <w:ind w:firstLine="350"/>
              <w:jc w:val="both"/>
            </w:pPr>
            <w:r>
              <w:rPr>
                <w:rFonts w:ascii="仿宋_GB2312" w:hAnsi="仿宋_GB2312" w:cs="仿宋_GB2312" w:eastAsia="仿宋_GB2312"/>
                <w:sz w:val="20"/>
              </w:rPr>
              <w:t>1、供应商应保证能在成交后立刻提供本单位期刊采购网站，期刊采访数据、标准期刊MARC数据给采购人试用。</w:t>
            </w:r>
          </w:p>
          <w:p>
            <w:pPr>
              <w:pStyle w:val="null3"/>
              <w:ind w:firstLine="350"/>
              <w:jc w:val="both"/>
            </w:pPr>
            <w:r>
              <w:rPr>
                <w:rFonts w:ascii="仿宋_GB2312" w:hAnsi="仿宋_GB2312" w:cs="仿宋_GB2312" w:eastAsia="仿宋_GB2312"/>
                <w:sz w:val="20"/>
              </w:rPr>
              <w:t>2、供应商应随书提供规范的机读编目数据（数据要求参见《中文期刊机读目录编目规则》、《CALIS联机合作编目手册》），并且其数据须完全符合采购人期刊集成管理系统Interlib系统的格式及运行要求，以下机读编目数据需必备：</w:t>
            </w:r>
          </w:p>
          <w:p>
            <w:pPr>
              <w:pStyle w:val="null3"/>
              <w:jc w:val="both"/>
            </w:pPr>
            <w:r>
              <w:rPr>
                <w:rFonts w:ascii="仿宋_GB2312" w:hAnsi="仿宋_GB2312" w:cs="仿宋_GB2312" w:eastAsia="仿宋_GB2312"/>
                <w:sz w:val="20"/>
              </w:rPr>
              <w:t>001</w:t>
            </w:r>
            <w:r>
              <w:rPr>
                <w:rFonts w:ascii="仿宋_GB2312" w:hAnsi="仿宋_GB2312" w:cs="仿宋_GB2312" w:eastAsia="仿宋_GB2312"/>
                <w:sz w:val="20"/>
              </w:rPr>
              <w:t>（自动生成）</w:t>
            </w:r>
          </w:p>
          <w:p>
            <w:pPr>
              <w:pStyle w:val="null3"/>
              <w:jc w:val="both"/>
            </w:pPr>
            <w:r>
              <w:rPr>
                <w:rFonts w:ascii="仿宋_GB2312" w:hAnsi="仿宋_GB2312" w:cs="仿宋_GB2312" w:eastAsia="仿宋_GB2312"/>
                <w:sz w:val="20"/>
              </w:rPr>
              <w:t>011</w:t>
            </w:r>
            <w:r>
              <w:rPr>
                <w:rFonts w:ascii="仿宋_GB2312" w:hAnsi="仿宋_GB2312" w:cs="仿宋_GB2312" w:eastAsia="仿宋_GB2312"/>
                <w:sz w:val="20"/>
              </w:rPr>
              <w:t xml:space="preserve"> </w:t>
            </w:r>
            <w:r>
              <w:rPr>
                <w:rFonts w:ascii="仿宋_GB2312" w:hAnsi="仿宋_GB2312" w:cs="仿宋_GB2312" w:eastAsia="仿宋_GB2312"/>
                <w:sz w:val="20"/>
              </w:rPr>
              <w:t>国际标准连续出版物号</w:t>
            </w:r>
            <w:r>
              <w:rPr>
                <w:rFonts w:ascii="仿宋_GB2312" w:hAnsi="仿宋_GB2312" w:cs="仿宋_GB2312" w:eastAsia="仿宋_GB2312"/>
                <w:sz w:val="20"/>
              </w:rPr>
              <w:t>(ISSN)</w:t>
            </w:r>
          </w:p>
          <w:p>
            <w:pPr>
              <w:pStyle w:val="null3"/>
              <w:jc w:val="both"/>
            </w:pPr>
            <w:r>
              <w:rPr>
                <w:rFonts w:ascii="仿宋_GB2312" w:hAnsi="仿宋_GB2312" w:cs="仿宋_GB2312" w:eastAsia="仿宋_GB2312"/>
                <w:sz w:val="20"/>
              </w:rPr>
              <w:t>091</w:t>
            </w:r>
            <w:r>
              <w:rPr>
                <w:rFonts w:ascii="仿宋_GB2312" w:hAnsi="仿宋_GB2312" w:cs="仿宋_GB2312" w:eastAsia="仿宋_GB2312"/>
                <w:sz w:val="20"/>
              </w:rPr>
              <w:t xml:space="preserve"> </w:t>
            </w:r>
            <w:r>
              <w:rPr>
                <w:rFonts w:ascii="仿宋_GB2312" w:hAnsi="仿宋_GB2312" w:cs="仿宋_GB2312" w:eastAsia="仿宋_GB2312"/>
                <w:sz w:val="20"/>
              </w:rPr>
              <w:t>统一刊号</w:t>
            </w:r>
          </w:p>
          <w:p>
            <w:pPr>
              <w:pStyle w:val="null3"/>
              <w:jc w:val="both"/>
            </w:pPr>
            <w:r>
              <w:rPr>
                <w:rFonts w:ascii="仿宋_GB2312" w:hAnsi="仿宋_GB2312" w:cs="仿宋_GB2312" w:eastAsia="仿宋_GB2312"/>
                <w:sz w:val="20"/>
              </w:rPr>
              <w:t>092</w:t>
            </w:r>
            <w:r>
              <w:rPr>
                <w:rFonts w:ascii="仿宋_GB2312" w:hAnsi="仿宋_GB2312" w:cs="仿宋_GB2312" w:eastAsia="仿宋_GB2312"/>
                <w:sz w:val="20"/>
              </w:rPr>
              <w:t xml:space="preserve"> </w:t>
            </w:r>
            <w:r>
              <w:rPr>
                <w:rFonts w:ascii="仿宋_GB2312" w:hAnsi="仿宋_GB2312" w:cs="仿宋_GB2312" w:eastAsia="仿宋_GB2312"/>
                <w:sz w:val="20"/>
              </w:rPr>
              <w:t>订购号</w:t>
            </w:r>
          </w:p>
          <w:p>
            <w:pPr>
              <w:pStyle w:val="null3"/>
              <w:jc w:val="both"/>
            </w:pPr>
            <w:r>
              <w:rPr>
                <w:rFonts w:ascii="仿宋_GB2312" w:hAnsi="仿宋_GB2312" w:cs="仿宋_GB2312" w:eastAsia="仿宋_GB2312"/>
                <w:sz w:val="20"/>
              </w:rPr>
              <w:t>101</w:t>
            </w:r>
            <w:r>
              <w:rPr>
                <w:rFonts w:ascii="仿宋_GB2312" w:hAnsi="仿宋_GB2312" w:cs="仿宋_GB2312" w:eastAsia="仿宋_GB2312"/>
                <w:sz w:val="20"/>
              </w:rPr>
              <w:t xml:space="preserve"> </w:t>
            </w:r>
            <w:r>
              <w:rPr>
                <w:rFonts w:ascii="仿宋_GB2312" w:hAnsi="仿宋_GB2312" w:cs="仿宋_GB2312" w:eastAsia="仿宋_GB2312"/>
                <w:sz w:val="20"/>
              </w:rPr>
              <w:t>作品语种</w:t>
            </w:r>
          </w:p>
          <w:p>
            <w:pPr>
              <w:pStyle w:val="null3"/>
              <w:jc w:val="both"/>
            </w:pPr>
            <w:r>
              <w:rPr>
                <w:rFonts w:ascii="仿宋_GB2312" w:hAnsi="仿宋_GB2312" w:cs="仿宋_GB2312" w:eastAsia="仿宋_GB2312"/>
                <w:sz w:val="20"/>
              </w:rPr>
              <w:t>102</w:t>
            </w:r>
            <w:r>
              <w:rPr>
                <w:rFonts w:ascii="仿宋_GB2312" w:hAnsi="仿宋_GB2312" w:cs="仿宋_GB2312" w:eastAsia="仿宋_GB2312"/>
                <w:sz w:val="20"/>
              </w:rPr>
              <w:t xml:space="preserve"> </w:t>
            </w:r>
            <w:r>
              <w:rPr>
                <w:rFonts w:ascii="仿宋_GB2312" w:hAnsi="仿宋_GB2312" w:cs="仿宋_GB2312" w:eastAsia="仿宋_GB2312"/>
                <w:sz w:val="20"/>
              </w:rPr>
              <w:t>出版或制作国别</w:t>
            </w:r>
          </w:p>
          <w:p>
            <w:pPr>
              <w:pStyle w:val="null3"/>
              <w:jc w:val="both"/>
            </w:pPr>
            <w:r>
              <w:rPr>
                <w:rFonts w:ascii="仿宋_GB2312" w:hAnsi="仿宋_GB2312" w:cs="仿宋_GB2312" w:eastAsia="仿宋_GB2312"/>
                <w:sz w:val="20"/>
              </w:rPr>
              <w:t>200</w:t>
            </w:r>
            <w:r>
              <w:rPr>
                <w:rFonts w:ascii="仿宋_GB2312" w:hAnsi="仿宋_GB2312" w:cs="仿宋_GB2312" w:eastAsia="仿宋_GB2312"/>
                <w:sz w:val="20"/>
              </w:rPr>
              <w:t xml:space="preserve"> </w:t>
            </w:r>
            <w:r>
              <w:rPr>
                <w:rFonts w:ascii="仿宋_GB2312" w:hAnsi="仿宋_GB2312" w:cs="仿宋_GB2312" w:eastAsia="仿宋_GB2312"/>
                <w:sz w:val="20"/>
              </w:rPr>
              <w:t>题名与责任说明项</w:t>
            </w:r>
          </w:p>
          <w:p>
            <w:pPr>
              <w:pStyle w:val="null3"/>
              <w:jc w:val="both"/>
            </w:pPr>
            <w:r>
              <w:rPr>
                <w:rFonts w:ascii="仿宋_GB2312" w:hAnsi="仿宋_GB2312" w:cs="仿宋_GB2312" w:eastAsia="仿宋_GB2312"/>
                <w:sz w:val="20"/>
              </w:rPr>
              <w:t>207</w:t>
            </w:r>
            <w:r>
              <w:rPr>
                <w:rFonts w:ascii="仿宋_GB2312" w:hAnsi="仿宋_GB2312" w:cs="仿宋_GB2312" w:eastAsia="仿宋_GB2312"/>
                <w:sz w:val="20"/>
              </w:rPr>
              <w:t xml:space="preserve"> </w:t>
            </w:r>
            <w:r>
              <w:rPr>
                <w:rFonts w:ascii="仿宋_GB2312" w:hAnsi="仿宋_GB2312" w:cs="仿宋_GB2312" w:eastAsia="仿宋_GB2312"/>
                <w:sz w:val="20"/>
              </w:rPr>
              <w:t>卷期年月或其它标识项</w:t>
            </w:r>
          </w:p>
          <w:p>
            <w:pPr>
              <w:pStyle w:val="null3"/>
              <w:jc w:val="both"/>
            </w:pPr>
            <w:r>
              <w:rPr>
                <w:rFonts w:ascii="仿宋_GB2312" w:hAnsi="仿宋_GB2312" w:cs="仿宋_GB2312" w:eastAsia="仿宋_GB2312"/>
                <w:sz w:val="20"/>
              </w:rPr>
              <w:t>210</w:t>
            </w:r>
            <w:r>
              <w:rPr>
                <w:rFonts w:ascii="仿宋_GB2312" w:hAnsi="仿宋_GB2312" w:cs="仿宋_GB2312" w:eastAsia="仿宋_GB2312"/>
                <w:sz w:val="20"/>
              </w:rPr>
              <w:t xml:space="preserve"> </w:t>
            </w:r>
            <w:r>
              <w:rPr>
                <w:rFonts w:ascii="仿宋_GB2312" w:hAnsi="仿宋_GB2312" w:cs="仿宋_GB2312" w:eastAsia="仿宋_GB2312"/>
                <w:sz w:val="20"/>
              </w:rPr>
              <w:t>出版发行项</w:t>
            </w:r>
          </w:p>
          <w:p>
            <w:pPr>
              <w:pStyle w:val="null3"/>
              <w:jc w:val="both"/>
            </w:pPr>
            <w:r>
              <w:rPr>
                <w:rFonts w:ascii="仿宋_GB2312" w:hAnsi="仿宋_GB2312" w:cs="仿宋_GB2312" w:eastAsia="仿宋_GB2312"/>
                <w:sz w:val="20"/>
              </w:rPr>
              <w:t>215</w:t>
            </w:r>
            <w:r>
              <w:rPr>
                <w:rFonts w:ascii="仿宋_GB2312" w:hAnsi="仿宋_GB2312" w:cs="仿宋_GB2312" w:eastAsia="仿宋_GB2312"/>
                <w:sz w:val="20"/>
              </w:rPr>
              <w:t xml:space="preserve"> </w:t>
            </w:r>
            <w:r>
              <w:rPr>
                <w:rFonts w:ascii="仿宋_GB2312" w:hAnsi="仿宋_GB2312" w:cs="仿宋_GB2312" w:eastAsia="仿宋_GB2312"/>
                <w:sz w:val="20"/>
              </w:rPr>
              <w:t>载体形态项</w:t>
            </w:r>
          </w:p>
          <w:p>
            <w:pPr>
              <w:pStyle w:val="null3"/>
              <w:jc w:val="both"/>
            </w:pPr>
            <w:r>
              <w:rPr>
                <w:rFonts w:ascii="仿宋_GB2312" w:hAnsi="仿宋_GB2312" w:cs="仿宋_GB2312" w:eastAsia="仿宋_GB2312"/>
                <w:sz w:val="20"/>
              </w:rPr>
              <w:t>300</w:t>
            </w:r>
            <w:r>
              <w:rPr>
                <w:rFonts w:ascii="仿宋_GB2312" w:hAnsi="仿宋_GB2312" w:cs="仿宋_GB2312" w:eastAsia="仿宋_GB2312"/>
                <w:sz w:val="20"/>
              </w:rPr>
              <w:t xml:space="preserve"> </w:t>
            </w:r>
            <w:r>
              <w:rPr>
                <w:rFonts w:ascii="仿宋_GB2312" w:hAnsi="仿宋_GB2312" w:cs="仿宋_GB2312" w:eastAsia="仿宋_GB2312"/>
                <w:sz w:val="20"/>
              </w:rPr>
              <w:t>一般性附注</w:t>
            </w:r>
          </w:p>
          <w:p>
            <w:pPr>
              <w:pStyle w:val="null3"/>
              <w:jc w:val="both"/>
            </w:pPr>
            <w:r>
              <w:rPr>
                <w:rFonts w:ascii="仿宋_GB2312" w:hAnsi="仿宋_GB2312" w:cs="仿宋_GB2312" w:eastAsia="仿宋_GB2312"/>
                <w:sz w:val="20"/>
              </w:rPr>
              <w:t>326</w:t>
            </w:r>
            <w:r>
              <w:rPr>
                <w:rFonts w:ascii="仿宋_GB2312" w:hAnsi="仿宋_GB2312" w:cs="仿宋_GB2312" w:eastAsia="仿宋_GB2312"/>
                <w:sz w:val="20"/>
              </w:rPr>
              <w:t xml:space="preserve"> </w:t>
            </w:r>
            <w:r>
              <w:rPr>
                <w:rFonts w:ascii="仿宋_GB2312" w:hAnsi="仿宋_GB2312" w:cs="仿宋_GB2312" w:eastAsia="仿宋_GB2312"/>
                <w:sz w:val="20"/>
              </w:rPr>
              <w:t>出版周期</w:t>
            </w:r>
          </w:p>
          <w:p>
            <w:pPr>
              <w:pStyle w:val="null3"/>
              <w:jc w:val="both"/>
            </w:pPr>
            <w:r>
              <w:rPr>
                <w:rFonts w:ascii="仿宋_GB2312" w:hAnsi="仿宋_GB2312" w:cs="仿宋_GB2312" w:eastAsia="仿宋_GB2312"/>
                <w:sz w:val="20"/>
              </w:rPr>
              <w:t>430</w:t>
            </w:r>
            <w:r>
              <w:rPr>
                <w:rFonts w:ascii="仿宋_GB2312" w:hAnsi="仿宋_GB2312" w:cs="仿宋_GB2312" w:eastAsia="仿宋_GB2312"/>
                <w:sz w:val="20"/>
              </w:rPr>
              <w:t xml:space="preserve"> </w:t>
            </w:r>
            <w:r>
              <w:rPr>
                <w:rFonts w:ascii="仿宋_GB2312" w:hAnsi="仿宋_GB2312" w:cs="仿宋_GB2312" w:eastAsia="仿宋_GB2312"/>
                <w:sz w:val="20"/>
              </w:rPr>
              <w:t>继承</w:t>
            </w:r>
          </w:p>
          <w:p>
            <w:pPr>
              <w:pStyle w:val="null3"/>
              <w:jc w:val="both"/>
            </w:pPr>
            <w:r>
              <w:rPr>
                <w:rFonts w:ascii="仿宋_GB2312" w:hAnsi="仿宋_GB2312" w:cs="仿宋_GB2312" w:eastAsia="仿宋_GB2312"/>
                <w:sz w:val="20"/>
              </w:rPr>
              <w:t>440</w:t>
            </w:r>
            <w:r>
              <w:rPr>
                <w:rFonts w:ascii="仿宋_GB2312" w:hAnsi="仿宋_GB2312" w:cs="仿宋_GB2312" w:eastAsia="仿宋_GB2312"/>
                <w:sz w:val="20"/>
              </w:rPr>
              <w:t xml:space="preserve"> </w:t>
            </w:r>
            <w:r>
              <w:rPr>
                <w:rFonts w:ascii="仿宋_GB2312" w:hAnsi="仿宋_GB2312" w:cs="仿宋_GB2312" w:eastAsia="仿宋_GB2312"/>
                <w:sz w:val="20"/>
              </w:rPr>
              <w:t>由</w:t>
            </w:r>
            <w:r>
              <w:rPr>
                <w:rFonts w:ascii="仿宋_GB2312" w:hAnsi="仿宋_GB2312" w:cs="仿宋_GB2312" w:eastAsia="仿宋_GB2312"/>
                <w:sz w:val="20"/>
              </w:rPr>
              <w:t>…继承</w:t>
            </w:r>
          </w:p>
          <w:p>
            <w:pPr>
              <w:pStyle w:val="null3"/>
              <w:jc w:val="both"/>
            </w:pPr>
            <w:r>
              <w:rPr>
                <w:rFonts w:ascii="仿宋_GB2312" w:hAnsi="仿宋_GB2312" w:cs="仿宋_GB2312" w:eastAsia="仿宋_GB2312"/>
                <w:sz w:val="20"/>
              </w:rPr>
              <w:t>510</w:t>
            </w:r>
            <w:r>
              <w:rPr>
                <w:rFonts w:ascii="仿宋_GB2312" w:hAnsi="仿宋_GB2312" w:cs="仿宋_GB2312" w:eastAsia="仿宋_GB2312"/>
                <w:sz w:val="20"/>
              </w:rPr>
              <w:t xml:space="preserve"> </w:t>
            </w:r>
            <w:r>
              <w:rPr>
                <w:rFonts w:ascii="仿宋_GB2312" w:hAnsi="仿宋_GB2312" w:cs="仿宋_GB2312" w:eastAsia="仿宋_GB2312"/>
                <w:sz w:val="20"/>
              </w:rPr>
              <w:t>并列题名</w:t>
            </w:r>
          </w:p>
          <w:p>
            <w:pPr>
              <w:pStyle w:val="null3"/>
              <w:jc w:val="both"/>
            </w:pPr>
            <w:r>
              <w:rPr>
                <w:rFonts w:ascii="仿宋_GB2312" w:hAnsi="仿宋_GB2312" w:cs="仿宋_GB2312" w:eastAsia="仿宋_GB2312"/>
                <w:sz w:val="20"/>
              </w:rPr>
              <w:t>“6”主题分析块（606科学名称主题、690中国图书馆分类法分类号）</w:t>
            </w:r>
          </w:p>
          <w:p>
            <w:pPr>
              <w:pStyle w:val="null3"/>
              <w:jc w:val="both"/>
            </w:pPr>
            <w:r>
              <w:rPr>
                <w:rFonts w:ascii="仿宋_GB2312" w:hAnsi="仿宋_GB2312" w:cs="仿宋_GB2312" w:eastAsia="仿宋_GB2312"/>
                <w:sz w:val="20"/>
              </w:rPr>
              <w:t>“7”知识责任块（701个人名称——等同知识责任、711团体名称——等同知识责任）</w:t>
            </w:r>
          </w:p>
          <w:p>
            <w:pPr>
              <w:pStyle w:val="null3"/>
              <w:jc w:val="both"/>
            </w:pPr>
            <w:r>
              <w:rPr>
                <w:rFonts w:ascii="仿宋_GB2312" w:hAnsi="仿宋_GB2312" w:cs="仿宋_GB2312" w:eastAsia="仿宋_GB2312"/>
                <w:sz w:val="20"/>
              </w:rPr>
              <w:t>905</w:t>
            </w:r>
            <w:r>
              <w:rPr>
                <w:rFonts w:ascii="仿宋_GB2312" w:hAnsi="仿宋_GB2312" w:cs="仿宋_GB2312" w:eastAsia="仿宋_GB2312"/>
                <w:sz w:val="20"/>
              </w:rPr>
              <w:t xml:space="preserve"> </w:t>
            </w:r>
            <w:r>
              <w:rPr>
                <w:rFonts w:ascii="仿宋_GB2312" w:hAnsi="仿宋_GB2312" w:cs="仿宋_GB2312" w:eastAsia="仿宋_GB2312"/>
                <w:sz w:val="20"/>
              </w:rPr>
              <w:t>馆藏信息。</w:t>
            </w:r>
          </w:p>
          <w:p>
            <w:pPr>
              <w:pStyle w:val="null3"/>
              <w:ind w:firstLine="350"/>
              <w:jc w:val="both"/>
            </w:pPr>
            <w:r>
              <w:rPr>
                <w:rFonts w:ascii="仿宋_GB2312" w:hAnsi="仿宋_GB2312" w:cs="仿宋_GB2312" w:eastAsia="仿宋_GB2312"/>
                <w:sz w:val="20"/>
              </w:rPr>
              <w:t>提供的所有数据都能在采购人系统无障碍的使用。能提供中文报刊邮发刊目录和非邮发刊目录，各种目录均以字段完整的</w:t>
            </w:r>
            <w:r>
              <w:rPr>
                <w:rFonts w:ascii="仿宋_GB2312" w:hAnsi="仿宋_GB2312" w:cs="仿宋_GB2312" w:eastAsia="仿宋_GB2312"/>
                <w:sz w:val="20"/>
              </w:rPr>
              <w:t>CNMARC格式提供。</w:t>
            </w:r>
          </w:p>
          <w:p>
            <w:pPr>
              <w:pStyle w:val="null3"/>
              <w:ind w:firstLine="350"/>
            </w:pPr>
            <w:r>
              <w:rPr>
                <w:rFonts w:ascii="仿宋_GB2312" w:hAnsi="仿宋_GB2312" w:cs="仿宋_GB2312" w:eastAsia="仿宋_GB2312"/>
                <w:sz w:val="20"/>
              </w:rPr>
              <w:t>二、</w:t>
            </w:r>
            <w:r>
              <w:rPr>
                <w:rFonts w:ascii="仿宋_GB2312" w:hAnsi="仿宋_GB2312" w:cs="仿宋_GB2312" w:eastAsia="仿宋_GB2312"/>
                <w:sz w:val="20"/>
                <w:b/>
              </w:rPr>
              <w:t>服务要求</w:t>
            </w:r>
          </w:p>
          <w:p>
            <w:pPr>
              <w:pStyle w:val="null3"/>
              <w:ind w:firstLine="350"/>
              <w:jc w:val="both"/>
            </w:pPr>
            <w:r>
              <w:rPr>
                <w:rFonts w:ascii="仿宋_GB2312" w:hAnsi="仿宋_GB2312" w:cs="仿宋_GB2312" w:eastAsia="仿宋_GB2312"/>
                <w:sz w:val="20"/>
              </w:rPr>
              <w:t>1、提供的期刊出版日期为2026年1月1日起至2026 年12月31日，期刊延期（迟）出版的，供应商须相应地延长服务期限。</w:t>
            </w:r>
          </w:p>
          <w:p>
            <w:pPr>
              <w:pStyle w:val="null3"/>
              <w:ind w:firstLine="400"/>
              <w:jc w:val="both"/>
            </w:pPr>
            <w:r>
              <w:rPr>
                <w:rFonts w:ascii="仿宋_GB2312" w:hAnsi="仿宋_GB2312" w:cs="仿宋_GB2312" w:eastAsia="仿宋_GB2312"/>
                <w:sz w:val="20"/>
              </w:rPr>
              <w:t>2、供应商应按采购人的订购书目提供正版期刊。在收到每批期刊订单后要及时做好收订工作，并按采购人提出的刊目及包装要求，将期刊送交到采购人指定地点（订购期刊不能按时出版等特殊情况除外）。在期刊送交到采购人指定地点之前所发生的费用全部由成交供应商承担。</w:t>
            </w:r>
          </w:p>
          <w:p>
            <w:pPr>
              <w:pStyle w:val="null3"/>
              <w:ind w:firstLine="400"/>
              <w:jc w:val="both"/>
            </w:pPr>
            <w:r>
              <w:rPr>
                <w:rFonts w:ascii="仿宋_GB2312" w:hAnsi="仿宋_GB2312" w:cs="仿宋_GB2312" w:eastAsia="仿宋_GB2312"/>
                <w:sz w:val="20"/>
              </w:rPr>
              <w:t>3、送交到采购人的期刊不能有质量问题。若验收时发现有非正版期刊，或污损、图文不清、缺页、倒页、缺附件等质量不合格的期刊，以及与订单不符的期刊，一律予以退货或换货，无论是否已作前期载体加工，供应商必须在3-5个工作日内一律无条件免费更换或补充相关附件由此造成的损失及费用全部由成交供应商承担。</w:t>
            </w:r>
          </w:p>
          <w:p>
            <w:pPr>
              <w:pStyle w:val="null3"/>
              <w:ind w:firstLine="400"/>
              <w:jc w:val="both"/>
            </w:pPr>
            <w:r>
              <w:rPr>
                <w:rFonts w:ascii="仿宋_GB2312" w:hAnsi="仿宋_GB2312" w:cs="仿宋_GB2312" w:eastAsia="仿宋_GB2312"/>
                <w:sz w:val="20"/>
              </w:rPr>
              <w:t>4、供应商承担期刊内容主体审核责任，严格落实意识形态审核，内容符合出版管理条例；若检出非法刊物，供应商无条件全额退款，并承担全部法律、经济赔偿，采购人有权单方面终止合同。</w:t>
            </w:r>
          </w:p>
          <w:p>
            <w:pPr>
              <w:pStyle w:val="null3"/>
              <w:ind w:firstLine="400"/>
              <w:jc w:val="both"/>
            </w:pPr>
            <w:r>
              <w:rPr>
                <w:rFonts w:ascii="仿宋_GB2312" w:hAnsi="仿宋_GB2312" w:cs="仿宋_GB2312" w:eastAsia="仿宋_GB2312"/>
                <w:sz w:val="20"/>
              </w:rPr>
              <w:t>5、期刊打包要求：</w:t>
            </w:r>
          </w:p>
          <w:p>
            <w:pPr>
              <w:pStyle w:val="null3"/>
              <w:ind w:firstLine="400"/>
              <w:jc w:val="both"/>
            </w:pPr>
            <w:r>
              <w:rPr>
                <w:rFonts w:ascii="仿宋_GB2312" w:hAnsi="仿宋_GB2312" w:cs="仿宋_GB2312" w:eastAsia="仿宋_GB2312"/>
                <w:sz w:val="20"/>
              </w:rPr>
              <w:t>采用防水包装纸打包。到馆期刊应按批次有序排列。每批期刊附一式两份的汇总单（包括该批期刊的批号、箱数、册数等项目）并每批期刊都应配有期刊总明细单一式两份，由图书馆验收人员签收。明细单应含有期刊号、期刊名、刊期、份数、册数。供应商应保证采购人征订的中文期刊在运送过程中的整洁。</w:t>
            </w:r>
          </w:p>
          <w:p>
            <w:pPr>
              <w:pStyle w:val="null3"/>
              <w:ind w:firstLine="400"/>
              <w:jc w:val="both"/>
            </w:pPr>
            <w:r>
              <w:rPr>
                <w:rFonts w:ascii="仿宋_GB2312" w:hAnsi="仿宋_GB2312" w:cs="仿宋_GB2312" w:eastAsia="仿宋_GB2312"/>
                <w:sz w:val="20"/>
              </w:rPr>
              <w:t>6、供应商必须按采购人订购的期刊品种、数量及时供货（含增刊），订刊率和到刊率要求为100%（除出版商取消出版、推迟出版或发生影响合同履行的不可抗力事件以外），如不能达到此项要求，即视该供应商为不具备供货条件，采购人有权要求供应商终止供货。</w:t>
            </w:r>
          </w:p>
          <w:p>
            <w:pPr>
              <w:pStyle w:val="null3"/>
              <w:ind w:firstLine="400"/>
              <w:jc w:val="both"/>
            </w:pPr>
            <w:r>
              <w:rPr>
                <w:rFonts w:ascii="仿宋_GB2312" w:hAnsi="仿宋_GB2312" w:cs="仿宋_GB2312" w:eastAsia="仿宋_GB2312"/>
                <w:sz w:val="20"/>
              </w:rPr>
              <w:t>每批（包）期刊的品种、册数等必须与对应的清单相符。如果在验收过程中，同一批次期刊出现</w:t>
            </w:r>
            <w:r>
              <w:rPr>
                <w:rFonts w:ascii="仿宋_GB2312" w:hAnsi="仿宋_GB2312" w:cs="仿宋_GB2312" w:eastAsia="仿宋_GB2312"/>
                <w:sz w:val="20"/>
              </w:rPr>
              <w:t>3%的期刊品种与相应清单不符，采购人有权退回该批次全部期刊，要求供应商重新核对，直至该批期刊与清单相符。同一供应商累计出现5次上述出错现象，致使采购人合同目的不能实现的，采购人有权与该供应商解除合同。因此产生的一切经济损失由供应商自己承担。</w:t>
            </w:r>
          </w:p>
          <w:p>
            <w:pPr>
              <w:pStyle w:val="null3"/>
              <w:ind w:firstLine="400"/>
              <w:jc w:val="both"/>
            </w:pPr>
            <w:r>
              <w:rPr>
                <w:rFonts w:ascii="仿宋_GB2312" w:hAnsi="仿宋_GB2312" w:cs="仿宋_GB2312" w:eastAsia="仿宋_GB2312"/>
                <w:sz w:val="20"/>
              </w:rPr>
              <w:t>国内期刊应在出版后</w:t>
            </w:r>
            <w:r>
              <w:rPr>
                <w:rFonts w:ascii="仿宋_GB2312" w:hAnsi="仿宋_GB2312" w:cs="仿宋_GB2312" w:eastAsia="仿宋_GB2312"/>
                <w:sz w:val="20"/>
              </w:rPr>
              <w:t>1个月内到货，未到货的视为“预期未到期刊”；催缺后，供货商须在2个月内补齐，对催补2个月后未到货的期刊，即视为“未到期刊”。采购人有权追究责任和要求赔偿，“未到期刊”，如因出版社原因未到，则退还缺期原价；如因成交供应商原因未到，经催缺2个月后仍未到馆，则赔付原价的2倍。</w:t>
            </w:r>
          </w:p>
          <w:p>
            <w:pPr>
              <w:pStyle w:val="null3"/>
              <w:ind w:firstLine="400"/>
              <w:jc w:val="both"/>
            </w:pPr>
            <w:r>
              <w:rPr>
                <w:rFonts w:ascii="仿宋_GB2312" w:hAnsi="仿宋_GB2312" w:cs="仿宋_GB2312" w:eastAsia="仿宋_GB2312"/>
                <w:sz w:val="20"/>
              </w:rPr>
              <w:t>7、供应商要负责履行所缺期刊和质量有问题期刊的补充催送。</w:t>
            </w:r>
          </w:p>
          <w:p>
            <w:pPr>
              <w:pStyle w:val="null3"/>
              <w:ind w:firstLine="400"/>
              <w:jc w:val="both"/>
            </w:pPr>
            <w:r>
              <w:rPr>
                <w:rFonts w:ascii="仿宋_GB2312" w:hAnsi="仿宋_GB2312" w:cs="仿宋_GB2312" w:eastAsia="仿宋_GB2312"/>
                <w:sz w:val="20"/>
              </w:rPr>
              <w:t>8、供应商应提供每周送期刊一次的服务，将期刊送达至采购人指定地点。</w:t>
            </w:r>
          </w:p>
          <w:p>
            <w:pPr>
              <w:pStyle w:val="null3"/>
              <w:ind w:firstLine="400"/>
              <w:jc w:val="both"/>
            </w:pPr>
            <w:r>
              <w:rPr>
                <w:rFonts w:ascii="仿宋_GB2312" w:hAnsi="仿宋_GB2312" w:cs="仿宋_GB2312" w:eastAsia="仿宋_GB2312"/>
                <w:sz w:val="20"/>
              </w:rPr>
              <w:t>9、供应商在送交每一批期刊时，同时提供以下内容：</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1）该批期刊的规范机读编目数据（数据要求参见技术要求）。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2）提供加盖馆藏章（馆藏章印模由图书馆提供，供应商负责刻印，并保证与印模一致）、粘贴防盗磁条、在指定位置粘贴期刊架号等加工服务。</w:t>
            </w:r>
          </w:p>
          <w:p>
            <w:pPr>
              <w:pStyle w:val="null3"/>
              <w:ind w:firstLine="400"/>
              <w:jc w:val="both"/>
            </w:pPr>
            <w:r>
              <w:rPr>
                <w:rFonts w:ascii="仿宋_GB2312" w:hAnsi="仿宋_GB2312" w:cs="仿宋_GB2312" w:eastAsia="仿宋_GB2312"/>
                <w:sz w:val="20"/>
              </w:rPr>
              <w:t>以上费用均包含在合同价款中。</w:t>
            </w:r>
          </w:p>
          <w:p>
            <w:pPr>
              <w:pStyle w:val="null3"/>
              <w:ind w:firstLine="400"/>
              <w:jc w:val="both"/>
            </w:pPr>
            <w:r>
              <w:rPr>
                <w:rFonts w:ascii="仿宋_GB2312" w:hAnsi="仿宋_GB2312" w:cs="仿宋_GB2312" w:eastAsia="仿宋_GB2312"/>
                <w:sz w:val="20"/>
              </w:rPr>
              <w:t>三、</w:t>
            </w:r>
            <w:r>
              <w:rPr>
                <w:rFonts w:ascii="仿宋_GB2312" w:hAnsi="仿宋_GB2312" w:cs="仿宋_GB2312" w:eastAsia="仿宋_GB2312"/>
                <w:sz w:val="20"/>
                <w:b/>
              </w:rPr>
              <w:t>其他要求</w:t>
            </w:r>
          </w:p>
          <w:p>
            <w:pPr>
              <w:pStyle w:val="null3"/>
              <w:jc w:val="both"/>
            </w:pPr>
            <w:r>
              <w:rPr>
                <w:rFonts w:ascii="仿宋_GB2312" w:hAnsi="仿宋_GB2312" w:cs="仿宋_GB2312" w:eastAsia="仿宋_GB2312"/>
                <w:sz w:val="20"/>
              </w:rPr>
              <w:t>1、服务期：十八个月，以双方签订合同时约定的起止时间为准。</w:t>
            </w:r>
          </w:p>
          <w:p>
            <w:pPr>
              <w:pStyle w:val="null3"/>
              <w:jc w:val="both"/>
            </w:pPr>
            <w:r>
              <w:rPr>
                <w:rFonts w:ascii="仿宋_GB2312" w:hAnsi="仿宋_GB2312" w:cs="仿宋_GB2312" w:eastAsia="仿宋_GB2312"/>
                <w:sz w:val="20"/>
              </w:rPr>
              <w:t>2、交货周期：期刊出版日期后30个日历日内供货到位。</w:t>
            </w:r>
          </w:p>
          <w:p>
            <w:pPr>
              <w:pStyle w:val="null3"/>
              <w:jc w:val="both"/>
            </w:pPr>
            <w:r>
              <w:rPr>
                <w:rFonts w:ascii="仿宋_GB2312" w:hAnsi="仿宋_GB2312" w:cs="仿宋_GB2312" w:eastAsia="仿宋_GB2312"/>
                <w:sz w:val="20"/>
              </w:rPr>
              <w:t>3、服务地点：采购人指定地点</w:t>
            </w:r>
          </w:p>
          <w:p>
            <w:pPr>
              <w:pStyle w:val="null3"/>
              <w:jc w:val="both"/>
            </w:pPr>
            <w:r>
              <w:rPr>
                <w:rFonts w:ascii="仿宋_GB2312" w:hAnsi="仿宋_GB2312" w:cs="仿宋_GB2312" w:eastAsia="仿宋_GB2312"/>
                <w:sz w:val="20"/>
              </w:rPr>
              <w:t>4、服务质量：合格</w:t>
            </w:r>
          </w:p>
          <w:p>
            <w:pPr>
              <w:pStyle w:val="null3"/>
              <w:jc w:val="both"/>
            </w:pPr>
            <w:r>
              <w:rPr>
                <w:rFonts w:ascii="仿宋_GB2312" w:hAnsi="仿宋_GB2312" w:cs="仿宋_GB2312" w:eastAsia="仿宋_GB2312"/>
                <w:sz w:val="20"/>
              </w:rPr>
              <w:t>5、人员要求：</w:t>
            </w:r>
          </w:p>
          <w:p>
            <w:pPr>
              <w:pStyle w:val="null3"/>
              <w:jc w:val="both"/>
            </w:pPr>
            <w:r>
              <w:rPr>
                <w:rFonts w:ascii="仿宋_GB2312" w:hAnsi="仿宋_GB2312" w:cs="仿宋_GB2312" w:eastAsia="仿宋_GB2312"/>
                <w:sz w:val="20"/>
              </w:rPr>
              <w:t>供应商有从事期刊经销和数据加工业务的专业人员，</w:t>
            </w:r>
            <w:r>
              <w:rPr>
                <w:rFonts w:ascii="仿宋_GB2312" w:hAnsi="仿宋_GB2312" w:cs="仿宋_GB2312" w:eastAsia="仿宋_GB2312"/>
                <w:sz w:val="20"/>
              </w:rPr>
              <w:t>2021年01月01日以来有为高校图书馆或省市公共图书馆供应期刊并提供相应机读数据的经历。</w:t>
            </w:r>
          </w:p>
          <w:p>
            <w:pPr>
              <w:pStyle w:val="null3"/>
              <w:jc w:val="both"/>
            </w:pPr>
            <w:r>
              <w:rPr>
                <w:rFonts w:ascii="仿宋_GB2312" w:hAnsi="仿宋_GB2312" w:cs="仿宋_GB2312" w:eastAsia="仿宋_GB2312"/>
                <w:sz w:val="20"/>
              </w:rPr>
              <w:t>6、中文期刊供应商应为专门从事期刊销售的合法经营单位，期刊来源渠道较广，经营期刊品种丰富，与全国3000家以上的期刊出版单位有供货关系，所经销的期刊出版物均为国家正式出版物。</w:t>
            </w:r>
          </w:p>
          <w:p>
            <w:pPr>
              <w:pStyle w:val="null3"/>
            </w:pPr>
            <w:r>
              <w:rPr>
                <w:rFonts w:ascii="仿宋_GB2312" w:hAnsi="仿宋_GB2312" w:cs="仿宋_GB2312" w:eastAsia="仿宋_GB2312"/>
                <w:sz w:val="20"/>
              </w:rPr>
              <w:t>7、供应商建有功能较完善、性能稳定的专业化电子商务网站，便于供需双方高效开展业务工作。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详见服务要求。且根据项目需求合理配备相关专业背景的相关技术人员，组建综合型技术团队，满足项目服务要求。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服务方根据项目采购项目特性及要求，自行配置投入履行合同所必需的各类设施设备（不限于专业设备、辅助设备、工具、软件等）及场所，保证项目顺利实施。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服务标准：完全响应招标服务标准。2.成果交付要求 （1）基础合规资料交付：需按时提交派驻人员资料、档案管理、费用明细等材料。 （2）专项服务成果交付：针对核心服务，各项指标需达到合同约定标准。 （3）成果需电子+纸质双备份，格式统一且加盖公章，严格遵守保密要求，验收不合格项需按期整改并重交。</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十八个月，以双方签订合同时约定的起止时间为准。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所验服务最终验收达不到磋商文件要求和响应文件承诺及国家或行业标准，或在使用中发现甲方不能容忍的缺陷等，将视为验收不合格，供应商应在甲方要求的时间内无条件完善或要求赔付甲方损失。 验收标准：按磋商文件、响应文件等技术指标进行逐项验收。各项指标均应符合验收标准及要求。验收合格后，填写验收单，双方签字生效。 验收依据： （1）合同文本。 （2）磋商文件、响应文件。 （3）国家和行业制定的相应的标准和规范。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进度款，采购人按财政部门的相关规定及采购合同的约定进行支付，达到付款条件起30个工作日内，支付合同总金额的50.0%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进度款，购人按财政部门的相关规定及采购合同的约定进行支付，达到付款条件起30个工作日内，支付合同总金额的50.0%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一、本合同到期后将自动解除。 二、若乙方因破产、歇业或被吊销营业执照而不能继续为甲方提供服务，应提前一个月通知甲方，在甲方找到新的服务商之前，甲方有权要求乙方继续提供服务。 三、如乙方未按合同约定提供服务或提供服务不符合合同要求，未能达到约定的管理目标，乙方及时予以整改。</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1.质量保修范围：供应商履约范围内包含的全部内容。 质保期：12个月。2.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供应商认为有必要补充说明的事项.docx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财务状况报告（任选其一）</w:t>
            </w:r>
          </w:p>
        </w:tc>
        <w:tc>
          <w:tcPr>
            <w:tcW w:type="dxa" w:w="3322"/>
          </w:tcPr>
          <w:p>
            <w:pPr>
              <w:pStyle w:val="null3"/>
            </w:pPr>
            <w:r>
              <w:rPr>
                <w:rFonts w:ascii="仿宋_GB2312" w:hAnsi="仿宋_GB2312" w:cs="仿宋_GB2312" w:eastAsia="仿宋_GB2312"/>
              </w:rPr>
              <w:t>提供①2024年度或2025年度经审计的完整财务审计报告（成立时间至提交响应文件截止时间不足一年的可提供成立后任意时段的资产负债表）； ②或提交响应文件截止时间三个月内其基本账户开户银行出具的资信证明（附基本存款账户信息）。</w:t>
            </w:r>
          </w:p>
        </w:tc>
        <w:tc>
          <w:tcPr>
            <w:tcW w:type="dxa" w:w="1661"/>
          </w:tcPr>
          <w:p>
            <w:pPr>
              <w:pStyle w:val="null3"/>
            </w:pPr>
            <w:r>
              <w:rPr>
                <w:rFonts w:ascii="仿宋_GB2312" w:hAnsi="仿宋_GB2312" w:cs="仿宋_GB2312" w:eastAsia="仿宋_GB2312"/>
              </w:rPr>
              <w:t>供应商认为有必要补充说明的事项.docx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提交响应文件截止时间前一年内至少一个月的社会保障资金缴存单据或社保机构开具的社会保险参保缴费情况证明，依法不需要缴纳社会保障资金的单位应提供相关证明材料。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供应商认为有必要补充说明的事项.docx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供应商认为有必要补充说明的事项.docx 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提供参加本次政府采购活动前3年内在经营活动中没有重大违法记录的书面声明。</w:t>
            </w:r>
          </w:p>
        </w:tc>
        <w:tc>
          <w:tcPr>
            <w:tcW w:type="dxa" w:w="1661"/>
          </w:tcPr>
          <w:p>
            <w:pPr>
              <w:pStyle w:val="null3"/>
            </w:pPr>
            <w:r>
              <w:rPr>
                <w:rFonts w:ascii="仿宋_GB2312" w:hAnsi="仿宋_GB2312" w:cs="仿宋_GB2312" w:eastAsia="仿宋_GB2312"/>
              </w:rPr>
              <w:t>供应商认为有必要补充说明的事项.docx 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供应商认为有必要补充说明的事项.docx 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供应商认为有必要补充说明的事项.docx 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法定代表人直接参加投标的须出具法定代表人身份证明及法定代表人身份证；法定代表人授权代表参加投标的须出具法定代表人授权书及授权代表身份证。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供应商认为有必要补充说明的事项.docx 授权委托书.docx 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本项目不接受联合体投标，不允许分包；供应商应提供《非联合体不分包投标声明》，视为独立投标，不分包。</w:t>
            </w:r>
          </w:p>
        </w:tc>
        <w:tc>
          <w:tcPr>
            <w:tcW w:type="dxa" w:w="1661"/>
          </w:tcPr>
          <w:p>
            <w:pPr>
              <w:pStyle w:val="null3"/>
            </w:pPr>
            <w:r>
              <w:rPr>
                <w:rFonts w:ascii="仿宋_GB2312" w:hAnsi="仿宋_GB2312" w:cs="仿宋_GB2312" w:eastAsia="仿宋_GB2312"/>
              </w:rPr>
              <w:t>供应商认为有必要补充说明的事项.docx 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出版物经营许可证</w:t>
            </w:r>
          </w:p>
        </w:tc>
        <w:tc>
          <w:tcPr>
            <w:tcW w:type="dxa" w:w="3322"/>
          </w:tcPr>
          <w:p>
            <w:pPr>
              <w:pStyle w:val="null3"/>
            </w:pPr>
            <w:r>
              <w:rPr>
                <w:rFonts w:ascii="仿宋_GB2312" w:hAnsi="仿宋_GB2312" w:cs="仿宋_GB2312" w:eastAsia="仿宋_GB2312"/>
              </w:rPr>
              <w:t>出版物经营许可证：供应商提供合法有效的出版物经营许可证。</w:t>
            </w:r>
          </w:p>
        </w:tc>
        <w:tc>
          <w:tcPr>
            <w:tcW w:type="dxa" w:w="1661"/>
          </w:tcPr>
          <w:p>
            <w:pPr>
              <w:pStyle w:val="null3"/>
            </w:pPr>
            <w:r>
              <w:rPr>
                <w:rFonts w:ascii="仿宋_GB2312" w:hAnsi="仿宋_GB2312" w:cs="仿宋_GB2312" w:eastAsia="仿宋_GB2312"/>
              </w:rPr>
              <w:t>供应商认为有必要补充说明的事项.docx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1.货币单位符合磋商文件要求 2.报价符合唯一性要求 3.未超出采购包最高限价 4.符合《报价表》《分项报价表》的填报要求。</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完全响应磋商文件要求的各项技术及服务、商务实质性条款。</w:t>
            </w:r>
          </w:p>
        </w:tc>
        <w:tc>
          <w:tcPr>
            <w:tcW w:type="dxa" w:w="1661"/>
          </w:tcPr>
          <w:p>
            <w:pPr>
              <w:pStyle w:val="null3"/>
            </w:pPr>
            <w:r>
              <w:rPr>
                <w:rFonts w:ascii="仿宋_GB2312" w:hAnsi="仿宋_GB2312" w:cs="仿宋_GB2312" w:eastAsia="仿宋_GB2312"/>
              </w:rPr>
              <w:t>响应文件封面 商务应答表 服务内容及服务要求应答表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投标有效期达到磋商文件要求。</w:t>
            </w:r>
          </w:p>
        </w:tc>
        <w:tc>
          <w:tcPr>
            <w:tcW w:type="dxa" w:w="1661"/>
          </w:tcPr>
          <w:p>
            <w:pPr>
              <w:pStyle w:val="null3"/>
            </w:pPr>
            <w:r>
              <w:rPr>
                <w:rFonts w:ascii="仿宋_GB2312" w:hAnsi="仿宋_GB2312" w:cs="仿宋_GB2312" w:eastAsia="仿宋_GB2312"/>
              </w:rPr>
              <w:t>响应文件封面 授权委托书.docx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签字盖章均符合磋商文件要求，且无遗漏。</w:t>
            </w:r>
          </w:p>
        </w:tc>
        <w:tc>
          <w:tcPr>
            <w:tcW w:type="dxa" w:w="1661"/>
          </w:tcPr>
          <w:p>
            <w:pPr>
              <w:pStyle w:val="null3"/>
            </w:pPr>
            <w:r>
              <w:rPr>
                <w:rFonts w:ascii="仿宋_GB2312" w:hAnsi="仿宋_GB2312" w:cs="仿宋_GB2312" w:eastAsia="仿宋_GB2312"/>
              </w:rPr>
              <w:t>人员配置清单表.docx 供应商类似项目业绩一览表.docx 中小企业声明函 授权委托书.docx 商务应答表 供应商应提交的相关资格证明材料 服务内容及服务要求应答表 报价表 响应文件封面 供应商认为有必要补充说明的事项.docx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提供2021年01月01日至今类似项目业绩，每提供1个得5分，满分25分。 注：①磋商响应文件中附中标通知书及合同的复印件或扫描件，业绩时间以合同签订日期为准，未提供或不清晰导致无法识别的不予以认可。 ②企业业绩与人员业绩可以同时赋分。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一、评审内容：供应商根据采购人技术要求内容，实施方案至少包含①新书征订；②编目数据；③图书分类；④上架储存；⑤换货与退货等方面制定合理可行的实施方案。 二、评审标准：①完善性：方案全面，对评审内容中的各项要求有详细阐述；②可实施性：切合本项目实际情况，提出步骤清晰、合理的方案； ③针对性：方案能够紧扣项目实际情况，内容科学合理。 上述评审内容全部满足评审标准得10分，评审内容缺项每项扣2分，每有一项评审内容存在缺陷，扣0.5分，扣完为止。 说明：缺陷是指内容没有结合项目实际需求、虽有内容但不完善、内容表述前后不一致、套用其他项目方案或与项目需求不匹配及其他不利于项目实施的等任意一种情形。未提供相关内容本项得 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一、评审内容：据项目供货要求，提供供货方案。内容至少包含：①期刊征订方案；②重点期刊收集方案；③提供运输、派送方案；④保证到货率方案；⑤期刊库建立方案。 二、评审标准：①完善性：方案全面，对评审内容中的各项要求有详细阐述；②可实施性：切合本项目实际情况，提出步骤清晰、合理的方案； ③针对性：方案能够紧扣项目实际情况，内容科学合理。 上述评审内容全部满足评审标准得10分，评审内容缺项每项扣2分，每有一项评审内容存在缺陷，扣0.5分，扣完为止。 说明：缺陷是指内容没有结合项目实际需求、虽有内容但不完善、内容表述前后不一致、套用其他项目方案或与项目需求不匹配及其他不利于项目实施的等任意一种情形。未提供相关内容本项得 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关于期刊质量的承诺</w:t>
            </w:r>
          </w:p>
        </w:tc>
        <w:tc>
          <w:tcPr>
            <w:tcW w:type="dxa" w:w="2492"/>
          </w:tcPr>
          <w:p>
            <w:pPr>
              <w:pStyle w:val="null3"/>
            </w:pPr>
            <w:r>
              <w:rPr>
                <w:rFonts w:ascii="仿宋_GB2312" w:hAnsi="仿宋_GB2312" w:cs="仿宋_GB2312" w:eastAsia="仿宋_GB2312"/>
              </w:rPr>
              <w:t>供应商需提供保证所供应期刊质量的承诺，①进货来源合法性承诺；②保证所供应期刊的内容、版本承诺；③期刊及附件的完好性承诺。以上3项承诺，每提供一项得2分，满分6分，每缺少一项承诺扣2分；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加工方案</w:t>
            </w:r>
          </w:p>
        </w:tc>
        <w:tc>
          <w:tcPr>
            <w:tcW w:type="dxa" w:w="2492"/>
          </w:tcPr>
          <w:p>
            <w:pPr>
              <w:pStyle w:val="null3"/>
            </w:pPr>
            <w:r>
              <w:rPr>
                <w:rFonts w:ascii="仿宋_GB2312" w:hAnsi="仿宋_GB2312" w:cs="仿宋_GB2312" w:eastAsia="仿宋_GB2312"/>
              </w:rPr>
              <w:t>一、评审内容：根据项目加工需求，提供相应的加工方案。内容至少包含：①拆包验收；②加工服务方案；③加工材料准备；④接受图书馆质量监督，并提供到馆数据加工服务人员的承诺。 二、评审标准：①完善性：方案全面，对评审内容中的各项要求有详细阐述；②可实施性：切合本项目实际情况，提出步骤清晰、合理的方案； ③针对性：方案能够紧扣项目实际情况，内容科学合理。 上述评审内容全部满足评审标准得8分，评审内容缺项每项扣2分，每有一项评审内容存在缺陷，扣0.5分，扣完为止。 说明：缺陷是指内容没有结合项目实际需求、虽有内容但不完善、内容表述前后不一致、套用其他项目方案或与项目需求不匹配及其他不利于项目实施的等任意一种情形。未提供相关内容本项得 0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人员配置清单</w:t>
            </w:r>
          </w:p>
        </w:tc>
        <w:tc>
          <w:tcPr>
            <w:tcW w:type="dxa" w:w="2492"/>
          </w:tcPr>
          <w:p>
            <w:pPr>
              <w:pStyle w:val="null3"/>
            </w:pPr>
            <w:r>
              <w:rPr>
                <w:rFonts w:ascii="仿宋_GB2312" w:hAnsi="仿宋_GB2312" w:cs="仿宋_GB2312" w:eastAsia="仿宋_GB2312"/>
              </w:rPr>
              <w:t>一、投标人配备专属本项目项目负责人1名且项目负责人2021年01月01日至今具有1项及以上图书出版或图书采编或文化物资采购相关类似业绩的得4分，本项满分4分； 注：①提供项目负责人身份证、毕业证书及相关证明材料复印件或扫描件；②类似业绩以中标通知书及合同复印件或扫描件中明确显示的项目负责人姓名为准；③如中标通知书及合同无法清楚证明则需再附其他佐证资料，未提供或资料提供不全不得分。 二、配备相关岗位人员包含①配送人员；②包装人员；③加工人员；④专职图书采编；⑤书目审核人员。 注：以上人员提供身份证、毕业证书及相关证明材料复印件或扫描件，每提供1个岗位人员的得1分，本项满分5分。 每缺少1个岗位人员扣1分，（如人员重复兼任多个岗位的，仅按单个有效岗位计分，不重复累加得分）未提供或资料提供不全不得分。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人员配置清单表.docx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团队人员管理方案</w:t>
            </w:r>
          </w:p>
        </w:tc>
        <w:tc>
          <w:tcPr>
            <w:tcW w:type="dxa" w:w="2492"/>
          </w:tcPr>
          <w:p>
            <w:pPr>
              <w:pStyle w:val="null3"/>
            </w:pPr>
            <w:r>
              <w:rPr>
                <w:rFonts w:ascii="仿宋_GB2312" w:hAnsi="仿宋_GB2312" w:cs="仿宋_GB2312" w:eastAsia="仿宋_GB2312"/>
              </w:rPr>
              <w:t>一、评审内容：提供团队人员管理方案，至少包含：①人员请、休假工作交接方案；②人员培训及考核方案等。 二、评审标准：①完善性：方案全面，对评审内容中的各项要求有详细阐述；②可实施性：切合本项目实际情况，提出步骤清晰、合理的方案； ③针对性：方案能够紧扣项目实际情况，内容科学合理。 上述评审内容全部满足评审标准得2分，评审内容缺项每项扣1分，每有一项评审内容存在缺陷，扣0.5分，扣完为止。 说明：缺陷是指内容没有结合项目实际需求、虽有内容但不完善、内容表述前后不一致、套用其他项目方案或与项目需求不匹配及其他不利于项目实施的等任意一种情形。未提供相关内容本项得 0 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一、评审内容：供应商针对期刊供货过程中可能出现的各种紧急情况提供相应的应急措施。至少包含：①合同执行中出现补订、退订等情况；②因货物运输问题破损造成的退、换问题；③人员变动 ；④车辆故障等。 二、评审标准：①完善性：方案全面，对评审内容中的各项要求有详细阐述；②可实施性：切合本项目实际情况，提出步骤清晰、合理的方案； ③针对性：方案能够紧扣项目实际情况，内容科学合理。 上述评审内容全部满足评审标准得4分，评审内容缺项每项扣1分，每有一项评审内容存在缺陷，扣0.5分，扣完为止。 说明：缺陷是指内容没有结合项目实际需求、虽有内容但不完善、内容表述前后不一致、套用其他项目方案或与项目需求不匹配及其他不利于项目实施的等任意一种情形。未提供相关内容本项得 0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一、评审内容：供应商针对本项目提供的售后服务方案，方案至少包含：①服务效率；②拟投入售后服务人员配置情况；③售后服务质量承诺及保障措施等。 二、评审标准：①完善性：方案全面，对评审内容中的各项要求有详细阐述；②可实施性：切合本项目实际情况，提出步骤清晰、合理的方案； ③针对性：方案能够紧扣项目实际情况，内容科学合理。 上述评审内容全部满足评审标准得6分，评审内容缺项每项扣2分，每有一项评审内容存在缺陷，扣0.5分，扣完为止。 说明：缺陷是指内容没有结合项目实际需求、虽有内容但不完善、内容表述前后不一致、套用其他项目方案或与项目需求不匹配及其他不利于项目实施的等任意一种情形。未提供相关内容本项得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一、经初审合格的投标文件，其投标报价为有效投标价。对符合政策性扣减的有效投标报价进行政策性扣减，并依据扣减后的价格（评审价格）进行价格评审。 二、有效最低报价为基准价得20分。 三、按（基准价/有效投标报价）×20的公式计算其得分。 投标报价不完整的，不进入评标基准价的计算，本项得0分。四、不正当竞争预防措施：在评审过程中,磋商小组认定某供应商的报价明显低于其他通过符合性审查供应商的报价，有可能影响服务质量或者不能诚信履约的,有权要求该供应商在磋商现场合理时间内，提供必要的书面文件予以解释和说明并附带相关证明材料。磋商单位书面说明应当签字确认或者加盖公章,否则无效。磋商单位拒绝或者变相拒绝提供有效书面说明或者书面说明不能证明其报价合理性的,磋商小组将按照其响应文件作为无效响应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详见附件：供应商认为有必要补充说明的事项.docx</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详见附件：人员配置清单表.docx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详见附件：合同7.7.docx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